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l7tg169kjh6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Arquitectura del sistema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573405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Ubuntu" w:cs="Ubuntu" w:eastAsia="Ubuntu" w:hAnsi="Ubuntu"/>
          <w:sz w:val="48"/>
          <w:szCs w:val="48"/>
        </w:rPr>
      </w:pPr>
      <w:bookmarkStart w:colFirst="0" w:colLast="0" w:name="_xlzjnqgibjsa" w:id="1"/>
      <w:bookmarkEnd w:id="1"/>
      <w:r w:rsidDel="00000000" w:rsidR="00000000" w:rsidRPr="00000000">
        <w:rPr>
          <w:rFonts w:ascii="Ubuntu" w:cs="Ubuntu" w:eastAsia="Ubuntu" w:hAnsi="Ubuntu"/>
          <w:sz w:val="48"/>
          <w:szCs w:val="48"/>
          <w:rtl w:val="0"/>
        </w:rPr>
        <w:t xml:space="preserve">Código:</w:t>
      </w:r>
    </w:p>
    <w:p w:rsidR="00000000" w:rsidDel="00000000" w:rsidP="00000000" w:rsidRDefault="00000000" w:rsidRPr="00000000" w14:paraId="00000004">
      <w:pPr>
        <w:pStyle w:val="Subtitle"/>
        <w:rPr>
          <w:rFonts w:ascii="Ubuntu" w:cs="Ubuntu" w:eastAsia="Ubuntu" w:hAnsi="Ubuntu"/>
          <w:b w:val="1"/>
          <w:color w:val="434343"/>
          <w:sz w:val="28"/>
          <w:szCs w:val="28"/>
        </w:rPr>
      </w:pPr>
      <w:bookmarkStart w:colFirst="0" w:colLast="0" w:name="_oqv2546qvuve" w:id="2"/>
      <w:bookmarkEnd w:id="2"/>
      <w:r w:rsidDel="00000000" w:rsidR="00000000" w:rsidRPr="00000000">
        <w:rPr>
          <w:rFonts w:ascii="Ubuntu" w:cs="Ubuntu" w:eastAsia="Ubuntu" w:hAnsi="Ubuntu"/>
          <w:b w:val="1"/>
          <w:color w:val="434343"/>
          <w:sz w:val="28"/>
          <w:szCs w:val="28"/>
          <w:rtl w:val="0"/>
        </w:rPr>
        <w:t xml:space="preserve">Manager.py</w:t>
      </w:r>
    </w:p>
    <w:p w:rsidR="00000000" w:rsidDel="00000000" w:rsidP="00000000" w:rsidRDefault="00000000" w:rsidRPr="00000000" w14:paraId="00000005">
      <w:pPr>
        <w:ind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archivo Manager.py incluye funciones utiles en distintos lugares del proyecto, este documento es llamado desde los archivos principales y está pensado para funcionar como un documento global de consulta de funciones generales.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Contiene las funciones: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isDecimal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recibido es un número decimal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isInteger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recibido es un número entero válido.</w:t>
      </w:r>
    </w:p>
    <w:p w:rsidR="00000000" w:rsidDel="00000000" w:rsidP="00000000" w:rsidRDefault="00000000" w:rsidRPr="00000000" w14:paraId="0000000D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isValidNumber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es un número válido, este método utiliza los dos métodos anteriores para verificar el número completo.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Este método es utilizado al usar la calculadora en el sistema.</w:t>
      </w:r>
    </w:p>
    <w:p w:rsidR="00000000" w:rsidDel="00000000" w:rsidP="00000000" w:rsidRDefault="00000000" w:rsidRPr="00000000" w14:paraId="00000011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inputNum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que el número recibido sea válido, este método es utilizado al realizar llamadas con el sistema. </w:t>
      </w:r>
    </w:p>
    <w:p w:rsidR="00000000" w:rsidDel="00000000" w:rsidP="00000000" w:rsidRDefault="00000000" w:rsidRPr="00000000" w14:paraId="00000014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identifyDevice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Verifica mediante un comando de ADB los dispositivos conectados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rFonts w:ascii="Ubuntu" w:cs="Ubuntu" w:eastAsia="Ubuntu" w:hAnsi="Ubuntu"/>
          <w:b w:val="1"/>
          <w:color w:val="434343"/>
          <w:sz w:val="28"/>
          <w:szCs w:val="28"/>
        </w:rPr>
      </w:pPr>
      <w:bookmarkStart w:colFirst="0" w:colLast="0" w:name="_ol3fynw6jgnf" w:id="3"/>
      <w:bookmarkEnd w:id="3"/>
      <w:r w:rsidDel="00000000" w:rsidR="00000000" w:rsidRPr="00000000">
        <w:rPr>
          <w:rFonts w:ascii="Ubuntu" w:cs="Ubuntu" w:eastAsia="Ubuntu" w:hAnsi="Ubuntu"/>
          <w:b w:val="1"/>
          <w:color w:val="434343"/>
          <w:sz w:val="28"/>
          <w:szCs w:val="28"/>
          <w:rtl w:val="0"/>
        </w:rPr>
        <w:t xml:space="preserve">AutoTester.py</w:t>
      </w:r>
    </w:p>
    <w:p w:rsidR="00000000" w:rsidDel="00000000" w:rsidP="00000000" w:rsidRDefault="00000000" w:rsidRPr="00000000" w14:paraId="00000018">
      <w:pPr>
        <w:ind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Este archivo de python es el archivo principal que se debe correr al usar el sistema, ya que este despliega un menú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interactuable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para poder realizar cualquiera de las acciones de este sistema:</w:t>
      </w:r>
    </w:p>
    <w:p w:rsidR="00000000" w:rsidDel="00000000" w:rsidP="00000000" w:rsidRDefault="00000000" w:rsidRPr="00000000" w14:paraId="00000019">
      <w:pPr>
        <w:ind w:firstLine="720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573405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archivo contiene las funciones: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goHome()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se encarga de llevar al dispositivo a la pantalla principal (Home)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myClick(button)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se encarga de revisar si existe el botón al que se dará click, si existe da click, si no no hará nada, esto prevé que el sistema “crashee”.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myLongClick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(button)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 exactamente igual a la anterior solo que realiza un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click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prolongado.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clickNum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(n)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es la encargada de interactuar con la calculadora, introduce todo lo solicitado por el usuario (números, signos especiales, decimales, operaciones).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clickNumToCall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(n)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digita los números a marcar deseados por el usuario.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startCalculator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Ejecuta los pasos necesarios para abrir la calculadora, una vez abierta utiliza el método “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clickNum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()” para marcar el input del usuario en la calculadora.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toggleWifi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Este método revisa si está encendido o apagado el wifi para cambiar su estado. Este método no funciona por sí mismo, necesita ser llamado una vez que se encuentran en el menú de wifi.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interactWifi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dirige hacia las configuraciones del teléfono y en caso de que el wifi este apagado, lo enciende, de lo contrario lo apaga usando la función “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toggleWifi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makeACallADB()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Ejecuta un comando de ADB  encargado de realizar una llamada al número introducido al usuario.</w:t>
      </w:r>
    </w:p>
    <w:p w:rsidR="00000000" w:rsidDel="00000000" w:rsidP="00000000" w:rsidRDefault="00000000" w:rsidRPr="00000000" w14:paraId="0000002E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>
          <w:rFonts w:ascii="Ubuntu" w:cs="Ubuntu" w:eastAsia="Ubuntu" w:hAnsi="Ubuntu"/>
          <w:sz w:val="48"/>
          <w:szCs w:val="48"/>
        </w:rPr>
      </w:pPr>
      <w:bookmarkStart w:colFirst="0" w:colLast="0" w:name="_463j35mlisrz" w:id="4"/>
      <w:bookmarkEnd w:id="4"/>
      <w:r w:rsidDel="00000000" w:rsidR="00000000" w:rsidRPr="00000000">
        <w:rPr>
          <w:rFonts w:ascii="Ubuntu" w:cs="Ubuntu" w:eastAsia="Ubuntu" w:hAnsi="Ubuntu"/>
          <w:sz w:val="48"/>
          <w:szCs w:val="48"/>
          <w:rtl w:val="0"/>
        </w:rPr>
        <w:t xml:space="preserve">Ambiente para el sistema: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debe instalar la librería de uiautomator en python 2.7x:</w:t>
      </w:r>
    </w:p>
    <w:p w:rsidR="00000000" w:rsidDel="00000000" w:rsidP="00000000" w:rsidRDefault="00000000" w:rsidRPr="00000000" w14:paraId="00000035">
      <w:pPr>
        <w:jc w:val="center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ab/>
        <w:t xml:space="preserve">pip install uiautomator</w:t>
      </w:r>
    </w:p>
    <w:p w:rsidR="00000000" w:rsidDel="00000000" w:rsidP="00000000" w:rsidRDefault="00000000" w:rsidRPr="00000000" w14:paraId="00000036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Debe estar instalado “Android Studio” en la PC con ADB incluido (asegurarse de que la variable de entorno ADB está correctamente configurada):</w:t>
      </w:r>
    </w:p>
    <w:p w:rsidR="00000000" w:rsidDel="00000000" w:rsidP="00000000" w:rsidRDefault="00000000" w:rsidRPr="00000000" w14:paraId="00000038">
      <w:pPr>
        <w:ind w:left="1440" w:firstLine="0"/>
        <w:jc w:val="center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Se instala desde el SDK de Android studio</w:t>
      </w:r>
    </w:p>
    <w:p w:rsidR="00000000" w:rsidDel="00000000" w:rsidP="00000000" w:rsidRDefault="00000000" w:rsidRPr="00000000" w14:paraId="00000039">
      <w:pPr>
        <w:ind w:left="1440" w:firstLine="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celular debe estar en modo “Desarrollador”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Ubuntu" w:cs="Ubuntu" w:eastAsia="Ubuntu" w:hAnsi="Ubuntu"/>
          <w:i w:val="1"/>
        </w:rPr>
      </w:pPr>
      <w:hyperlink r:id="rId8">
        <w:r w:rsidDel="00000000" w:rsidR="00000000" w:rsidRPr="00000000">
          <w:rPr>
            <w:rFonts w:ascii="Ubuntu" w:cs="Ubuntu" w:eastAsia="Ubuntu" w:hAnsi="Ubuntu"/>
            <w:i w:val="1"/>
            <w:color w:val="1155cc"/>
            <w:u w:val="single"/>
            <w:rtl w:val="0"/>
          </w:rPr>
          <w:t xml:space="preserve">Tutorial en español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icono de calculadora y configuraciones deben estar en el menú principal del celular Android</w:t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rFonts w:ascii="Ubuntu" w:cs="Ubuntu" w:eastAsia="Ubuntu" w:hAnsi="Ubuntu"/>
          <w:sz w:val="48"/>
          <w:szCs w:val="48"/>
        </w:rPr>
      </w:pPr>
      <w:bookmarkStart w:colFirst="0" w:colLast="0" w:name="_n3hca0i7xvl0" w:id="5"/>
      <w:bookmarkEnd w:id="5"/>
      <w:r w:rsidDel="00000000" w:rsidR="00000000" w:rsidRPr="00000000">
        <w:rPr>
          <w:rFonts w:ascii="Ubuntu" w:cs="Ubuntu" w:eastAsia="Ubuntu" w:hAnsi="Ubuntu"/>
          <w:sz w:val="48"/>
          <w:szCs w:val="48"/>
          <w:rtl w:val="0"/>
        </w:rPr>
        <w:t xml:space="preserve">Dispositivo: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3.2899022801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3.6482084690554"/>
        <w:gridCol w:w="1735.4071661237786"/>
        <w:gridCol w:w="1794.2345276872966"/>
        <w:gridCol w:w="2325"/>
        <w:gridCol w:w="1365"/>
        <w:tblGridChange w:id="0">
          <w:tblGrid>
            <w:gridCol w:w="1823.6482084690554"/>
            <w:gridCol w:w="1735.4071661237786"/>
            <w:gridCol w:w="1794.2345276872966"/>
            <w:gridCol w:w="232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Número serial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Versión de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Versión de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Lenguaje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Galaxy S10+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4CE0460D0G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4.14.62-18098146 28/03/2020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Inglés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color w:val="cccccc"/>
      </w:rPr>
    </w:pPr>
    <w:r w:rsidDel="00000000" w:rsidR="00000000" w:rsidRPr="00000000">
      <w:rPr>
        <w:color w:val="cccccc"/>
        <w:rtl w:val="0"/>
      </w:rPr>
      <w:t xml:space="preserve">Jorge Villalobos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eveloper.android.com/studio/debug/dev-op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