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547F19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154643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5E0E9D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81681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0" type="#_x0000_t75" style="width:10.5pt;height:13.5pt" o:ole="">
                        <v:imagedata r:id="rId12" o:title=""/>
                      </v:shape>
                      <w:control r:id="rId13" w:name="Forma3721111111171" w:shapeid="_x0000_i1040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3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3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3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5" o:title=""/>
                      </v:shape>
                      <w:control r:id="rId16" w:name="Forma3721111111153" w:shapeid="_x0000_i1042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3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7" type="#_x0000_t75" style="width:10.5pt;height:13.5pt" o:ole="">
                        <v:imagedata r:id="rId12" o:title=""/>
                      </v:shape>
                      <w:control r:id="rId17" w:name="Forma3721111111172" w:shapeid="_x0000_i1047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786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547F19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539CE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En el proceso de cierre de fin de mes, Cartera por Concepto, no se tienen encuenta los cargos con cuenta de cobro a la -1 que en el mes siguiente se facturan, al conciliar la cartera al cierre, se presentan diferencias originados por esta inconveniente, como evidencia a lo anterior, se anexan algunos casos y cargos que a final de mayo quedaron con cuenta de cobro a la -1.</w:t>
            </w:r>
          </w:p>
          <w:p w:rsidR="0081681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Lo preocupante de esta situación, es que estos cargos a la -1, no se contabilizan en ningún momento, ya que el cargo queda con fecha de creacion de un mes y su cuenta de cobro en otro.</w:t>
            </w:r>
          </w:p>
          <w:p w:rsidR="0081681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816811" w:rsidRDefault="00816811" w:rsidP="00816811">
            <w:r>
              <w:t>Caso presentado en Abril;</w:t>
            </w:r>
          </w:p>
          <w:p w:rsidR="00816811" w:rsidRDefault="00816811" w:rsidP="00816811">
            <w:r>
              <w:t xml:space="preserve">Producto = </w:t>
            </w:r>
            <w:r w:rsidRPr="009C638A">
              <w:t>50293403</w:t>
            </w:r>
            <w:r>
              <w:t>;</w:t>
            </w:r>
          </w:p>
          <w:p w:rsidR="00816811" w:rsidRDefault="00816811" w:rsidP="00816811">
            <w:r>
              <w:t>Conciliación al 31 de marzo</w:t>
            </w:r>
          </w:p>
          <w:tbl>
            <w:tblPr>
              <w:tblW w:w="82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1544"/>
              <w:gridCol w:w="1990"/>
              <w:gridCol w:w="1669"/>
              <w:gridCol w:w="1649"/>
            </w:tblGrid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324.164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28/02/2015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Pero quedaron los siguientes cargos con cuenta de cobro a la -1 con fecha de marzo</w:t>
            </w: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702"/>
              <w:gridCol w:w="729"/>
              <w:gridCol w:w="724"/>
              <w:gridCol w:w="679"/>
              <w:gridCol w:w="696"/>
              <w:gridCol w:w="749"/>
              <w:gridCol w:w="718"/>
              <w:gridCol w:w="735"/>
              <w:gridCol w:w="707"/>
              <w:gridCol w:w="674"/>
              <w:gridCol w:w="690"/>
              <w:gridCol w:w="849"/>
            </w:tblGrid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 xml:space="preserve"> CARGVALO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CARGUNID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863.187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969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831.082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942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1.129.622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1274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838.270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899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249.000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     3.911.161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 w:rsidRPr="000E3A03">
              <w:t>Conciliación</w:t>
            </w:r>
            <w:r>
              <w:t xml:space="preserve"> al 30 de Abril, el saldo al cierre es cero (0), para que de este saldo abril, los cargos a la -1 se debieron contabilizar en marzo o en abril haber corregido la fecha de creación.</w:t>
            </w:r>
          </w:p>
          <w:tbl>
            <w:tblPr>
              <w:tblW w:w="82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9"/>
              <w:gridCol w:w="1599"/>
              <w:gridCol w:w="1839"/>
              <w:gridCol w:w="1599"/>
              <w:gridCol w:w="1602"/>
            </w:tblGrid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-       4.329.696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</w:tbl>
          <w:p w:rsidR="00816811" w:rsidRDefault="00816811" w:rsidP="00816811"/>
          <w:p w:rsidR="00816811" w:rsidRPr="001C50E1" w:rsidRDefault="00816811" w:rsidP="00816811">
            <w:pPr>
              <w:rPr>
                <w:rFonts w:ascii="Calibri" w:hAnsi="Calibri"/>
                <w:color w:val="000000"/>
                <w:lang w:eastAsia="es-CO"/>
              </w:rPr>
            </w:pPr>
            <w:r>
              <w:t>Cargos del mes de abril</w:t>
            </w:r>
            <w:r>
              <w:tab/>
            </w:r>
            <w:r>
              <w:tab/>
            </w:r>
            <w:r>
              <w:tab/>
            </w:r>
            <w:r w:rsidRPr="001C50E1">
              <w:rPr>
                <w:rFonts w:ascii="Calibri" w:hAnsi="Calibri"/>
                <w:color w:val="000000"/>
                <w:lang w:eastAsia="es-CO"/>
              </w:rPr>
              <w:t xml:space="preserve">     </w:t>
            </w:r>
          </w:p>
          <w:tbl>
            <w:tblPr>
              <w:tblW w:w="82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679"/>
              <w:gridCol w:w="696"/>
              <w:gridCol w:w="696"/>
              <w:gridCol w:w="652"/>
              <w:gridCol w:w="663"/>
              <w:gridCol w:w="815"/>
              <w:gridCol w:w="1007"/>
              <w:gridCol w:w="702"/>
              <w:gridCol w:w="691"/>
              <w:gridCol w:w="635"/>
              <w:gridCol w:w="849"/>
            </w:tblGrid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CARGVALO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10.174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CN-201503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5.927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39.840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3.341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CB-201503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110.968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CO-201503-TC-0001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2889797727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109166550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09/04/2015 14:31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7.834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85.443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191.724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    176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1.099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17.388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lastRenderedPageBreak/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30.676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    228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1.427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22.585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4.564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2.572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2.819.775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5.577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109557506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938.823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109557506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-       4.329.696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>
            <w:r>
              <w:t>Producto = 50167407;</w:t>
            </w:r>
          </w:p>
          <w:p w:rsidR="00816811" w:rsidRDefault="00816811" w:rsidP="00816811">
            <w:r>
              <w:t>Conciliación al 31 de marzo</w:t>
            </w:r>
          </w:p>
          <w:tbl>
            <w:tblPr>
              <w:tblW w:w="818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1590"/>
              <w:gridCol w:w="1828"/>
              <w:gridCol w:w="1590"/>
              <w:gridCol w:w="1590"/>
            </w:tblGrid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Cargos con cuenta de cobro a la -1 que quedaron al cierre de Abril, el periodo de facturación es de mayo.</w:t>
            </w:r>
          </w:p>
          <w:tbl>
            <w:tblPr>
              <w:tblW w:w="819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702"/>
              <w:gridCol w:w="729"/>
              <w:gridCol w:w="724"/>
              <w:gridCol w:w="679"/>
              <w:gridCol w:w="696"/>
              <w:gridCol w:w="724"/>
              <w:gridCol w:w="718"/>
              <w:gridCol w:w="735"/>
              <w:gridCol w:w="707"/>
              <w:gridCol w:w="674"/>
              <w:gridCol w:w="849"/>
            </w:tblGrid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CARGVALO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614.854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249.000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577.240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630.298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     2.071.392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Conciliación al 31 de Mayo</w:t>
            </w:r>
          </w:p>
          <w:tbl>
            <w:tblPr>
              <w:tblW w:w="822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596"/>
              <w:gridCol w:w="1835"/>
              <w:gridCol w:w="1596"/>
              <w:gridCol w:w="1598"/>
            </w:tblGrid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-       2.071.392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31/05/2015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pPr>
              <w:jc w:val="both"/>
            </w:pPr>
            <w:r>
              <w:t>El saldo final debió quedar en cero, siempre y cuando el saldo final de marzo haya tenido en cuenta los cargos a la -1 o haber corregido la fecha al momento de asignar la cuenta de cobro.</w:t>
            </w:r>
          </w:p>
          <w:p w:rsidR="00816811" w:rsidRDefault="00816811" w:rsidP="00816811">
            <w:pPr>
              <w:jc w:val="both"/>
            </w:pPr>
          </w:p>
          <w:p w:rsidR="00816811" w:rsidRDefault="00816811" w:rsidP="00816811">
            <w:pPr>
              <w:jc w:val="both"/>
            </w:pPr>
            <w:r>
              <w:t>Se Adjunta en un Excel los cargos que a final del mes de Mayo quedaron con cuenta de cobro a la -1 y que en el transcurso de este se han ido facturando.</w:t>
            </w:r>
          </w:p>
          <w:p w:rsidR="00816811" w:rsidRDefault="00816811" w:rsidP="00816811">
            <w:pPr>
              <w:jc w:val="both"/>
            </w:pPr>
          </w:p>
          <w:p w:rsidR="00816811" w:rsidRDefault="00816811" w:rsidP="00816811">
            <w:pPr>
              <w:jc w:val="both"/>
            </w:pPr>
            <w:r>
              <w:t>Se adjunta la consulta con la</w:t>
            </w:r>
            <w:r w:rsidR="00750E71">
              <w:t xml:space="preserve"> </w:t>
            </w:r>
            <w:r>
              <w:t>que se conciliación</w:t>
            </w:r>
            <w:r w:rsidR="00750E71">
              <w:t xml:space="preserve"> la cartera a final de mes</w:t>
            </w:r>
            <w:r>
              <w:t>;</w:t>
            </w:r>
          </w:p>
          <w:p w:rsidR="00816811" w:rsidRDefault="00816811" w:rsidP="00816811">
            <w:pPr>
              <w:jc w:val="both"/>
            </w:pP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s-CO" w:eastAsia="es-CO"/>
              </w:rPr>
              <w:t>-- CONCILIACION CARTERA CORRIENTE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(VALOR),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s-CO" w:eastAsia="es-CO"/>
              </w:rPr>
              <w:t>-- SALDO INICIAL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(VALOR) VALOR,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'1_SI'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caccserv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nvl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decode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(caccnaca,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'N'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,caccsape)),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0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 VALOR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lastRenderedPageBreak/>
              <w:t xml:space="preserve">  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open.ic_cartcoco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WHERE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caccfege =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'30/04/2015'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caccserv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 &lt;&gt;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ALL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SALDO FINAL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(VALOR),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'3_SF'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caccserv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NVL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((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decode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(caccnaca,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'N'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,caccsape))*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),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0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) VALOR,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'SF'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open.ic_cartcoco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caccfege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'31/05/2015'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caccserv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 &lt;&gt;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GROUP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BY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UNION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ALL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s-CO" w:eastAsia="es-CO"/>
              </w:rPr>
              <w:t>-- MOVIMIENTO DEL MES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servicio,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(valor),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'2_CARG'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TIPO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(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select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sesuserv servicio, 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sum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decode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(cargsign,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'PA'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'AP'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'SA'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'AS'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'CR'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'DB'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, 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, -</w:t>
            </w:r>
            <w:r w:rsidRPr="00547F1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 * cargvalo) valor</w:t>
            </w:r>
          </w:p>
          <w:p w:rsidR="00816811" w:rsidRPr="00547F19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 </w:t>
            </w:r>
            <w:r w:rsidRPr="00547F1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from</w:t>
            </w: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open.cargos, open.servsusc s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547F1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cargcuco !=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cargfecr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'01-05-2015'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cargfecr &lt;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'01-06-2015'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cargsign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'TS'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'ST'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cargnuse = sesunuse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sesuserv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SERVICIO,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Pr="00547F19" w:rsidRDefault="00816811" w:rsidP="00816811">
            <w:pPr>
              <w:jc w:val="both"/>
              <w:rPr>
                <w:lang w:val="en-US"/>
              </w:rPr>
            </w:pPr>
          </w:p>
          <w:p w:rsidR="00816811" w:rsidRPr="00547F19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val="en-US"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lastRenderedPageBreak/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Default="00547F19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Oscar Restrepo :</w:t>
            </w:r>
          </w:p>
          <w:p w:rsidR="00547F19" w:rsidRDefault="007151CC" w:rsidP="00583FC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</w:pPr>
            <w:r w:rsidRPr="007151CC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  <w:t>Se re</w:t>
            </w:r>
            <w:r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  <w:t>aliza la validación del documento de análisis y se identifica lo siguiente:</w:t>
            </w:r>
          </w:p>
          <w:p w:rsidR="00ED7902" w:rsidRDefault="00ED7902" w:rsidP="00583FC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n-US"/>
              </w:rPr>
            </w:pPr>
          </w:p>
          <w:p w:rsidR="007151CC" w:rsidRDefault="007151CC" w:rsidP="007151CC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>El Script utilizado no contempla el movimiento de los cargos según la lógica que tiene OSF para generar tanto la información de “cartera por comprobante y concepto” como los hechos económicos, los cuales tienen cuenta el tipo de los cargos par identificar la fecha que afecta el movimiento , estas consideraciones son las siguientes:</w:t>
            </w:r>
          </w:p>
          <w:p w:rsidR="007151CC" w:rsidRDefault="001552EB" w:rsidP="007151CC">
            <w:pPr>
              <w:pStyle w:val="Prrafodelista"/>
              <w:numPr>
                <w:ilvl w:val="1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>Los cargos Tipo P son tenido en cuenta por la fecha del cargo (cargfecr).</w:t>
            </w:r>
          </w:p>
          <w:p w:rsidR="001552EB" w:rsidRDefault="001552EB" w:rsidP="007151CC">
            <w:pPr>
              <w:pStyle w:val="Prrafodelista"/>
              <w:numPr>
                <w:ilvl w:val="1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lastRenderedPageBreak/>
              <w:t>Los cargos tipo A son tenidos en cuenta únicamente cuando están asociados a una cuenta de cobro, y la fecha que toman los procesos es la fecha de la Factura , a la cual se llega desde la cuenta de cobro en cargos (cargcuco), pasando por la cuenta de cobro en cuencobr y finalmente en la tabla factura esta la fecha.</w:t>
            </w:r>
          </w:p>
          <w:p w:rsidR="00ED7902" w:rsidRDefault="00ED7902" w:rsidP="00ED790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>Para realizar la validación del comportamiento de la “cartera por comprobante y concepto” se recomienda validar de la misma forma que actualmente se hace en GDO, la cual consiste en toma la información de los meses inicial y Final, y, tomar el movimiento de los diferidos, y los hechos económicos, los Scripts se adjuntan en los siguientes archivos.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br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begin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instrText xml:space="preserve"> LINK Excel.Sheet.12 "E:\\DISCO_E\\PETI\\A_VALIDACION_PRODUCCION\\A_A_REDI\\CASOS_GDC\\00_Incidente_154643\\Foto_Marzo_2015_GDC.xlsx" "" \a \p \f 0 </w:instrTex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separate"/>
            </w:r>
            <w:r w:rsidR="00D331DD"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35" type="#_x0000_t75" style="width:78pt;height:50.5pt">
                  <v:imagedata r:id="rId18" o:title=""/>
                </v:shape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end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begin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instrText xml:space="preserve"> LINK Excel.Sheet.12 "E:\\DISCO_E\\PETI\\A_VALIDACION_PRODUCCION\\A_A_REDI\\CASOS_GDC\\00_Incidente_154643\\Hechos_Abril_2015_GDC.xlsx" "" \a \p \f 0 </w:instrTex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separate"/>
            </w:r>
            <w:r w:rsidR="00D331DD"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36" type="#_x0000_t75" style="width:78pt;height:50.5pt">
                  <v:imagedata r:id="rId19" o:title=""/>
                </v:shape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end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begin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instrText xml:space="preserve"> LINK Excel.Sheet.12 "E:\\DISCO_E\\PETI\\A_VALIDACION_PRODUCCION\\A_A_REDI\\CASOS_GDC\\00_Incidente_154643\\Diferido_Abril_2015_GDC.xlsx" "" \a \p \f 0 </w:instrTex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separate"/>
            </w:r>
            <w:r w:rsidR="00D331DD"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37" type="#_x0000_t75" style="width:78pt;height:50.5pt">
                  <v:imagedata r:id="rId20" o:title=""/>
                </v:shape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end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begin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instrText xml:space="preserve"> LINK Excel.Sheet.12 "E:\\DISCO_E\\PETI\\A_VALIDACION_PRODUCCION\\A_A_REDI\\CASOS_GDC\\00_Incidente_154643\\Foto_Abril_2015_GDC.xlsx" "" \a \p \f 0 </w:instrTex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separate"/>
            </w:r>
            <w:r w:rsidR="00D331DD"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38" type="#_x0000_t75" style="width:78pt;height:50.5pt">
                  <v:imagedata r:id="rId21" o:title=""/>
                </v:shape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end"/>
            </w:r>
          </w:p>
          <w:p w:rsidR="00ED7902" w:rsidRDefault="00ED7902" w:rsidP="00ED790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>El comparativo no arroja diferencias significativas: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br/>
            </w:r>
            <w:r>
              <w:rPr>
                <w:noProof/>
                <w:lang w:eastAsia="es-CO"/>
              </w:rPr>
              <w:drawing>
                <wp:inline distT="0" distB="0" distL="0" distR="0" wp14:anchorId="579C1627" wp14:editId="40D148B1">
                  <wp:extent cx="5615940" cy="1652905"/>
                  <wp:effectExtent l="0" t="0" r="381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902" w:rsidRDefault="00B60765" w:rsidP="00B60765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Se hace la validación con el producto </w:t>
            </w:r>
            <w:r w:rsidRPr="00B60765">
              <w:rPr>
                <w:rFonts w:cs="Arial"/>
                <w:i/>
                <w:color w:val="808080"/>
                <w:sz w:val="20"/>
                <w:szCs w:val="20"/>
              </w:rPr>
              <w:t>50293403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, y se indica en la columna </w:t>
            </w:r>
            <w:r w:rsidRPr="00B60765">
              <w:rPr>
                <w:rFonts w:cs="Arial"/>
                <w:i/>
                <w:color w:val="808080"/>
                <w:sz w:val="20"/>
                <w:szCs w:val="20"/>
              </w:rPr>
              <w:t>CARGFECR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 la fecha del cargo, y en la columna </w:t>
            </w:r>
            <w:r w:rsidRPr="00B60765">
              <w:rPr>
                <w:rFonts w:cs="Arial"/>
                <w:i/>
                <w:color w:val="808080"/>
                <w:sz w:val="20"/>
                <w:szCs w:val="20"/>
              </w:rPr>
              <w:t>FECHAMOVIMIENTO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 xml:space="preserve"> la fecha cuando el cargo es tenido en cuenta por los procesos:</w:t>
            </w:r>
          </w:p>
          <w:p w:rsidR="00B60765" w:rsidRDefault="00B60765" w:rsidP="00B60765">
            <w:pPr>
              <w:pStyle w:val="Prrafodelista"/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0EBDFA9" wp14:editId="6A0D823F">
                  <wp:extent cx="5615940" cy="1199515"/>
                  <wp:effectExtent l="0" t="0" r="381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Start w:id="0" w:name="_GoBack"/>
          <w:p w:rsidR="00B60765" w:rsidRPr="007151CC" w:rsidRDefault="00B60765" w:rsidP="00B60765">
            <w:pPr>
              <w:pStyle w:val="Prrafodelista"/>
              <w:jc w:val="both"/>
              <w:rPr>
                <w:rFonts w:cs="Arial"/>
                <w:i/>
                <w:color w:val="808080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begin"/>
            </w:r>
            <w:r>
              <w:rPr>
                <w:rFonts w:cs="Arial"/>
                <w:i/>
                <w:color w:val="808080"/>
                <w:sz w:val="20"/>
                <w:szCs w:val="20"/>
              </w:rPr>
              <w:instrText xml:space="preserve"> LINK Excel.Sheet.12 "E:\\DISCO_E\\PETI\\A_VALIDACION_PRODUCCION\\A_A_REDI\\CASOS_GDC\\00_Incidente_154643\\Valida_Producto_50293403.xlsx" "" \a \p \f 0 </w:instrTex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separate"/>
            </w:r>
            <w:r w:rsidR="00D331DD">
              <w:rPr>
                <w:rFonts w:cs="Arial"/>
                <w:i/>
                <w:color w:val="808080"/>
                <w:sz w:val="20"/>
                <w:szCs w:val="20"/>
              </w:rPr>
              <w:object w:dxaOrig="1551" w:dyaOrig="1004">
                <v:shape id="_x0000_i1039" type="#_x0000_t75" style="width:78pt;height:50.5pt">
                  <v:imagedata r:id="rId24" o:title=""/>
                </v:shape>
              </w:objec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fldChar w:fldCharType="end"/>
            </w:r>
            <w:bookmarkEnd w:id="0"/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lastRenderedPageBreak/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lastRenderedPageBreak/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Default="00730ACB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Validación de cuadre de Cartera por comprobante y concepto de OSF para los mese de Marzo y Abril de 2015, las diferencias que se identifican son irrelevantes:</w:t>
            </w:r>
          </w:p>
          <w:p w:rsidR="00730ACB" w:rsidRPr="004422D1" w:rsidRDefault="00730ACB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2A1AD0D" wp14:editId="0682084D">
                  <wp:extent cx="4095750" cy="34480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540FAA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5C1A1E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lastRenderedPageBreak/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OPCIONAL?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Char, Number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los campos por los cuales debe estar restringido el reporte. Por ejemplo, sociedad, centro de costo, etc&gt;&gt;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OPCIONAL?</w:t>
                  </w:r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26"/>
      <w:footerReference w:type="even" r:id="rId27"/>
      <w:footerReference w:type="default" r:id="rId28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D331DD">
      <w:rPr>
        <w:b/>
        <w:noProof/>
        <w:sz w:val="16"/>
        <w:szCs w:val="16"/>
      </w:rPr>
      <w:t>8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D331DD">
      <w:rPr>
        <w:b/>
        <w:noProof/>
        <w:sz w:val="16"/>
        <w:szCs w:val="16"/>
      </w:rPr>
      <w:t>8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34618"/>
    <w:multiLevelType w:val="hybridMultilevel"/>
    <w:tmpl w:val="821E54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552EB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47F1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B5F77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0E9D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250B5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151CC"/>
    <w:rsid w:val="0072202B"/>
    <w:rsid w:val="00722514"/>
    <w:rsid w:val="007261BA"/>
    <w:rsid w:val="00730ACB"/>
    <w:rsid w:val="0073149F"/>
    <w:rsid w:val="007319C5"/>
    <w:rsid w:val="00732EB8"/>
    <w:rsid w:val="00736913"/>
    <w:rsid w:val="00750E71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16811"/>
    <w:rsid w:val="008262F5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17D5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25F0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04EA"/>
    <w:rsid w:val="00B512C0"/>
    <w:rsid w:val="00B60765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463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31DD"/>
    <w:rsid w:val="00D34714"/>
    <w:rsid w:val="00D36F8E"/>
    <w:rsid w:val="00D44AAD"/>
    <w:rsid w:val="00D4602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D7902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media/image5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emf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2C100D-D747-4C62-9768-7E2B61C2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1979</Words>
  <Characters>13010</Characters>
  <Application>Microsoft Office Word</Application>
  <DocSecurity>4</DocSecurity>
  <Lines>108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</cp:revision>
  <dcterms:created xsi:type="dcterms:W3CDTF">2015-06-17T22:38:00Z</dcterms:created>
  <dcterms:modified xsi:type="dcterms:W3CDTF">2015-06-17T22:38:00Z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