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D3B5F" w:rsidP="007D3B5F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31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-03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7.5pt;height:14.5pt" o:ole="">
                        <v:imagedata r:id="rId12" o:title=""/>
                      </v:shape>
                      <w:control r:id="rId13" w:name="Forma3721111111171" w:shapeid="_x0000_i1026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006A44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006A44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006A44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5pt;height:14.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1440" w:dyaOrig="1440">
                      <v:shape id="_x0000_i1031" type="#_x0000_t75" style="width:7.5pt;height:14.5pt" o:ole="">
                        <v:imagedata r:id="rId14" o:title=""/>
                      </v:shape>
                      <w:control r:id="rId15" w:name="Forma3721111111153" w:shapeid="_x0000_i1031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006A44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1440" w:dyaOrig="1440">
                      <v:shape id="_x0000_i1034" type="#_x0000_t75" style="width:7.5pt;height:14.5pt" o:ole="">
                        <v:imagedata r:id="rId12" o:title=""/>
                      </v:shape>
                      <w:control r:id="rId16" w:name="Forma3721111111172" w:shapeid="_x0000_i1034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1A172A" w:rsidRPr="001A172A" w:rsidRDefault="001A172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>Ejecutar el proceso de Resu</w:t>
            </w:r>
            <w:r w:rsidR="007D3B5F">
              <w:rPr>
                <w:rFonts w:ascii="Calibri" w:hAnsi="Calibri" w:cs="Arial"/>
                <w:sz w:val="20"/>
                <w:szCs w:val="20"/>
                <w:lang w:eastAsia="en-US"/>
              </w:rPr>
              <w:t>men de Recaudo, RESURECA, para los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7D3B5F">
              <w:rPr>
                <w:rFonts w:ascii="Calibri" w:hAnsi="Calibri" w:cs="Arial"/>
                <w:sz w:val="20"/>
                <w:szCs w:val="20"/>
                <w:lang w:eastAsia="en-US"/>
              </w:rPr>
              <w:t>días 3 y 27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 Marzo del 2015</w:t>
            </w: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</w:p>
          <w:p w:rsidR="00E6757C" w:rsidRPr="004422D1" w:rsidRDefault="007D3B5F" w:rsidP="007D3B5F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En el </w:t>
            </w: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dia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ayer se </w:t>
            </w: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aplico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una mejora por parte de OPEN al proceso</w:t>
            </w:r>
            <w:bookmarkStart w:id="0" w:name="_GoBack"/>
            <w:bookmarkEnd w:id="0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por un error presentado estos días. </w:t>
            </w: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7"/>
      <w:footerReference w:type="even" r:id="rId18"/>
      <w:footerReference w:type="default" r:id="rId19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006A44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006A44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3237"/>
    <w:rsid w:val="003932E9"/>
    <w:rsid w:val="00395AAB"/>
    <w:rsid w:val="003B2DBD"/>
    <w:rsid w:val="003B3AD0"/>
    <w:rsid w:val="003C1029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2E87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69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ontrol" Target="activeX/activeX2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4C2145-78ED-41AA-B523-EAC0A7584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798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Ludycom</cp:lastModifiedBy>
  <cp:revision>13</cp:revision>
  <dcterms:created xsi:type="dcterms:W3CDTF">2015-03-16T22:36:00Z</dcterms:created>
  <dcterms:modified xsi:type="dcterms:W3CDTF">2015-03-31T13:44:00Z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