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uees_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cr="http://schemas.microsoft.com/office/comments/2020/reactions" mc:Ignorable="w14 w15 wp14">
  <w:body>
    <w:p w:rsidR="00000000" w:rsidDel="00000000" w:rsidP="00000000" w:rsidRDefault="00000000" w:rsidRPr="00000000" w14:paraId="00000001">
      <w:pPr>
        <w:rPr/>
      </w:pPr>
      <w:r w:rsidDel="00000000" w:rsidR="00000000" w:rsidRPr="00000000">
        <w:rPr/>
        <w:drawing>
          <wp:anchor allowOverlap="1" behindDoc="1" distB="114300" distT="114300" distL="114300" distR="114300" hidden="0" layoutInCell="1" locked="0" relativeHeight="0" simplePos="0">
            <wp:simplePos x="0" y="0"/>
            <wp:positionH relativeFrom="page">
              <wp:posOffset>2897</wp:posOffset>
            </wp:positionH>
            <wp:positionV relativeFrom="page">
              <wp:posOffset>-14287</wp:posOffset>
            </wp:positionV>
            <wp:extent cx="7572375" cy="10733675"/>
            <wp:effectExtent b="0" l="0" r="0" t="0"/>
            <wp:wrapNone/>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572375" cy="10733675"/>
                    </a:xfrm>
                    <a:prstGeom prst="rect"/>
                    <a:ln/>
                  </pic:spPr>
                </pic:pic>
              </a:graphicData>
            </a:graphic>
          </wp:anchor>
        </w:drawing>
      </w:r>
      <w:r w:rsidDel="00000000" w:rsidR="00000000" w:rsidRPr="00000000">
        <w:rPr/>
        <mc:AlternateContent>
          <mc:Choice Requires="wpg">
            <w:drawing>
              <wp:inline distB="114300" distT="114300" distL="114300" distR="114300">
                <wp:extent cx="5727600" cy="50400"/>
                <wp:effectExtent b="0" l="0" r="0" t="0"/>
                <wp:docPr id="1" name=""/>
                <a:graphic>
                  <a:graphicData uri="http://schemas.microsoft.com/office/word/2010/wordprocessingShape">
                    <wps:wsp>
                      <wps:cNvSpPr/>
                      <wps:cNvPr id="2" name="Shape 2"/>
                      <wps:spPr>
                        <a:xfrm>
                          <a:off x="131975" y="375575"/>
                          <a:ext cx="7440600" cy="121800"/>
                        </a:xfrm>
                        <a:prstGeom prst="rect">
                          <a:avLst/>
                        </a:prstGeom>
                        <a:solidFill>
                          <a:srgbClr val="791632"/>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27600" cy="50400"/>
                <wp:effectExtent b="0" l="0" r="0" t="0"/>
                <wp:docPr id="1"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5727600" cy="50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color w:val="791632"/>
          <w:sz w:val="24"/>
          <w:szCs w:val="24"/>
        </w:rPr>
      </w:pPr>
      <w:r w:rsidDel="00000000" w:rsidR="00000000" w:rsidRPr="00000000">
        <w:rPr>
          <w:b w:val="1"/>
          <w:color w:val="791632"/>
          <w:sz w:val="24"/>
          <w:szCs w:val="24"/>
          <w:rtl w:val="0"/>
        </w:rPr>
        <w:t xml:space="preserve">Nombre del proyecto</w:t>
      </w:r>
    </w:p>
    <w:p w:rsidR="00000000" w:rsidDel="00000000" w:rsidP="00000000" w:rsidRDefault="00000000" w:rsidRPr="00000000" w14:paraId="00000004">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8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t>Clasificación automática de normativa sobre inteligencia artificial en la educación superior de América Latina y el Caribe: hacia un Índice de Madurez Normativa (IMN) escalable</w:t>
              <w:br/>
              <w:br/>
            </w:r>
            <w:r>
              <w:rPr>
                <w:b/>
              </w:rPr>
              <w:t>Entregable: Workshop: Impacto Social y Responsabilidad en el Proyecto de IA · Semana 4 · Proyecto Integrador en IA</w:t>
            </w:r>
          </w:p>
        </w:tc>
      </w:tr>
    </w:tbl>
    <w:p w:rsidR="00000000" w:rsidDel="00000000" w:rsidP="00000000" w:rsidRDefault="00000000" w:rsidRPr="00000000" w14:paraId="00000006">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791632"/>
              </w:rPr>
            </w:pPr>
            <w:r w:rsidDel="00000000" w:rsidR="00000000" w:rsidRPr="00000000">
              <w:rPr>
                <w:b w:val="1"/>
                <w:color w:val="791632"/>
                <w:rtl w:val="0"/>
              </w:rPr>
              <w:t xml:space="preserve">Profesor</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791632"/>
              </w:rPr>
            </w:pPr>
            <w:r w:rsidDel="00000000" w:rsidR="00000000" w:rsidRPr="00000000">
              <w:rPr>
                <w:b w:val="1"/>
                <w:color w:val="791632"/>
                <w:rtl w:val="0"/>
              </w:rPr>
              <w:t xml:space="preserve">Materia</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791632"/>
              </w:rPr>
            </w:pPr>
            <w:r w:rsidDel="00000000" w:rsidR="00000000" w:rsidRPr="00000000">
              <w:rPr>
                <w:b w:val="1"/>
                <w:color w:val="791632"/>
                <w:rtl w:val="0"/>
              </w:rPr>
              <w:t xml:space="preserve">Fecha de Inicio</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791632"/>
              </w:rPr>
            </w:pPr>
            <w:r w:rsidDel="00000000" w:rsidR="00000000" w:rsidRPr="00000000">
              <w:rPr>
                <w:b w:val="1"/>
                <w:color w:val="791632"/>
                <w:rtl w:val="0"/>
              </w:rPr>
              <w:t xml:space="preserve">Fecha de Finalización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ff2cc" w:val="clear"/>
              </w:rPr>
            </w:pPr>
            <w:r>
              <w:rPr>
                <w:b w:val="0"/>
              </w:rPr>
              <w:t>Gladys María Villegas Rugel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d9d9d9" w:val="clear"/>
              </w:rPr>
            </w:pPr>
            <w:r>
              <w:rPr>
                <w:b w:val="0"/>
              </w:rPr>
              <w:t>Proyecto Integrador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d9d9d9" w:val="clear"/>
              </w:rPr>
            </w:pPr>
            <w:r>
              <w:rPr>
                <w:b w:val="0"/>
              </w:rPr>
              <w:t>8 de septiembre de 2026</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d9d9d9" w:val="clear"/>
              </w:rPr>
            </w:pPr>
            <w:r>
              <w:rPr>
                <w:b w:val="0"/>
              </w:rPr>
              <w:t>25 de octubre de 2026</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b w:val="1"/>
          <w:color w:val="791632"/>
          <w:sz w:val="24"/>
          <w:szCs w:val="24"/>
        </w:rPr>
      </w:pPr>
      <w:r w:rsidDel="00000000" w:rsidR="00000000" w:rsidRPr="00000000">
        <w:rPr>
          <w:b w:val="1"/>
          <w:color w:val="791632"/>
          <w:sz w:val="24"/>
          <w:szCs w:val="24"/>
          <w:rtl w:val="0"/>
        </w:rPr>
        <w:t xml:space="preserve">Resumen del Proyecto </w:t>
      </w:r>
    </w:p>
    <w:p w:rsidR="00000000" w:rsidDel="00000000" w:rsidP="00000000" w:rsidRDefault="00000000" w:rsidRPr="00000000" w14:paraId="00000012">
      <w:pPr>
        <w:rPr>
          <w:b w:val="1"/>
          <w:color w:val="791632"/>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15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791632"/>
              </w:rPr>
            </w:pPr>
            <w:r>
              <w:rPr>
                <w:b w:val="0"/>
              </w:rPr>
              <w:t>Análisis sistemático de impacto social y responsabilidad del clasificador de normativa sobre IA del corpus GENIAL: contexto, siete grupos de stakeholders, impactos positivos y negativos, auditoría de equidad por jurisdicción, seis riesgos éticos con evidencia, estrategias de mitigación, framework de responsabilidad, compliance (RGPD, LOPDP, Ley de IA de la UE, UNESCO) y compromiso ético; anexos con model card y datasheet.</w:t>
            </w:r>
          </w:p>
        </w:tc>
      </w:tr>
    </w:tbl>
    <w:p w:rsidR="00000000" w:rsidDel="00000000" w:rsidP="00000000" w:rsidRDefault="00000000" w:rsidRPr="00000000" w14:paraId="00000014">
      <w:pPr>
        <w:rPr>
          <w:b w:val="1"/>
          <w:color w:val="791632"/>
        </w:rPr>
      </w:pPr>
      <w:r w:rsidDel="00000000" w:rsidR="00000000" w:rsidRPr="00000000">
        <w:rPr>
          <w:rtl w:val="0"/>
        </w:rPr>
      </w:r>
    </w:p>
    <w:p w:rsidR="00000000" w:rsidDel="00000000" w:rsidP="00000000" w:rsidRDefault="00000000" w:rsidRPr="00000000" w14:paraId="00000015">
      <w:pPr>
        <w:rPr>
          <w:b w:val="1"/>
          <w:color w:val="791632"/>
        </w:rPr>
      </w:pPr>
      <w:r w:rsidDel="00000000" w:rsidR="00000000" w:rsidRPr="00000000">
        <w:rPr>
          <w:rtl w:val="0"/>
        </w:rPr>
      </w:r>
    </w:p>
    <w:p w:rsidR="00000000" w:rsidDel="00000000" w:rsidP="00000000" w:rsidRDefault="00000000" w:rsidRPr="00000000" w14:paraId="00000016">
      <w:pPr>
        <w:rPr/>
      </w:pPr>
      <w:r w:rsidDel="00000000" w:rsidR="00000000" w:rsidRPr="00000000">
        <w:rPr>
          <w:b w:val="1"/>
          <w:color w:val="791632"/>
          <w:rtl w:val="0"/>
        </w:rPr>
        <w:t xml:space="preserve">Responsables del proyecto</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830"/>
        <w:gridCol w:w="4170"/>
        <w:tblGridChange w:id="0">
          <w:tblGrid>
            <w:gridCol w:w="3000"/>
            <w:gridCol w:w="1830"/>
            <w:gridCol w:w="417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791632"/>
              </w:rPr>
            </w:pPr>
            <w:r w:rsidDel="00000000" w:rsidR="00000000" w:rsidRPr="00000000">
              <w:rPr>
                <w:b w:val="1"/>
                <w:color w:val="791632"/>
                <w:rtl w:val="0"/>
              </w:rPr>
              <w:t xml:space="preserve">Nombre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791632"/>
              </w:rPr>
            </w:pPr>
            <w:r w:rsidDel="00000000" w:rsidR="00000000" w:rsidRPr="00000000">
              <w:rPr>
                <w:b w:val="1"/>
                <w:color w:val="791632"/>
                <w:rtl w:val="0"/>
              </w:rPr>
              <w:t xml:space="preserve">Rol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791632"/>
              </w:rPr>
            </w:pPr>
            <w:r w:rsidDel="00000000" w:rsidR="00000000" w:rsidRPr="00000000">
              <w:rPr>
                <w:b w:val="1"/>
                <w:color w:val="791632"/>
                <w:rtl w:val="0"/>
              </w:rPr>
              <w:t xml:space="preserve">Tareas</w:t>
            </w:r>
          </w:p>
        </w:tc>
      </w:tr>
      <w:tr>
        <w:trPr>
          <w:cantSplit w:val="0"/>
          <w:trHeight w:val="66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Jorge Javier Maldonado Mahauad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Líder de las Fases 1, 2 y 4. Enlace con GENIAL.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E">
            <w:pPr>
              <w:rPr/>
            </w:pPr>
            <w:r>
              <w:rPr>
                <w:b w:val="0"/>
              </w:rPr>
              <w:t>Problema y estado del arte; depuración del corpus, variable idioma y muestreo; doble codificación a ciegas y cálculo de κ.</w:t>
            </w:r>
          </w:p>
        </w:tc>
      </w:tr>
      <w:tr>
        <w:trPr>
          <w:cantSplit w:val="0"/>
          <w:trHeight w:val="99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Melissa Figallo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Líder de las Fases 3 y 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Rama clásica y rama LLM few-shot con comparación pareada; ética, agregación al IMN, documentación y pitch.</w:t>
            </w:r>
          </w:p>
        </w:tc>
      </w:tr>
    </w:tbl>
    <w:p w:rsidR="00000000" w:rsidDel="00000000" w:rsidP="00000000" w:rsidRDefault="00000000" w:rsidRPr="00000000" w14:paraId="00000028">
      <w:pPr>
        <w:rPr/>
      </w:pPr>
      <w:r w:rsidDel="00000000" w:rsidR="00000000" w:rsidRPr="00000000">
        <w:rPr>
          <w:rtl w:val="0"/>
        </w:rPr>
      </w:r>
    </w:p>
    <w:p>
      <w:pPr>
        <w:sectPr>
          <w:headerReference r:id="rId12" w:type="default"/>
          <w:pgSz w:h="16834" w:w="11909" w:orient="portrait"/>
          <w:pgMar w:bottom="1440" w:top="1440" w:left="1440" w:right="1440" w:header="720" w:footer="720" w:gutter="0"/>
          <w:pgNumType w:start="1"/>
        </w:sectPr>
      </w:pPr>
    </w:p>
    <w:p>
      <w:pPr>
        <w:pStyle w:val="Heading1"/>
        <w:spacing w:after="200" w:before="240"/>
      </w:pPr>
      <w:r>
        <w:t xml:space="preserve">Impacto social y responsabilidad en el proyecto de IA: clasificador de normativa sobre IA en educación superior (corpus GENIAL)</w:t>
      </w:r>
    </w:p>
    <w:p>
      <w:pPr>
        <w:spacing w:after="90" w:before="0" w:line="259"/>
        <w:jc w:val="both"/>
      </w:pPr>
      <w:r>
        <w:rPr>
          <w:b/>
          <w:bCs/>
          <w:color w:val="6E6862"/>
          <w:sz w:val="19"/>
          <w:szCs w:val="19"/>
        </w:rPr>
        <w:t xml:space="preserve">Proyecto Integrador en IA (MIAR0545) · Semana 4 · Workshop «Impacto Social y Responsabilidad en Tu Proyecto de IA» · Grupo 9</w:t>
      </w:r>
      <w:r>
        <w:rPr>
          <w:color w:val="6E6862"/>
          <w:sz w:val="19"/>
          <w:szCs w:val="19"/>
        </w:rPr>
        <w:t xml:space="preserve"> — Jorge Javier Maldonado Mahauad · Melissa Figallo · Tutora: Gladys María Villegas Rugel. El análisis sigue las ocho partes del workshop y se apoya en evidencia del propio proyecto (experimento, diagnóstico de la Semana 3 y una auditoría de equidad por jurisdicción ejecutada para esta actividad: </w:t>
      </w:r>
      <w:r>
        <w:rPr>
          <w:i/>
          <w:iCs/>
          <w:color w:val="6E6862"/>
          <w:sz w:val="19"/>
          <w:szCs w:val="19"/>
        </w:rPr>
        <w:t xml:space="preserve">scripts/fairness_grupos.py</w:t>
      </w:r>
      <w:r>
        <w:rPr>
          <w:color w:val="6E6862"/>
          <w:sz w:val="19"/>
          <w:szCs w:val="19"/>
        </w:rPr>
        <w:t xml:space="preserve">). Los anexos contienen la </w:t>
      </w:r>
      <w:r>
        <w:rPr>
          <w:i/>
          <w:iCs/>
          <w:color w:val="6E6862"/>
          <w:sz w:val="19"/>
          <w:szCs w:val="19"/>
        </w:rPr>
        <w:t xml:space="preserve">model card</w:t>
      </w:r>
      <w:r>
        <w:rPr>
          <w:color w:val="6E6862"/>
          <w:sz w:val="19"/>
          <w:szCs w:val="19"/>
        </w:rPr>
        <w:t xml:space="preserve"> y la </w:t>
      </w:r>
      <w:r>
        <w:rPr>
          <w:i/>
          <w:iCs/>
          <w:color w:val="6E6862"/>
          <w:sz w:val="19"/>
          <w:szCs w:val="19"/>
        </w:rPr>
        <w:t xml:space="preserve">datasheet</w:t>
      </w:r>
      <w:r>
        <w:rPr>
          <w:color w:val="6E6862"/>
          <w:sz w:val="19"/>
          <w:szCs w:val="19"/>
        </w:rPr>
        <w:t xml:space="preserve"> del sistema, incorporadas al repositorio público.</w:t>
      </w:r>
    </w:p>
    <w:p>
      <w:pPr>
        <w:pStyle w:val="Heading2"/>
        <w:keepNext/>
        <w:spacing w:after="120" w:before="280"/>
      </w:pPr>
      <w:r>
        <w:t xml:space="preserve">Parte 1. Contexto del proyecto</w:t>
      </w:r>
    </w:p>
    <w:p>
      <w:pPr>
        <w:pStyle w:val="Heading3"/>
        <w:keepNext/>
        <w:spacing w:after="80" w:before="200"/>
      </w:pPr>
      <w:r>
        <w:t xml:space="preserve">1.1 Descripción del sistema</w:t>
      </w:r>
    </w:p>
    <w:tbl>
      <w:tblPr>
        <w:tblW w:type="dxa" w:w="9412"/>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2075"/>
        <w:gridCol w:w="7337"/>
      </w:tblGrid>
      <w:tr>
        <w:trPr>
          <w:cantSplit w:val="false"/>
        </w:trPr>
        <w:tc>
          <w:tcPr>
            <w:tcW w:type="dxa" w:w="2075"/>
            <w:shd w:fill="F3F1EE" w:color="auto" w:val="clear"/>
            <w:tcMar>
              <w:top w:type="dxa" w:w="60"/>
              <w:left w:type="dxa" w:w="80"/>
              <w:bottom w:type="dxa" w:w="60"/>
              <w:right w:type="dxa" w:w="80"/>
            </w:tcMar>
            <w:vAlign w:val="top"/>
          </w:tcPr>
          <w:p>
            <w:pPr>
              <w:spacing w:after="40" w:line="240"/>
              <w:jc w:val="left"/>
            </w:pPr>
            <w:r>
              <w:rPr>
                <w:b/>
                <w:bCs/>
                <w:sz w:val="14"/>
                <w:szCs w:val="14"/>
              </w:rPr>
              <w:t xml:space="preserve">Problema que resuelve</w:t>
            </w:r>
          </w:p>
        </w:tc>
        <w:tc>
          <w:tcPr>
            <w:tcW w:type="dxa" w:w="7337"/>
            <w:tcMar>
              <w:top w:type="dxa" w:w="60"/>
              <w:left w:type="dxa" w:w="80"/>
              <w:bottom w:type="dxa" w:w="60"/>
              <w:right w:type="dxa" w:w="80"/>
            </w:tcMar>
            <w:vAlign w:val="top"/>
          </w:tcPr>
          <w:p>
            <w:pPr>
              <w:spacing w:after="40" w:line="240"/>
              <w:jc w:val="left"/>
            </w:pPr>
            <w:r>
              <w:rPr>
                <w:sz w:val="14"/>
                <w:szCs w:val="14"/>
              </w:rPr>
              <w:t xml:space="preserve">El observatorio del proyecto GENIAL (Erasmus+) codifica a mano cada norma sobre inteligencia artificial en educación superior de América Latina y el Caribe en una de cinco dimensiones (Pedagógico, Ética, Administrativo, Protección de Datos, Técnico); el conteo por dimensión y país alimenta el Índice de Madurez Normativa (IMN). La codificación manual no escala, depende de un solo codificador por norma y no tiene fiabilidad intercodificador medida.</w:t>
            </w:r>
          </w:p>
        </w:tc>
      </w:tr>
      <w:tr>
        <w:trPr>
          <w:cantSplit w:val="false"/>
        </w:trPr>
        <w:tc>
          <w:tcPr>
            <w:tcW w:type="dxa" w:w="2075"/>
            <w:shd w:fill="F3F1EE" w:color="auto" w:val="clear"/>
            <w:tcMar>
              <w:top w:type="dxa" w:w="60"/>
              <w:left w:type="dxa" w:w="80"/>
              <w:bottom w:type="dxa" w:w="60"/>
              <w:right w:type="dxa" w:w="80"/>
            </w:tcMar>
            <w:vAlign w:val="top"/>
          </w:tcPr>
          <w:p>
            <w:pPr>
              <w:spacing w:after="40" w:line="240"/>
              <w:jc w:val="left"/>
            </w:pPr>
            <w:r>
              <w:rPr>
                <w:b/>
                <w:bCs/>
                <w:sz w:val="14"/>
                <w:szCs w:val="14"/>
              </w:rPr>
              <w:t xml:space="preserve">Funcionalidad principal</w:t>
            </w:r>
          </w:p>
        </w:tc>
        <w:tc>
          <w:tcPr>
            <w:tcW w:type="dxa" w:w="7337"/>
            <w:tcMar>
              <w:top w:type="dxa" w:w="60"/>
              <w:left w:type="dxa" w:w="80"/>
              <w:bottom w:type="dxa" w:w="60"/>
              <w:right w:type="dxa" w:w="80"/>
            </w:tcMar>
            <w:vAlign w:val="top"/>
          </w:tcPr>
          <w:p>
            <w:pPr>
              <w:spacing w:after="40" w:line="240"/>
              <w:jc w:val="left"/>
            </w:pPr>
            <w:r>
              <w:rPr>
                <w:sz w:val="14"/>
                <w:szCs w:val="14"/>
              </w:rPr>
              <w:t xml:space="preserve">A partir del texto de la norma (título + observaciones) propone la dimensión más probable y una segunda candidata (top-2) con su probabilidad; una regla de gobernanza envía a revisión humana obligatoria las predicciones de baja confianza y todas las normas de países e idiomas subrepresentados; la tabla del IMN registra cuántas normas de cada país tienen respaldo humano y cuántas solo del modelo. Modelo: regresión logística sobre TF-IDF (rama clásica); rama de comparación con un LLM </w:t>
            </w:r>
            <w:r>
              <w:rPr>
                <w:i/>
                <w:iCs/>
                <w:sz w:val="14"/>
                <w:szCs w:val="14"/>
              </w:rPr>
              <w:t xml:space="preserve">few-shot</w:t>
            </w:r>
            <w:r>
              <w:rPr>
                <w:sz w:val="14"/>
                <w:szCs w:val="14"/>
              </w:rPr>
              <w:t xml:space="preserve">.</w:t>
            </w:r>
          </w:p>
        </w:tc>
      </w:tr>
      <w:tr>
        <w:trPr>
          <w:cantSplit w:val="false"/>
        </w:trPr>
        <w:tc>
          <w:tcPr>
            <w:tcW w:type="dxa" w:w="2075"/>
            <w:shd w:fill="F3F1EE" w:color="auto" w:val="clear"/>
            <w:tcMar>
              <w:top w:type="dxa" w:w="60"/>
              <w:left w:type="dxa" w:w="80"/>
              <w:bottom w:type="dxa" w:w="60"/>
              <w:right w:type="dxa" w:w="80"/>
            </w:tcMar>
            <w:vAlign w:val="top"/>
          </w:tcPr>
          <w:p>
            <w:pPr>
              <w:spacing w:after="40" w:line="240"/>
              <w:jc w:val="left"/>
            </w:pPr>
            <w:r>
              <w:rPr>
                <w:b/>
                <w:bCs/>
                <w:sz w:val="14"/>
                <w:szCs w:val="14"/>
              </w:rPr>
              <w:t xml:space="preserve">Usuarios objetivo</w:t>
            </w:r>
          </w:p>
        </w:tc>
        <w:tc>
          <w:tcPr>
            <w:tcW w:type="dxa" w:w="7337"/>
            <w:tcMar>
              <w:top w:type="dxa" w:w="60"/>
              <w:left w:type="dxa" w:w="80"/>
              <w:bottom w:type="dxa" w:w="60"/>
              <w:right w:type="dxa" w:w="80"/>
            </w:tcMar>
            <w:vAlign w:val="top"/>
          </w:tcPr>
          <w:p>
            <w:pPr>
              <w:spacing w:after="40" w:line="240"/>
              <w:jc w:val="left"/>
            </w:pPr>
            <w:r>
              <w:rPr>
                <w:sz w:val="14"/>
                <w:szCs w:val="14"/>
              </w:rPr>
              <w:t xml:space="preserve">Los investigadores codificadores de GENIAL (usuarios directos) y la coordinación del observatorio (usa el IMN y la estimación de carga). Indirectamente, quienes consumen el IMN: ministerios, agencias de acreditación, universidades y organismos regionales.</w:t>
            </w:r>
          </w:p>
        </w:tc>
      </w:tr>
      <w:tr>
        <w:trPr>
          <w:cantSplit w:val="false"/>
        </w:trPr>
        <w:tc>
          <w:tcPr>
            <w:tcW w:type="dxa" w:w="2075"/>
            <w:shd w:fill="F3F1EE" w:color="auto" w:val="clear"/>
            <w:tcMar>
              <w:top w:type="dxa" w:w="60"/>
              <w:left w:type="dxa" w:w="80"/>
              <w:bottom w:type="dxa" w:w="60"/>
              <w:right w:type="dxa" w:w="80"/>
            </w:tcMar>
            <w:vAlign w:val="top"/>
          </w:tcPr>
          <w:p>
            <w:pPr>
              <w:spacing w:after="40" w:line="240"/>
              <w:jc w:val="left"/>
            </w:pPr>
            <w:r>
              <w:rPr>
                <w:b/>
                <w:bCs/>
                <w:sz w:val="14"/>
                <w:szCs w:val="14"/>
              </w:rPr>
              <w:t xml:space="preserve">Dominio de aplicación</w:t>
            </w:r>
          </w:p>
        </w:tc>
        <w:tc>
          <w:tcPr>
            <w:tcW w:type="dxa" w:w="7337"/>
            <w:tcMar>
              <w:top w:type="dxa" w:w="60"/>
              <w:left w:type="dxa" w:w="80"/>
              <w:bottom w:type="dxa" w:w="60"/>
              <w:right w:type="dxa" w:w="80"/>
            </w:tcMar>
            <w:vAlign w:val="top"/>
          </w:tcPr>
          <w:p>
            <w:pPr>
              <w:spacing w:after="40" w:line="240"/>
              <w:jc w:val="left"/>
            </w:pPr>
            <w:r>
              <w:rPr>
                <w:sz w:val="14"/>
                <w:szCs w:val="14"/>
              </w:rPr>
              <w:t xml:space="preserve">Política pública y gobernanza de la IA en educación superior; análisis documental de normativa (texto corto, multilingüe: español 88 %, portugués 9 %, inglés 3 %).</w:t>
            </w:r>
          </w:p>
        </w:tc>
      </w:tr>
    </w:tbl>
    <w:p>
      <w:pPr>
        <w:pStyle w:val="Heading3"/>
        <w:keepNext/>
        <w:spacing w:after="80" w:before="200"/>
      </w:pPr>
      <w:r>
        <w:t xml:space="preserve">1.2 Alcance de implementación</w:t>
      </w:r>
    </w:p>
    <w:p>
      <w:pPr>
        <w:spacing w:after="90" w:before="0" w:line="259"/>
        <w:jc w:val="both"/>
      </w:pPr>
      <w:r>
        <w:rPr>
          <w:b/>
          <w:bCs/>
        </w:rPr>
        <w:t xml:space="preserve">Dónde.</w:t>
      </w:r>
      <w:r>
        <w:t xml:space="preserve"> En el flujo de trabajo del observatorio GENIAL, como herramienta interna de codificación asistida; el código es público (MIT), el corpus no. </w:t>
      </w:r>
      <w:r>
        <w:rPr>
          <w:b/>
          <w:bCs/>
        </w:rPr>
        <w:t xml:space="preserve">A cuántas personas afecta.</w:t>
      </w:r>
      <w:r>
        <w:t xml:space="preserve"> Directamente a los ≈10 codificadores y al equipo de coordinación; indirectamente, a los decisores de las 28 jurisdicciones cuyo IMN se publique y, en última instancia, a estudiantes y docentes de la región cuya normativa se compara (más de 30 millones de estudiantes de educación superior en América Latina y el Caribe). </w:t>
      </w:r>
      <w:r>
        <w:rPr>
          <w:b/>
          <w:bCs/>
        </w:rPr>
        <w:t xml:space="preserve">Qué decisiones toma o informa.</w:t>
      </w:r>
      <w:r>
        <w:t xml:space="preserve"> No toma decisiones sobre personas: propone una etiqueta documental que un humano confirma, e informa un índice comparativo entre países. Ese índice sí puede influir en decisiones de política, financiamiento y reputación institucional, y ahí reside el impacto social relevante.</w:t>
      </w:r>
    </w:p>
    <w:p>
      <w:pPr>
        <w:pStyle w:val="Heading2"/>
        <w:keepNext/>
        <w:spacing w:after="120" w:before="280"/>
      </w:pPr>
      <w:r>
        <w:t xml:space="preserve">Parte 2. Análisis de stakeholders</w:t>
      </w:r>
    </w:p>
    <w:p>
      <w:pPr>
        <w:keepNext/>
        <w:spacing w:after="80" w:before="160"/>
        <w:jc w:val="left"/>
      </w:pPr>
      <w:r>
        <w:rPr>
          <w:b/>
          <w:bCs/>
          <w:color w:val="6E6862"/>
          <w:sz w:val="18"/>
          <w:szCs w:val="18"/>
        </w:rPr>
        <w:t xml:space="preserve">Tabla 1.</w:t>
      </w:r>
      <w:r>
        <w:rPr>
          <w:color w:val="6E6862"/>
          <w:sz w:val="18"/>
          <w:szCs w:val="18"/>
        </w:rPr>
        <w:t xml:space="preserve"> Stakeholders del sistema: descripción, beneficios, riesgos y poder/voz.</w:t>
      </w:r>
    </w:p>
    <w:tbl>
      <w:tblPr>
        <w:tblW w:type="dxa" w:w="9411"/>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1867"/>
        <w:gridCol w:w="2075"/>
        <w:gridCol w:w="1971"/>
        <w:gridCol w:w="2357"/>
        <w:gridCol w:w="1141"/>
      </w:tblGrid>
      <w:tr>
        <w:trPr>
          <w:cantSplit/>
          <w:tblHeader/>
        </w:trPr>
        <w:tc>
          <w:tcPr>
            <w:tcW w:type="dxa" w:w="1867"/>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Stakeholder</w:t>
            </w:r>
          </w:p>
        </w:tc>
        <w:tc>
          <w:tcPr>
            <w:tcW w:type="dxa" w:w="2075"/>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Descripción</w:t>
            </w:r>
          </w:p>
        </w:tc>
        <w:tc>
          <w:tcPr>
            <w:tcW w:type="dxa" w:w="1971"/>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Beneficios</w:t>
            </w:r>
          </w:p>
        </w:tc>
        <w:tc>
          <w:tcPr>
            <w:tcW w:type="dxa" w:w="2357"/>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Riesgos</w:t>
            </w:r>
          </w:p>
        </w:tc>
        <w:tc>
          <w:tcPr>
            <w:tcW w:type="dxa" w:w="1141"/>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Poder/Voz</w:t>
            </w:r>
          </w:p>
        </w:tc>
      </w:tr>
      <w:tr>
        <w:trPr>
          <w:cantSplit w:val="false"/>
        </w:trPr>
        <w:tc>
          <w:tcPr>
            <w:tcW w:type="dxa" w:w="1867"/>
            <w:tcMar>
              <w:top w:type="dxa" w:w="60"/>
              <w:left w:type="dxa" w:w="80"/>
              <w:bottom w:type="dxa" w:w="60"/>
              <w:right w:type="dxa" w:w="80"/>
            </w:tcMar>
            <w:vAlign w:val="top"/>
          </w:tcPr>
          <w:p>
            <w:pPr>
              <w:spacing w:after="40" w:line="240"/>
              <w:jc w:val="left"/>
            </w:pPr>
            <w:r>
              <w:rPr>
                <w:b/>
                <w:bCs/>
                <w:sz w:val="13"/>
                <w:szCs w:val="13"/>
              </w:rPr>
              <w:t xml:space="preserve">1 · Codificadores de GENIAL</w:t>
            </w:r>
          </w:p>
        </w:tc>
        <w:tc>
          <w:tcPr>
            <w:tcW w:type="dxa" w:w="2075"/>
            <w:tcMar>
              <w:top w:type="dxa" w:w="60"/>
              <w:left w:type="dxa" w:w="80"/>
              <w:bottom w:type="dxa" w:w="60"/>
              <w:right w:type="dxa" w:w="80"/>
            </w:tcMar>
            <w:vAlign w:val="top"/>
          </w:tcPr>
          <w:p>
            <w:pPr>
              <w:spacing w:after="40" w:line="240"/>
              <w:jc w:val="left"/>
            </w:pPr>
            <w:r>
              <w:rPr>
                <w:sz w:val="13"/>
                <w:szCs w:val="13"/>
              </w:rPr>
              <w:t xml:space="preserve">≈10 investigadores que leen y codifican las normas; usuarios directos</w:t>
            </w:r>
          </w:p>
        </w:tc>
        <w:tc>
          <w:tcPr>
            <w:tcW w:type="dxa" w:w="1971"/>
            <w:tcMar>
              <w:top w:type="dxa" w:w="60"/>
              <w:left w:type="dxa" w:w="80"/>
              <w:bottom w:type="dxa" w:w="60"/>
              <w:right w:type="dxa" w:w="80"/>
            </w:tcMar>
            <w:vAlign w:val="top"/>
          </w:tcPr>
          <w:p>
            <w:pPr>
              <w:spacing w:after="40" w:line="240"/>
              <w:jc w:val="left"/>
            </w:pPr>
            <w:r>
              <w:rPr>
                <w:sz w:val="13"/>
                <w:szCs w:val="13"/>
              </w:rPr>
              <w:t xml:space="preserve">menos tiempo por norma; dos candidatas en vez de cinco; criterios explícitos y trazables</w:t>
            </w:r>
          </w:p>
        </w:tc>
        <w:tc>
          <w:tcPr>
            <w:tcW w:type="dxa" w:w="2357"/>
            <w:tcMar>
              <w:top w:type="dxa" w:w="60"/>
              <w:left w:type="dxa" w:w="80"/>
              <w:bottom w:type="dxa" w:w="60"/>
              <w:right w:type="dxa" w:w="80"/>
            </w:tcMar>
            <w:vAlign w:val="top"/>
          </w:tcPr>
          <w:p>
            <w:pPr>
              <w:spacing w:after="40" w:line="240"/>
              <w:jc w:val="left"/>
            </w:pPr>
            <w:r>
              <w:rPr>
                <w:sz w:val="13"/>
                <w:szCs w:val="13"/>
              </w:rPr>
              <w:t xml:space="preserve">automatización excesiva (sesgo de automatización); desvalorización del juicio experto; su nombre es dato personal en el corpus</w:t>
            </w:r>
          </w:p>
        </w:tc>
        <w:tc>
          <w:tcPr>
            <w:tcW w:type="dxa" w:w="1141"/>
            <w:tcMar>
              <w:top w:type="dxa" w:w="60"/>
              <w:left w:type="dxa" w:w="80"/>
              <w:bottom w:type="dxa" w:w="60"/>
              <w:right w:type="dxa" w:w="80"/>
            </w:tcMar>
            <w:vAlign w:val="top"/>
          </w:tcPr>
          <w:p>
            <w:pPr>
              <w:spacing w:after="40" w:line="240"/>
              <w:jc w:val="left"/>
            </w:pPr>
            <w:r>
              <w:rPr>
                <w:sz w:val="13"/>
                <w:szCs w:val="13"/>
              </w:rPr>
              <w:t xml:space="preserve">Medio</w:t>
            </w:r>
          </w:p>
        </w:tc>
      </w:tr>
      <w:tr>
        <w:trPr>
          <w:cantSplit w:val="false"/>
        </w:trPr>
        <w:tc>
          <w:tcPr>
            <w:tcW w:type="dxa" w:w="1867"/>
            <w:shd w:fill="F3F1EE" w:color="auto" w:val="clear"/>
            <w:tcMar>
              <w:top w:type="dxa" w:w="60"/>
              <w:left w:type="dxa" w:w="80"/>
              <w:bottom w:type="dxa" w:w="60"/>
              <w:right w:type="dxa" w:w="80"/>
            </w:tcMar>
            <w:vAlign w:val="top"/>
          </w:tcPr>
          <w:p>
            <w:pPr>
              <w:spacing w:after="40" w:line="240"/>
              <w:jc w:val="left"/>
            </w:pPr>
            <w:r>
              <w:rPr>
                <w:b/>
                <w:bCs/>
                <w:sz w:val="13"/>
                <w:szCs w:val="13"/>
              </w:rPr>
              <w:t xml:space="preserve">2 · Coordinación del observatorio GENIAL</w:t>
            </w:r>
          </w:p>
        </w:tc>
        <w:tc>
          <w:tcPr>
            <w:tcW w:type="dxa" w:w="2075"/>
            <w:shd w:fill="F3F1EE" w:color="auto" w:val="clear"/>
            <w:tcMar>
              <w:top w:type="dxa" w:w="60"/>
              <w:left w:type="dxa" w:w="80"/>
              <w:bottom w:type="dxa" w:w="60"/>
              <w:right w:type="dxa" w:w="80"/>
            </w:tcMar>
            <w:vAlign w:val="top"/>
          </w:tcPr>
          <w:p>
            <w:pPr>
              <w:spacing w:after="40" w:line="240"/>
              <w:jc w:val="left"/>
            </w:pPr>
            <w:r>
              <w:rPr>
                <w:sz w:val="13"/>
                <w:szCs w:val="13"/>
              </w:rPr>
              <w:t xml:space="preserve">equipo que publica el IMN y gestiona el corpus (coordinación general en Toulouse, nacional en Cuenca)</w:t>
            </w:r>
          </w:p>
        </w:tc>
        <w:tc>
          <w:tcPr>
            <w:tcW w:type="dxa" w:w="1971"/>
            <w:shd w:fill="F3F1EE" w:color="auto" w:val="clear"/>
            <w:tcMar>
              <w:top w:type="dxa" w:w="60"/>
              <w:left w:type="dxa" w:w="80"/>
              <w:bottom w:type="dxa" w:w="60"/>
              <w:right w:type="dxa" w:w="80"/>
            </w:tcMar>
            <w:vAlign w:val="top"/>
          </w:tcPr>
          <w:p>
            <w:pPr>
              <w:spacing w:after="40" w:line="240"/>
              <w:jc w:val="left"/>
            </w:pPr>
            <w:r>
              <w:rPr>
                <w:sz w:val="13"/>
                <w:szCs w:val="13"/>
              </w:rPr>
              <w:t xml:space="preserve">escalabilidad, consistencia, estimación de carga; evidencia sobre la definición del framework</w:t>
            </w:r>
          </w:p>
        </w:tc>
        <w:tc>
          <w:tcPr>
            <w:tcW w:type="dxa" w:w="2357"/>
            <w:shd w:fill="F3F1EE" w:color="auto" w:val="clear"/>
            <w:tcMar>
              <w:top w:type="dxa" w:w="60"/>
              <w:left w:type="dxa" w:w="80"/>
              <w:bottom w:type="dxa" w:w="60"/>
              <w:right w:type="dxa" w:w="80"/>
            </w:tcMar>
            <w:vAlign w:val="top"/>
          </w:tcPr>
          <w:p>
            <w:pPr>
              <w:spacing w:after="40" w:line="240"/>
              <w:jc w:val="left"/>
            </w:pPr>
            <w:r>
              <w:rPr>
                <w:sz w:val="13"/>
                <w:szCs w:val="13"/>
              </w:rPr>
              <w:t xml:space="preserve">responsabilidad por un índice con errores no comunicados; dependencia de un proveedor externo de LLM</w:t>
            </w:r>
          </w:p>
        </w:tc>
        <w:tc>
          <w:tcPr>
            <w:tcW w:type="dxa" w:w="1141"/>
            <w:shd w:fill="F3F1EE" w:color="auto" w:val="clear"/>
            <w:tcMar>
              <w:top w:type="dxa" w:w="60"/>
              <w:left w:type="dxa" w:w="80"/>
              <w:bottom w:type="dxa" w:w="60"/>
              <w:right w:type="dxa" w:w="80"/>
            </w:tcMar>
            <w:vAlign w:val="top"/>
          </w:tcPr>
          <w:p>
            <w:pPr>
              <w:spacing w:after="40" w:line="240"/>
              <w:jc w:val="left"/>
            </w:pPr>
            <w:r>
              <w:rPr>
                <w:sz w:val="13"/>
                <w:szCs w:val="13"/>
              </w:rPr>
              <w:t xml:space="preserve">Alto</w:t>
            </w:r>
          </w:p>
        </w:tc>
      </w:tr>
      <w:tr>
        <w:trPr>
          <w:cantSplit w:val="false"/>
        </w:trPr>
        <w:tc>
          <w:tcPr>
            <w:tcW w:type="dxa" w:w="1867"/>
            <w:tcMar>
              <w:top w:type="dxa" w:w="60"/>
              <w:left w:type="dxa" w:w="80"/>
              <w:bottom w:type="dxa" w:w="60"/>
              <w:right w:type="dxa" w:w="80"/>
            </w:tcMar>
            <w:vAlign w:val="top"/>
          </w:tcPr>
          <w:p>
            <w:pPr>
              <w:spacing w:after="40" w:line="240"/>
              <w:jc w:val="left"/>
            </w:pPr>
            <w:r>
              <w:rPr>
                <w:b/>
                <w:bCs/>
                <w:sz w:val="13"/>
                <w:szCs w:val="13"/>
              </w:rPr>
              <w:t xml:space="preserve">3 · Decisores y IES de los países comparados</w:t>
            </w:r>
          </w:p>
        </w:tc>
        <w:tc>
          <w:tcPr>
            <w:tcW w:type="dxa" w:w="2075"/>
            <w:tcMar>
              <w:top w:type="dxa" w:w="60"/>
              <w:left w:type="dxa" w:w="80"/>
              <w:bottom w:type="dxa" w:w="60"/>
              <w:right w:type="dxa" w:w="80"/>
            </w:tcMar>
            <w:vAlign w:val="top"/>
          </w:tcPr>
          <w:p>
            <w:pPr>
              <w:spacing w:after="40" w:line="240"/>
              <w:jc w:val="left"/>
            </w:pPr>
            <w:r>
              <w:rPr>
                <w:sz w:val="13"/>
                <w:szCs w:val="13"/>
              </w:rPr>
              <w:t xml:space="preserve">ministerios, agencias, universidades cuya normativa se cuenta y compara (sujetos indirectos de la decisión)</w:t>
            </w:r>
          </w:p>
        </w:tc>
        <w:tc>
          <w:tcPr>
            <w:tcW w:type="dxa" w:w="1971"/>
            <w:tcMar>
              <w:top w:type="dxa" w:w="60"/>
              <w:left w:type="dxa" w:w="80"/>
              <w:bottom w:type="dxa" w:w="60"/>
              <w:right w:type="dxa" w:w="80"/>
            </w:tcMar>
            <w:vAlign w:val="top"/>
          </w:tcPr>
          <w:p>
            <w:pPr>
              <w:spacing w:after="40" w:line="240"/>
              <w:jc w:val="left"/>
            </w:pPr>
            <w:r>
              <w:rPr>
                <w:sz w:val="13"/>
                <w:szCs w:val="13"/>
              </w:rPr>
              <w:t xml:space="preserve">diagnóstico comparable y actualizado de su marco normativo</w:t>
            </w:r>
          </w:p>
        </w:tc>
        <w:tc>
          <w:tcPr>
            <w:tcW w:type="dxa" w:w="2357"/>
            <w:tcMar>
              <w:top w:type="dxa" w:w="60"/>
              <w:left w:type="dxa" w:w="80"/>
              <w:bottom w:type="dxa" w:w="60"/>
              <w:right w:type="dxa" w:w="80"/>
            </w:tcMar>
            <w:vAlign w:val="top"/>
          </w:tcPr>
          <w:p>
            <w:pPr>
              <w:spacing w:after="40" w:line="240"/>
              <w:jc w:val="left"/>
            </w:pPr>
            <w:r>
              <w:rPr>
                <w:sz w:val="13"/>
                <w:szCs w:val="13"/>
              </w:rPr>
              <w:t xml:space="preserve">clasificación errónea que subestime su madurez; uso reputacional del ranking</w:t>
            </w:r>
          </w:p>
        </w:tc>
        <w:tc>
          <w:tcPr>
            <w:tcW w:type="dxa" w:w="1141"/>
            <w:tcMar>
              <w:top w:type="dxa" w:w="60"/>
              <w:left w:type="dxa" w:w="80"/>
              <w:bottom w:type="dxa" w:w="60"/>
              <w:right w:type="dxa" w:w="80"/>
            </w:tcMar>
            <w:vAlign w:val="top"/>
          </w:tcPr>
          <w:p>
            <w:pPr>
              <w:spacing w:after="40" w:line="240"/>
              <w:jc w:val="left"/>
            </w:pPr>
            <w:r>
              <w:rPr>
                <w:sz w:val="13"/>
                <w:szCs w:val="13"/>
              </w:rPr>
              <w:t xml:space="preserve">Medio-Bajo (no participan en el diseño)</w:t>
            </w:r>
          </w:p>
        </w:tc>
      </w:tr>
      <w:tr>
        <w:trPr>
          <w:cantSplit w:val="false"/>
        </w:trPr>
        <w:tc>
          <w:tcPr>
            <w:tcW w:type="dxa" w:w="1867"/>
            <w:shd w:fill="F3F1EE" w:color="auto" w:val="clear"/>
            <w:tcMar>
              <w:top w:type="dxa" w:w="60"/>
              <w:left w:type="dxa" w:w="80"/>
              <w:bottom w:type="dxa" w:w="60"/>
              <w:right w:type="dxa" w:w="80"/>
            </w:tcMar>
            <w:vAlign w:val="top"/>
          </w:tcPr>
          <w:p>
            <w:pPr>
              <w:spacing w:after="40" w:line="240"/>
              <w:jc w:val="left"/>
            </w:pPr>
            <w:r>
              <w:rPr>
                <w:b/>
                <w:bCs/>
                <w:sz w:val="13"/>
                <w:szCs w:val="13"/>
              </w:rPr>
              <w:t xml:space="preserve">4 · Jurisdicciones pequeñas y no hispanohablantes</w:t>
            </w:r>
          </w:p>
        </w:tc>
        <w:tc>
          <w:tcPr>
            <w:tcW w:type="dxa" w:w="2075"/>
            <w:shd w:fill="F3F1EE" w:color="auto" w:val="clear"/>
            <w:tcMar>
              <w:top w:type="dxa" w:w="60"/>
              <w:left w:type="dxa" w:w="80"/>
              <w:bottom w:type="dxa" w:w="60"/>
              <w:right w:type="dxa" w:w="80"/>
            </w:tcMar>
            <w:vAlign w:val="top"/>
          </w:tcPr>
          <w:p>
            <w:pPr>
              <w:spacing w:after="40" w:line="240"/>
              <w:jc w:val="left"/>
            </w:pPr>
            <w:r>
              <w:rPr>
                <w:sz w:val="13"/>
                <w:szCs w:val="13"/>
              </w:rPr>
              <w:t xml:space="preserve">Caribe anglófono, Haití, Brasil, países con &lt; 20 normas (grupo vulnerable)</w:t>
            </w:r>
          </w:p>
        </w:tc>
        <w:tc>
          <w:tcPr>
            <w:tcW w:type="dxa" w:w="1971"/>
            <w:shd w:fill="F3F1EE" w:color="auto" w:val="clear"/>
            <w:tcMar>
              <w:top w:type="dxa" w:w="60"/>
              <w:left w:type="dxa" w:w="80"/>
              <w:bottom w:type="dxa" w:w="60"/>
              <w:right w:type="dxa" w:w="80"/>
            </w:tcMar>
            <w:vAlign w:val="top"/>
          </w:tcPr>
          <w:p>
            <w:pPr>
              <w:spacing w:after="40" w:line="240"/>
              <w:jc w:val="left"/>
            </w:pPr>
            <w:r>
              <w:rPr>
                <w:sz w:val="13"/>
                <w:szCs w:val="13"/>
              </w:rPr>
              <w:t xml:space="preserve">visibilidad en un índice regional que suele omitirlos</w:t>
            </w:r>
          </w:p>
        </w:tc>
        <w:tc>
          <w:tcPr>
            <w:tcW w:type="dxa" w:w="2357"/>
            <w:shd w:fill="F3F1EE" w:color="auto" w:val="clear"/>
            <w:tcMar>
              <w:top w:type="dxa" w:w="60"/>
              <w:left w:type="dxa" w:w="80"/>
              <w:bottom w:type="dxa" w:w="60"/>
              <w:right w:type="dxa" w:w="80"/>
            </w:tcMar>
            <w:vAlign w:val="top"/>
          </w:tcPr>
          <w:p>
            <w:pPr>
              <w:spacing w:after="40" w:line="240"/>
              <w:jc w:val="left"/>
            </w:pPr>
            <w:r>
              <w:rPr>
                <w:sz w:val="13"/>
                <w:szCs w:val="13"/>
              </w:rPr>
              <w:t xml:space="preserve">peor desempeño del modelo (exactitud 0.38 en el Caribe frente a 0.67 en Hispanoamérica) → invisibilización o distorsión</w:t>
            </w:r>
          </w:p>
        </w:tc>
        <w:tc>
          <w:tcPr>
            <w:tcW w:type="dxa" w:w="1141"/>
            <w:shd w:fill="F3F1EE" w:color="auto" w:val="clear"/>
            <w:tcMar>
              <w:top w:type="dxa" w:w="60"/>
              <w:left w:type="dxa" w:w="80"/>
              <w:bottom w:type="dxa" w:w="60"/>
              <w:right w:type="dxa" w:w="80"/>
            </w:tcMar>
            <w:vAlign w:val="top"/>
          </w:tcPr>
          <w:p>
            <w:pPr>
              <w:spacing w:after="40" w:line="240"/>
              <w:jc w:val="left"/>
            </w:pPr>
            <w:r>
              <w:rPr>
                <w:sz w:val="13"/>
                <w:szCs w:val="13"/>
              </w:rPr>
              <w:t xml:space="preserve">Bajo</w:t>
            </w:r>
          </w:p>
        </w:tc>
      </w:tr>
      <w:tr>
        <w:trPr>
          <w:cantSplit w:val="false"/>
        </w:trPr>
        <w:tc>
          <w:tcPr>
            <w:tcW w:type="dxa" w:w="1867"/>
            <w:tcMar>
              <w:top w:type="dxa" w:w="60"/>
              <w:left w:type="dxa" w:w="80"/>
              <w:bottom w:type="dxa" w:w="60"/>
              <w:right w:type="dxa" w:w="80"/>
            </w:tcMar>
            <w:vAlign w:val="top"/>
          </w:tcPr>
          <w:p>
            <w:pPr>
              <w:spacing w:after="40" w:line="240"/>
              <w:jc w:val="left"/>
            </w:pPr>
            <w:r>
              <w:rPr>
                <w:b/>
                <w:bCs/>
                <w:sz w:val="13"/>
                <w:szCs w:val="13"/>
              </w:rPr>
              <w:t xml:space="preserve">5 · Estudiantes y docentes de ALC</w:t>
            </w:r>
          </w:p>
        </w:tc>
        <w:tc>
          <w:tcPr>
            <w:tcW w:type="dxa" w:w="2075"/>
            <w:tcMar>
              <w:top w:type="dxa" w:w="60"/>
              <w:left w:type="dxa" w:w="80"/>
              <w:bottom w:type="dxa" w:w="60"/>
              <w:right w:type="dxa" w:w="80"/>
            </w:tcMar>
            <w:vAlign w:val="top"/>
          </w:tcPr>
          <w:p>
            <w:pPr>
              <w:spacing w:after="40" w:line="240"/>
              <w:jc w:val="left"/>
            </w:pPr>
            <w:r>
              <w:rPr>
                <w:sz w:val="13"/>
                <w:szCs w:val="13"/>
              </w:rPr>
              <w:t xml:space="preserve">beneficiarios finales de una mejor normativa sobre IA en sus instituciones</w:t>
            </w:r>
          </w:p>
        </w:tc>
        <w:tc>
          <w:tcPr>
            <w:tcW w:type="dxa" w:w="1971"/>
            <w:tcMar>
              <w:top w:type="dxa" w:w="60"/>
              <w:left w:type="dxa" w:w="80"/>
              <w:bottom w:type="dxa" w:w="60"/>
              <w:right w:type="dxa" w:w="80"/>
            </w:tcMar>
            <w:vAlign w:val="top"/>
          </w:tcPr>
          <w:p>
            <w:pPr>
              <w:spacing w:after="40" w:line="240"/>
              <w:jc w:val="left"/>
            </w:pPr>
            <w:r>
              <w:rPr>
                <w:sz w:val="13"/>
                <w:szCs w:val="13"/>
              </w:rPr>
              <w:t xml:space="preserve">políticas mejor informadas por evidencia regional</w:t>
            </w:r>
          </w:p>
        </w:tc>
        <w:tc>
          <w:tcPr>
            <w:tcW w:type="dxa" w:w="2357"/>
            <w:tcMar>
              <w:top w:type="dxa" w:w="60"/>
              <w:left w:type="dxa" w:w="80"/>
              <w:bottom w:type="dxa" w:w="60"/>
              <w:right w:type="dxa" w:w="80"/>
            </w:tcMar>
            <w:vAlign w:val="top"/>
          </w:tcPr>
          <w:p>
            <w:pPr>
              <w:spacing w:after="40" w:line="240"/>
              <w:jc w:val="left"/>
            </w:pPr>
            <w:r>
              <w:rPr>
                <w:sz w:val="13"/>
                <w:szCs w:val="13"/>
              </w:rPr>
              <w:t xml:space="preserve">ninguno directo; indirecto si el índice orienta mal la política</w:t>
            </w:r>
          </w:p>
        </w:tc>
        <w:tc>
          <w:tcPr>
            <w:tcW w:type="dxa" w:w="1141"/>
            <w:tcMar>
              <w:top w:type="dxa" w:w="60"/>
              <w:left w:type="dxa" w:w="80"/>
              <w:bottom w:type="dxa" w:w="60"/>
              <w:right w:type="dxa" w:w="80"/>
            </w:tcMar>
            <w:vAlign w:val="top"/>
          </w:tcPr>
          <w:p>
            <w:pPr>
              <w:spacing w:after="40" w:line="240"/>
              <w:jc w:val="left"/>
            </w:pPr>
            <w:r>
              <w:rPr>
                <w:sz w:val="13"/>
                <w:szCs w:val="13"/>
              </w:rPr>
              <w:t xml:space="preserve">Bajo</w:t>
            </w:r>
          </w:p>
        </w:tc>
      </w:tr>
      <w:tr>
        <w:trPr>
          <w:cantSplit w:val="false"/>
        </w:trPr>
        <w:tc>
          <w:tcPr>
            <w:tcW w:type="dxa" w:w="1867"/>
            <w:shd w:fill="F3F1EE" w:color="auto" w:val="clear"/>
            <w:tcMar>
              <w:top w:type="dxa" w:w="60"/>
              <w:left w:type="dxa" w:w="80"/>
              <w:bottom w:type="dxa" w:w="60"/>
              <w:right w:type="dxa" w:w="80"/>
            </w:tcMar>
            <w:vAlign w:val="top"/>
          </w:tcPr>
          <w:p>
            <w:pPr>
              <w:spacing w:after="40" w:line="240"/>
              <w:jc w:val="left"/>
            </w:pPr>
            <w:r>
              <w:rPr>
                <w:b/>
                <w:bCs/>
                <w:sz w:val="13"/>
                <w:szCs w:val="13"/>
              </w:rPr>
              <w:t xml:space="preserve">6 · Comunidad académica y público</w:t>
            </w:r>
          </w:p>
        </w:tc>
        <w:tc>
          <w:tcPr>
            <w:tcW w:type="dxa" w:w="2075"/>
            <w:shd w:fill="F3F1EE" w:color="auto" w:val="clear"/>
            <w:tcMar>
              <w:top w:type="dxa" w:w="60"/>
              <w:left w:type="dxa" w:w="80"/>
              <w:bottom w:type="dxa" w:w="60"/>
              <w:right w:type="dxa" w:w="80"/>
            </w:tcMar>
            <w:vAlign w:val="top"/>
          </w:tcPr>
          <w:p>
            <w:pPr>
              <w:spacing w:after="40" w:line="240"/>
              <w:jc w:val="left"/>
            </w:pPr>
            <w:r>
              <w:rPr>
                <w:sz w:val="13"/>
                <w:szCs w:val="13"/>
              </w:rPr>
              <w:t xml:space="preserve">usuarios del repositorio abierto, otros observatorios</w:t>
            </w:r>
          </w:p>
        </w:tc>
        <w:tc>
          <w:tcPr>
            <w:tcW w:type="dxa" w:w="1971"/>
            <w:shd w:fill="F3F1EE" w:color="auto" w:val="clear"/>
            <w:tcMar>
              <w:top w:type="dxa" w:w="60"/>
              <w:left w:type="dxa" w:w="80"/>
              <w:bottom w:type="dxa" w:w="60"/>
              <w:right w:type="dxa" w:w="80"/>
            </w:tcMar>
            <w:vAlign w:val="top"/>
          </w:tcPr>
          <w:p>
            <w:pPr>
              <w:spacing w:after="40" w:line="240"/>
              <w:jc w:val="left"/>
            </w:pPr>
            <w:r>
              <w:rPr>
                <w:sz w:val="13"/>
                <w:szCs w:val="13"/>
              </w:rPr>
              <w:t xml:space="preserve">método replicable, muestra abierta, documentación</w:t>
            </w:r>
          </w:p>
        </w:tc>
        <w:tc>
          <w:tcPr>
            <w:tcW w:type="dxa" w:w="2357"/>
            <w:shd w:fill="F3F1EE" w:color="auto" w:val="clear"/>
            <w:tcMar>
              <w:top w:type="dxa" w:w="60"/>
              <w:left w:type="dxa" w:w="80"/>
              <w:bottom w:type="dxa" w:w="60"/>
              <w:right w:type="dxa" w:w="80"/>
            </w:tcMar>
            <w:vAlign w:val="top"/>
          </w:tcPr>
          <w:p>
            <w:pPr>
              <w:spacing w:after="40" w:line="240"/>
              <w:jc w:val="left"/>
            </w:pPr>
            <w:r>
              <w:rPr>
                <w:sz w:val="13"/>
                <w:szCs w:val="13"/>
              </w:rPr>
              <w:t xml:space="preserve">reutilización fuera de contexto; expectativas de exactitud que el modelo no cumple</w:t>
            </w:r>
          </w:p>
        </w:tc>
        <w:tc>
          <w:tcPr>
            <w:tcW w:type="dxa" w:w="1141"/>
            <w:shd w:fill="F3F1EE" w:color="auto" w:val="clear"/>
            <w:tcMar>
              <w:top w:type="dxa" w:w="60"/>
              <w:left w:type="dxa" w:w="80"/>
              <w:bottom w:type="dxa" w:w="60"/>
              <w:right w:type="dxa" w:w="80"/>
            </w:tcMar>
            <w:vAlign w:val="top"/>
          </w:tcPr>
          <w:p>
            <w:pPr>
              <w:spacing w:after="40" w:line="240"/>
              <w:jc w:val="left"/>
            </w:pPr>
            <w:r>
              <w:rPr>
                <w:sz w:val="13"/>
                <w:szCs w:val="13"/>
              </w:rPr>
              <w:t xml:space="preserve">Medio</w:t>
            </w:r>
          </w:p>
        </w:tc>
      </w:tr>
      <w:tr>
        <w:trPr>
          <w:cantSplit w:val="false"/>
        </w:trPr>
        <w:tc>
          <w:tcPr>
            <w:tcW w:type="dxa" w:w="1867"/>
            <w:tcMar>
              <w:top w:type="dxa" w:w="60"/>
              <w:left w:type="dxa" w:w="80"/>
              <w:bottom w:type="dxa" w:w="60"/>
              <w:right w:type="dxa" w:w="80"/>
            </w:tcMar>
            <w:vAlign w:val="top"/>
          </w:tcPr>
          <w:p>
            <w:pPr>
              <w:spacing w:after="40" w:line="240"/>
              <w:jc w:val="left"/>
            </w:pPr>
            <w:r>
              <w:rPr>
                <w:b/>
                <w:bCs/>
                <w:sz w:val="13"/>
                <w:szCs w:val="13"/>
              </w:rPr>
              <w:t xml:space="preserve">7 · Proveedor del LLM (tercero)</w:t>
            </w:r>
          </w:p>
        </w:tc>
        <w:tc>
          <w:tcPr>
            <w:tcW w:type="dxa" w:w="2075"/>
            <w:tcMar>
              <w:top w:type="dxa" w:w="60"/>
              <w:left w:type="dxa" w:w="80"/>
              <w:bottom w:type="dxa" w:w="60"/>
              <w:right w:type="dxa" w:w="80"/>
            </w:tcMar>
            <w:vAlign w:val="top"/>
          </w:tcPr>
          <w:p>
            <w:pPr>
              <w:spacing w:after="40" w:line="240"/>
              <w:jc w:val="left"/>
            </w:pPr>
            <w:r>
              <w:rPr>
                <w:sz w:val="13"/>
                <w:szCs w:val="13"/>
              </w:rPr>
              <w:t xml:space="preserve">empresa cuya API clasifica en la rama </w:t>
            </w:r>
            <w:r>
              <w:rPr>
                <w:i/>
                <w:iCs/>
                <w:sz w:val="13"/>
                <w:szCs w:val="13"/>
              </w:rPr>
              <w:t xml:space="preserve">few-shot</w:t>
            </w:r>
          </w:p>
        </w:tc>
        <w:tc>
          <w:tcPr>
            <w:tcW w:type="dxa" w:w="1971"/>
            <w:tcMar>
              <w:top w:type="dxa" w:w="60"/>
              <w:left w:type="dxa" w:w="80"/>
              <w:bottom w:type="dxa" w:w="60"/>
              <w:right w:type="dxa" w:w="80"/>
            </w:tcMar>
            <w:vAlign w:val="top"/>
          </w:tcPr>
          <w:p>
            <w:pPr>
              <w:spacing w:after="40" w:line="240"/>
              <w:jc w:val="left"/>
            </w:pPr>
            <w:r>
              <w:rPr>
                <w:sz w:val="13"/>
                <w:szCs w:val="13"/>
              </w:rPr>
              <w:t xml:space="preserve">ingreso por uso</w:t>
            </w:r>
          </w:p>
        </w:tc>
        <w:tc>
          <w:tcPr>
            <w:tcW w:type="dxa" w:w="2357"/>
            <w:tcMar>
              <w:top w:type="dxa" w:w="60"/>
              <w:left w:type="dxa" w:w="80"/>
              <w:bottom w:type="dxa" w:w="60"/>
              <w:right w:type="dxa" w:w="80"/>
            </w:tcMar>
            <w:vAlign w:val="top"/>
          </w:tcPr>
          <w:p>
            <w:pPr>
              <w:spacing w:after="40" w:line="240"/>
              <w:jc w:val="left"/>
            </w:pPr>
            <w:r>
              <w:rPr>
                <w:sz w:val="13"/>
                <w:szCs w:val="13"/>
              </w:rPr>
              <w:t xml:space="preserve">recibe textos de normas públicas (no personales); cambios de modelo rompen reproducibilidad</w:t>
            </w:r>
          </w:p>
        </w:tc>
        <w:tc>
          <w:tcPr>
            <w:tcW w:type="dxa" w:w="1141"/>
            <w:tcMar>
              <w:top w:type="dxa" w:w="60"/>
              <w:left w:type="dxa" w:w="80"/>
              <w:bottom w:type="dxa" w:w="60"/>
              <w:right w:type="dxa" w:w="80"/>
            </w:tcMar>
            <w:vAlign w:val="top"/>
          </w:tcPr>
          <w:p>
            <w:pPr>
              <w:spacing w:after="40" w:line="240"/>
              <w:jc w:val="left"/>
            </w:pPr>
            <w:r>
              <w:rPr>
                <w:sz w:val="13"/>
                <w:szCs w:val="13"/>
              </w:rPr>
              <w:t xml:space="preserve">Alto sobre la rama LLM</w:t>
            </w:r>
          </w:p>
        </w:tc>
      </w:tr>
    </w:tbl>
    <w:p>
      <w:pPr>
        <w:spacing w:after="90" w:before="0" w:line="259"/>
        <w:jc w:val="both"/>
      </w:pPr>
      <w:r>
        <w:rPr>
          <w:b/>
          <w:bCs/>
        </w:rPr>
        <w:t xml:space="preserve">Cómo afecta el sistema a cada grupo, si fue considerado y cómo se protegen sus intereses.</w:t>
      </w:r>
      <w:r>
        <w:t xml:space="preserve"> Los </w:t>
      </w:r>
      <w:r>
        <w:rPr>
          <w:b/>
          <w:bCs/>
        </w:rPr>
        <w:t xml:space="preserve">codificadores</w:t>
      </w:r>
      <w:r>
        <w:t xml:space="preserve"> fueron el centro del diseño: el modo asistido, el top-2 y la hoja de tipificación de errores nacen de sus necesidades (saber </w:t>
      </w:r>
      <w:r>
        <w:rPr>
          <w:i/>
          <w:iCs/>
        </w:rPr>
        <w:t xml:space="preserve">por qué</w:t>
      </w:r>
      <w:r>
        <w:t xml:space="preserve"> se propone una dimensión y poder discrepar); su protección pasa por la decisión final humana, la anonimización de su nombre en toda publicación y por no usar el modelo para evaluar su trabajo (el efecto codificador está confundido con el país, V de Cramér 0.99). La </w:t>
      </w:r>
      <w:r>
        <w:rPr>
          <w:b/>
          <w:bCs/>
        </w:rPr>
        <w:t xml:space="preserve">coordinación</w:t>
      </w:r>
      <w:r>
        <w:t xml:space="preserve"> participó en la autorización del corpus y recibe el IMN con trazabilidad (respaldo humano vs. modelo) y margen. Los </w:t>
      </w:r>
      <w:r>
        <w:rPr>
          <w:b/>
          <w:bCs/>
        </w:rPr>
        <w:t xml:space="preserve">decisores de los países</w:t>
      </w:r>
      <w:r>
        <w:t xml:space="preserve"> no fueron consultados —es una limitación—; su interés se protege publicando el índice solo con revisión humana, con margen de incertidumbre y con la metodología abierta. Las </w:t>
      </w:r>
      <w:r>
        <w:rPr>
          <w:b/>
          <w:bCs/>
        </w:rPr>
        <w:t xml:space="preserve">jurisdicciones pequeñas y no hispanohablantes</w:t>
      </w:r>
      <w:r>
        <w:t xml:space="preserve"> fueron consideradas desde la decisión metodológica 4 (desagregar por idioma y país) y están protegidas por la regla de revisión obligatoria, que la auditoría de esta semana confirma y amplía (Parte 5). </w:t>
      </w:r>
      <w:r>
        <w:rPr>
          <w:b/>
          <w:bCs/>
        </w:rPr>
        <w:t xml:space="preserve">Estudiantes y docentes</w:t>
      </w:r>
      <w:r>
        <w:t xml:space="preserve"> no interactúan con el sistema; su interés se atiende evitando que un índice distorsionado oriente políticas. La </w:t>
      </w:r>
      <w:r>
        <w:rPr>
          <w:b/>
          <w:bCs/>
        </w:rPr>
        <w:t xml:space="preserve">comunidad</w:t>
      </w:r>
      <w:r>
        <w:t xml:space="preserve"> recibe código MIT, muestra anonimizada, </w:t>
      </w:r>
      <w:r>
        <w:rPr>
          <w:i/>
          <w:iCs/>
        </w:rPr>
        <w:t xml:space="preserve">model card</w:t>
      </w:r>
      <w:r>
        <w:t xml:space="preserve"> y </w:t>
      </w:r>
      <w:r>
        <w:rPr>
          <w:i/>
          <w:iCs/>
        </w:rPr>
        <w:t xml:space="preserve">datasheet</w:t>
      </w:r>
      <w:r>
        <w:t xml:space="preserve">. El </w:t>
      </w:r>
      <w:r>
        <w:rPr>
          <w:b/>
          <w:bCs/>
        </w:rPr>
        <w:t xml:space="preserve">proveedor del LLM</w:t>
      </w:r>
      <w:r>
        <w:t xml:space="preserve"> está sujeto a prompt versionado, registro de la versión exacta y alternativa con modelo abierto.</w:t>
      </w:r>
    </w:p>
    <w:p>
      <w:pPr>
        <w:pStyle w:val="Heading2"/>
        <w:keepNext/>
        <w:spacing w:after="120" w:before="280"/>
      </w:pPr>
      <w:r>
        <w:t xml:space="preserve">Parte 3. Evaluación de impacto social</w:t>
      </w:r>
    </w:p>
    <w:p>
      <w:pPr>
        <w:pStyle w:val="Heading3"/>
        <w:keepNext/>
        <w:spacing w:after="80" w:before="200"/>
      </w:pPr>
      <w:r>
        <w:t xml:space="preserve">3.1 Impactos positivos</w:t>
      </w:r>
    </w:p>
    <w:p>
      <w:pPr>
        <w:pStyle w:val="ListParagraph"/>
        <w:numPr>
          <w:ilvl w:val="0"/>
          <w:numId w:val="2"/>
        </w:numPr>
        <w:spacing w:after="60" w:line="264"/>
        <w:jc w:val="both"/>
      </w:pPr>
      <w:r>
        <w:rPr>
          <w:b/>
          <w:bCs/>
        </w:rPr>
        <w:t xml:space="preserve">Escalabilidad y sostenibilidad del observatorio.</w:t>
      </w:r>
      <w:r>
        <w:t xml:space="preserve"> </w:t>
      </w:r>
      <w:r>
        <w:rPr>
          <w:i/>
          <w:iCs/>
        </w:rPr>
        <w:t xml:space="preserve">Descripción:// el modelo reduce el espacio de decisión de cinco a dos opciones en el 85 % de las normas (top-2) y permite estimar la carga residual de cada actualización. </w:t>
      </w:r>
      <w:r>
        <w:t xml:space="preserve">Beneficiados:// codificadores y coordinación GENIAL; a mediano plazo, los países, porque un observatorio sostenible se actualiza. </w:t>
      </w:r>
      <w:r>
        <w:rPr>
          <w:i/>
          <w:iCs/>
        </w:rPr>
        <w:t xml:space="preserve">Evidencia:// con la regla de gobernanza, 21 de 136 horas-persona por pasada se ahorran hoy; el ahorro crece si mejora el modelo o se relaja el umbral para países bien representados.</w:t>
      </w:r>
    </w:p>
    <w:p>
      <w:pPr>
        <w:pStyle w:val="ListParagraph"/>
        <w:numPr>
          <w:ilvl w:val="0"/>
          <w:numId w:val="2"/>
        </w:numPr>
        <w:spacing w:after="60" w:line="264"/>
        <w:jc w:val="both"/>
      </w:pPr>
      <w:r>
        <w:rPr>
          <w:b/>
          <w:bCs/>
        </w:rPr>
        <w:t xml:space="preserve">Consistencia, trazabilidad y mejora del propio framework.</w:t>
      </w:r>
      <w:r>
        <w:t xml:space="preserve"> </w:t>
      </w:r>
      <w:r>
        <w:rPr>
          <w:i/>
          <w:iCs/>
        </w:rPr>
        <w:t xml:space="preserve">Descripción:// criterios de codificación explícitos (pesos por término, probabilidades), registro de qué normas tienen respaldo humano, y una hoja de tipificación que convierte los desacuerdos modelo-humano en evidencia sobre normas de frontera. </w:t>
      </w:r>
      <w:r>
        <w:t xml:space="preserve">Beneficiados:// coordinación y comunidad académica. </w:t>
      </w:r>
      <w:r>
        <w:rPr>
          <w:i/>
          <w:iCs/>
        </w:rPr>
        <w:t xml:space="preserve">Evidencia:// 35 de los 37 errores del modelo caen en normas que el investigador marcó como multidimensionales; el 84 % de las normas releídas recibieron etiquetas secundarias. El sistema hace visible que la etiqueta única es una simplificación y empuja a GENIAL a revisar su framework.</w:t>
      </w:r>
    </w:p>
    <w:p>
      <w:pPr>
        <w:pStyle w:val="ListParagraph"/>
        <w:numPr>
          <w:ilvl w:val="0"/>
          <w:numId w:val="2"/>
        </w:numPr>
        <w:spacing w:after="60" w:line="264"/>
        <w:jc w:val="both"/>
      </w:pPr>
      <w:r>
        <w:rPr>
          <w:b/>
          <w:bCs/>
        </w:rPr>
        <w:t xml:space="preserve">Democratización del método y transferencia de capacidades.</w:t>
      </w:r>
      <w:r>
        <w:t xml:space="preserve"> </w:t>
      </w:r>
      <w:r>
        <w:rPr>
          <w:i/>
          <w:iCs/>
        </w:rPr>
        <w:t xml:space="preserve">Descripción:// repositorio público con código MIT, muestra anonimizada, cuadernos ejecutados, </w:t>
      </w:r>
      <w:r>
        <w:t xml:space="preserve">model card</w:t>
      </w:r>
      <w:r>
        <w:rPr>
          <w:i/>
          <w:iCs/>
        </w:rPr>
        <w:t xml:space="preserve"> y </w:t>
      </w:r>
      <w:r>
        <w:t xml:space="preserve">datasheet</w:t>
      </w:r>
      <w:r>
        <w:rPr>
          <w:i/>
          <w:iCs/>
        </w:rPr>
        <w:t xml:space="preserve">: cualquier observatorio (CEPAL, OCDE, redes universitarias) puede replicar el pipeline sobre su propio corpus. </w:t>
      </w:r>
      <w:r>
        <w:t xml:space="preserve">Beneficiados:// comunidad académica, otros observatorios, estudiantes de la maestría. </w:t>
      </w:r>
      <w:r>
        <w:rPr>
          <w:i/>
          <w:iCs/>
        </w:rPr>
        <w:t xml:space="preserve">Evidencia:// [1]–[3]; el proyecto GENIAL tiene entre sus objetivos la generación de capacidades de IA en instituciones de educación superior de la región.</w:t>
      </w:r>
    </w:p>
    <w:p>
      <w:pPr>
        <w:pStyle w:val="ListParagraph"/>
        <w:numPr>
          <w:ilvl w:val="0"/>
          <w:numId w:val="2"/>
        </w:numPr>
        <w:spacing w:after="60" w:line="264"/>
        <w:jc w:val="both"/>
      </w:pPr>
      <w:r>
        <w:rPr>
          <w:b/>
          <w:bCs/>
        </w:rPr>
        <w:t xml:space="preserve">Visibilidad de jurisdicciones habitualmente omitidas.</w:t>
      </w:r>
      <w:r>
        <w:t xml:space="preserve"> </w:t>
      </w:r>
      <w:r>
        <w:rPr>
          <w:i/>
          <w:iCs/>
        </w:rPr>
        <w:t xml:space="preserve">Descripción:// el corpus incluye 13 jurisdicciones del Caribe y Centroamérica con menos de 20 normas, ausentes de la mayoría de índices regionales [4]. </w:t>
      </w:r>
      <w:r>
        <w:t xml:space="preserve">Beneficiados:// esas jurisdicciones y sus IES. </w:t>
      </w:r>
      <w:r>
        <w:rPr>
          <w:i/>
          <w:iCs/>
        </w:rPr>
        <w:t xml:space="preserve">Evidencia:// el sistema las trata explícitamente (revisión obligatoria) en lugar de ignorarlas, y la auditoría cuantifica su situación.</w:t>
      </w:r>
    </w:p>
    <w:p>
      <w:pPr>
        <w:pStyle w:val="Heading3"/>
        <w:keepNext/>
        <w:spacing w:after="80" w:before="200"/>
      </w:pPr>
      <w:r>
        <w:t xml:space="preserve">3.2 Impactos negativos y riesgos</w:t>
      </w:r>
    </w:p>
    <w:p>
      <w:pPr>
        <w:keepNext/>
        <w:spacing w:after="80" w:before="160"/>
        <w:jc w:val="left"/>
      </w:pPr>
      <w:r>
        <w:rPr>
          <w:b/>
          <w:bCs/>
          <w:color w:val="6E6862"/>
          <w:sz w:val="18"/>
          <w:szCs w:val="18"/>
        </w:rPr>
        <w:t xml:space="preserve">Tabla 2.</w:t>
      </w:r>
      <w:r>
        <w:rPr>
          <w:color w:val="6E6862"/>
          <w:sz w:val="18"/>
          <w:szCs w:val="18"/>
        </w:rPr>
        <w:t xml:space="preserve"> Impactos negativos y riesgos sociales del sistema.</w:t>
      </w:r>
    </w:p>
    <w:tbl>
      <w:tblPr>
        <w:tblW w:type="dxa" w:w="9412"/>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2179"/>
        <w:gridCol w:w="3839"/>
        <w:gridCol w:w="1556"/>
        <w:gridCol w:w="830"/>
        <w:gridCol w:w="1008"/>
      </w:tblGrid>
      <w:tr>
        <w:trPr>
          <w:cantSplit/>
          <w:tblHeader/>
        </w:trPr>
        <w:tc>
          <w:tcPr>
            <w:tcW w:type="dxa" w:w="2179"/>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Riesgo / impacto negativo</w:t>
            </w:r>
          </w:p>
        </w:tc>
        <w:tc>
          <w:tcPr>
            <w:tcW w:type="dxa" w:w="3839"/>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Descripción</w:t>
            </w:r>
          </w:p>
        </w:tc>
        <w:tc>
          <w:tcPr>
            <w:tcW w:type="dxa" w:w="1556"/>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Grupos vulnerables</w:t>
            </w:r>
          </w:p>
        </w:tc>
        <w:tc>
          <w:tcPr>
            <w:tcW w:type="dxa" w:w="830"/>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Severidad</w:t>
            </w:r>
          </w:p>
        </w:tc>
        <w:tc>
          <w:tcPr>
            <w:tcW w:type="dxa" w:w="1008"/>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Probabilidad</w:t>
            </w:r>
          </w:p>
        </w:tc>
      </w:tr>
      <w:tr>
        <w:trPr>
          <w:cantSplit w:val="false"/>
        </w:trPr>
        <w:tc>
          <w:tcPr>
            <w:tcW w:type="dxa" w:w="2179"/>
            <w:tcMar>
              <w:top w:type="dxa" w:w="60"/>
              <w:left w:type="dxa" w:w="80"/>
              <w:bottom w:type="dxa" w:w="60"/>
              <w:right w:type="dxa" w:w="80"/>
            </w:tcMar>
            <w:vAlign w:val="top"/>
          </w:tcPr>
          <w:p>
            <w:pPr>
              <w:spacing w:after="40" w:line="240"/>
              <w:jc w:val="left"/>
            </w:pPr>
            <w:r>
              <w:rPr>
                <w:b/>
                <w:bCs/>
                <w:sz w:val="13"/>
                <w:szCs w:val="13"/>
              </w:rPr>
              <w:t xml:space="preserve">R1 · Sesgo geográfico y lingüístico en el IMN</w:t>
            </w:r>
          </w:p>
        </w:tc>
        <w:tc>
          <w:tcPr>
            <w:tcW w:type="dxa" w:w="3839"/>
            <w:tcMar>
              <w:top w:type="dxa" w:w="60"/>
              <w:left w:type="dxa" w:w="80"/>
              <w:bottom w:type="dxa" w:w="60"/>
              <w:right w:type="dxa" w:w="80"/>
            </w:tcMar>
            <w:vAlign w:val="top"/>
          </w:tcPr>
          <w:p>
            <w:pPr>
              <w:spacing w:after="40" w:line="240"/>
              <w:jc w:val="left"/>
            </w:pPr>
            <w:r>
              <w:rPr>
                <w:sz w:val="13"/>
                <w:szCs w:val="13"/>
              </w:rPr>
              <w:t xml:space="preserve">El modelo acierta 67 % en Hispanoamérica continental, 47 % en Brasil y 38 % en el Caribe; en títulos en inglés 36 %. Sin salvaguardas, los países pequeños y no hispanohablantes recibirían un IMN sistemáticamente distorsionado (invisibilización de dimensiones o inflación de otras).</w:t>
            </w:r>
          </w:p>
        </w:tc>
        <w:tc>
          <w:tcPr>
            <w:tcW w:type="dxa" w:w="1556"/>
            <w:tcMar>
              <w:top w:type="dxa" w:w="60"/>
              <w:left w:type="dxa" w:w="80"/>
              <w:bottom w:type="dxa" w:w="60"/>
              <w:right w:type="dxa" w:w="80"/>
            </w:tcMar>
            <w:vAlign w:val="top"/>
          </w:tcPr>
          <w:p>
            <w:pPr>
              <w:spacing w:after="40" w:line="240"/>
              <w:jc w:val="left"/>
            </w:pPr>
            <w:r>
              <w:rPr>
                <w:sz w:val="13"/>
                <w:szCs w:val="13"/>
              </w:rPr>
              <w:t xml:space="preserve">Caribe anglófono, Haití, Brasil, países con &lt; 20 normas</w:t>
            </w:r>
          </w:p>
        </w:tc>
        <w:tc>
          <w:tcPr>
            <w:tcW w:type="dxa" w:w="830"/>
            <w:tcMar>
              <w:top w:type="dxa" w:w="60"/>
              <w:left w:type="dxa" w:w="80"/>
              <w:bottom w:type="dxa" w:w="60"/>
              <w:right w:type="dxa" w:w="80"/>
            </w:tcMar>
            <w:vAlign w:val="top"/>
          </w:tcPr>
          <w:p>
            <w:pPr>
              <w:spacing w:after="40" w:line="240"/>
              <w:jc w:val="left"/>
            </w:pPr>
            <w:r>
              <w:rPr>
                <w:sz w:val="13"/>
                <w:szCs w:val="13"/>
              </w:rPr>
              <w:t xml:space="preserve">Alta</w:t>
            </w:r>
          </w:p>
        </w:tc>
        <w:tc>
          <w:tcPr>
            <w:tcW w:type="dxa" w:w="1008"/>
            <w:tcMar>
              <w:top w:type="dxa" w:w="60"/>
              <w:left w:type="dxa" w:w="80"/>
              <w:bottom w:type="dxa" w:w="60"/>
              <w:right w:type="dxa" w:w="80"/>
            </w:tcMar>
            <w:vAlign w:val="top"/>
          </w:tcPr>
          <w:p>
            <w:pPr>
              <w:spacing w:after="40" w:line="240"/>
              <w:jc w:val="left"/>
            </w:pPr>
            <w:r>
              <w:rPr>
                <w:sz w:val="13"/>
                <w:szCs w:val="13"/>
              </w:rPr>
              <w:t xml:space="preserve">Alta (sin la regla de gobernanza); Baja (con ella)</w:t>
            </w:r>
          </w:p>
        </w:tc>
      </w:tr>
      <w:tr>
        <w:trPr>
          <w:cantSplit w:val="false"/>
        </w:trPr>
        <w:tc>
          <w:tcPr>
            <w:tcW w:type="dxa" w:w="2179"/>
            <w:shd w:fill="F3F1EE" w:color="auto" w:val="clear"/>
            <w:tcMar>
              <w:top w:type="dxa" w:w="60"/>
              <w:left w:type="dxa" w:w="80"/>
              <w:bottom w:type="dxa" w:w="60"/>
              <w:right w:type="dxa" w:w="80"/>
            </w:tcMar>
            <w:vAlign w:val="top"/>
          </w:tcPr>
          <w:p>
            <w:pPr>
              <w:spacing w:after="40" w:line="240"/>
              <w:jc w:val="left"/>
            </w:pPr>
            <w:r>
              <w:rPr>
                <w:b/>
                <w:bCs/>
                <w:sz w:val="13"/>
                <w:szCs w:val="13"/>
              </w:rPr>
              <w:t xml:space="preserve">R2 · Sesgo de automatización y erosión del juicio experto</w:t>
            </w:r>
          </w:p>
        </w:tc>
        <w:tc>
          <w:tcPr>
            <w:tcW w:type="dxa" w:w="3839"/>
            <w:shd w:fill="F3F1EE" w:color="auto" w:val="clear"/>
            <w:tcMar>
              <w:top w:type="dxa" w:w="60"/>
              <w:left w:type="dxa" w:w="80"/>
              <w:bottom w:type="dxa" w:w="60"/>
              <w:right w:type="dxa" w:w="80"/>
            </w:tcMar>
            <w:vAlign w:val="top"/>
          </w:tcPr>
          <w:p>
            <w:pPr>
              <w:spacing w:after="40" w:line="240"/>
              <w:jc w:val="left"/>
            </w:pPr>
            <w:r>
              <w:rPr>
                <w:sz w:val="13"/>
                <w:szCs w:val="13"/>
              </w:rPr>
              <w:t xml:space="preserve">Si el codificador acepta por defecto la propuesta del modelo, los errores sistemáticos del modelo (Técnico F1 0.35, Administrativo 0.41) se trasladan al índice y el conocimiento experto se degrada [5].</w:t>
            </w:r>
          </w:p>
        </w:tc>
        <w:tc>
          <w:tcPr>
            <w:tcW w:type="dxa" w:w="1556"/>
            <w:shd w:fill="F3F1EE" w:color="auto" w:val="clear"/>
            <w:tcMar>
              <w:top w:type="dxa" w:w="60"/>
              <w:left w:type="dxa" w:w="80"/>
              <w:bottom w:type="dxa" w:w="60"/>
              <w:right w:type="dxa" w:w="80"/>
            </w:tcMar>
            <w:vAlign w:val="top"/>
          </w:tcPr>
          <w:p>
            <w:pPr>
              <w:spacing w:after="40" w:line="240"/>
              <w:jc w:val="left"/>
            </w:pPr>
            <w:r>
              <w:rPr>
                <w:sz w:val="13"/>
                <w:szCs w:val="13"/>
              </w:rPr>
              <w:t xml:space="preserve">Codificadores; clases minoritarias del framework (Técnico, Administrativo)</w:t>
            </w:r>
          </w:p>
        </w:tc>
        <w:tc>
          <w:tcPr>
            <w:tcW w:type="dxa" w:w="830"/>
            <w:shd w:fill="F3F1EE" w:color="auto" w:val="clear"/>
            <w:tcMar>
              <w:top w:type="dxa" w:w="60"/>
              <w:left w:type="dxa" w:w="80"/>
              <w:bottom w:type="dxa" w:w="60"/>
              <w:right w:type="dxa" w:w="80"/>
            </w:tcMar>
            <w:vAlign w:val="top"/>
          </w:tcPr>
          <w:p>
            <w:pPr>
              <w:spacing w:after="40" w:line="240"/>
              <w:jc w:val="left"/>
            </w:pPr>
            <w:r>
              <w:rPr>
                <w:sz w:val="13"/>
                <w:szCs w:val="13"/>
              </w:rPr>
              <w:t xml:space="preserve">Media-Alta</w:t>
            </w:r>
          </w:p>
        </w:tc>
        <w:tc>
          <w:tcPr>
            <w:tcW w:type="dxa" w:w="1008"/>
            <w:shd w:fill="F3F1EE" w:color="auto" w:val="clear"/>
            <w:tcMar>
              <w:top w:type="dxa" w:w="60"/>
              <w:left w:type="dxa" w:w="80"/>
              <w:bottom w:type="dxa" w:w="60"/>
              <w:right w:type="dxa" w:w="80"/>
            </w:tcMar>
            <w:vAlign w:val="top"/>
          </w:tcPr>
          <w:p>
            <w:pPr>
              <w:spacing w:after="40" w:line="240"/>
              <w:jc w:val="left"/>
            </w:pPr>
            <w:r>
              <w:rPr>
                <w:sz w:val="13"/>
                <w:szCs w:val="13"/>
              </w:rPr>
              <w:t xml:space="preserve">Media</w:t>
            </w:r>
          </w:p>
        </w:tc>
      </w:tr>
      <w:tr>
        <w:trPr>
          <w:cantSplit w:val="false"/>
        </w:trPr>
        <w:tc>
          <w:tcPr>
            <w:tcW w:type="dxa" w:w="2179"/>
            <w:tcMar>
              <w:top w:type="dxa" w:w="60"/>
              <w:left w:type="dxa" w:w="80"/>
              <w:bottom w:type="dxa" w:w="60"/>
              <w:right w:type="dxa" w:w="80"/>
            </w:tcMar>
            <w:vAlign w:val="top"/>
          </w:tcPr>
          <w:p>
            <w:pPr>
              <w:spacing w:after="40" w:line="240"/>
              <w:jc w:val="left"/>
            </w:pPr>
            <w:r>
              <w:rPr>
                <w:b/>
                <w:bCs/>
                <w:sz w:val="13"/>
                <w:szCs w:val="13"/>
              </w:rPr>
              <w:t xml:space="preserve">R3 · Uso reputacional o político del índice sin su incertidumbre</w:t>
            </w:r>
          </w:p>
        </w:tc>
        <w:tc>
          <w:tcPr>
            <w:tcW w:type="dxa" w:w="3839"/>
            <w:tcMar>
              <w:top w:type="dxa" w:w="60"/>
              <w:left w:type="dxa" w:w="80"/>
              <w:bottom w:type="dxa" w:w="60"/>
              <w:right w:type="dxa" w:w="80"/>
            </w:tcMar>
            <w:vAlign w:val="top"/>
          </w:tcPr>
          <w:p>
            <w:pPr>
              <w:spacing w:after="40" w:line="240"/>
              <w:jc w:val="left"/>
            </w:pPr>
            <w:r>
              <w:rPr>
                <w:sz w:val="13"/>
                <w:szCs w:val="13"/>
              </w:rPr>
              <w:t xml:space="preserve">Un IMN presentado como ranking puede usarse para presionar, premiar o sancionar países o IES, cuando parte de sus cifras proviene de un modelo con κ 0.50-0.56 frente a la referencia.</w:t>
            </w:r>
          </w:p>
        </w:tc>
        <w:tc>
          <w:tcPr>
            <w:tcW w:type="dxa" w:w="1556"/>
            <w:tcMar>
              <w:top w:type="dxa" w:w="60"/>
              <w:left w:type="dxa" w:w="80"/>
              <w:bottom w:type="dxa" w:w="60"/>
              <w:right w:type="dxa" w:w="80"/>
            </w:tcMar>
            <w:vAlign w:val="top"/>
          </w:tcPr>
          <w:p>
            <w:pPr>
              <w:spacing w:after="40" w:line="240"/>
              <w:jc w:val="left"/>
            </w:pPr>
            <w:r>
              <w:rPr>
                <w:sz w:val="13"/>
                <w:szCs w:val="13"/>
              </w:rPr>
              <w:t xml:space="preserve">Países comparados, IES, decisores</w:t>
            </w:r>
          </w:p>
        </w:tc>
        <w:tc>
          <w:tcPr>
            <w:tcW w:type="dxa" w:w="830"/>
            <w:tcMar>
              <w:top w:type="dxa" w:w="60"/>
              <w:left w:type="dxa" w:w="80"/>
              <w:bottom w:type="dxa" w:w="60"/>
              <w:right w:type="dxa" w:w="80"/>
            </w:tcMar>
            <w:vAlign w:val="top"/>
          </w:tcPr>
          <w:p>
            <w:pPr>
              <w:spacing w:after="40" w:line="240"/>
              <w:jc w:val="left"/>
            </w:pPr>
            <w:r>
              <w:rPr>
                <w:sz w:val="13"/>
                <w:szCs w:val="13"/>
              </w:rPr>
              <w:t xml:space="preserve">Alta</w:t>
            </w:r>
          </w:p>
        </w:tc>
        <w:tc>
          <w:tcPr>
            <w:tcW w:type="dxa" w:w="1008"/>
            <w:tcMar>
              <w:top w:type="dxa" w:w="60"/>
              <w:left w:type="dxa" w:w="80"/>
              <w:bottom w:type="dxa" w:w="60"/>
              <w:right w:type="dxa" w:w="80"/>
            </w:tcMar>
            <w:vAlign w:val="top"/>
          </w:tcPr>
          <w:p>
            <w:pPr>
              <w:spacing w:after="40" w:line="240"/>
              <w:jc w:val="left"/>
            </w:pPr>
            <w:r>
              <w:rPr>
                <w:sz w:val="13"/>
                <w:szCs w:val="13"/>
              </w:rPr>
              <w:t xml:space="preserve">Media</w:t>
            </w:r>
          </w:p>
        </w:tc>
      </w:tr>
      <w:tr>
        <w:trPr>
          <w:cantSplit w:val="false"/>
        </w:trPr>
        <w:tc>
          <w:tcPr>
            <w:tcW w:type="dxa" w:w="2179"/>
            <w:shd w:fill="F3F1EE" w:color="auto" w:val="clear"/>
            <w:tcMar>
              <w:top w:type="dxa" w:w="60"/>
              <w:left w:type="dxa" w:w="80"/>
              <w:bottom w:type="dxa" w:w="60"/>
              <w:right w:type="dxa" w:w="80"/>
            </w:tcMar>
            <w:vAlign w:val="top"/>
          </w:tcPr>
          <w:p>
            <w:pPr>
              <w:spacing w:after="40" w:line="240"/>
              <w:jc w:val="left"/>
            </w:pPr>
            <w:r>
              <w:rPr>
                <w:b/>
                <w:bCs/>
                <w:sz w:val="13"/>
                <w:szCs w:val="13"/>
              </w:rPr>
              <w:t xml:space="preserve">R4 · Reificación del framework de cinco dimensiones</w:t>
            </w:r>
          </w:p>
        </w:tc>
        <w:tc>
          <w:tcPr>
            <w:tcW w:type="dxa" w:w="3839"/>
            <w:shd w:fill="F3F1EE" w:color="auto" w:val="clear"/>
            <w:tcMar>
              <w:top w:type="dxa" w:w="60"/>
              <w:left w:type="dxa" w:w="80"/>
              <w:bottom w:type="dxa" w:w="60"/>
              <w:right w:type="dxa" w:w="80"/>
            </w:tcMar>
            <w:vAlign w:val="top"/>
          </w:tcPr>
          <w:p>
            <w:pPr>
              <w:spacing w:after="40" w:line="240"/>
              <w:jc w:val="left"/>
            </w:pPr>
            <w:r>
              <w:rPr>
                <w:sz w:val="13"/>
                <w:szCs w:val="13"/>
              </w:rPr>
              <w:t xml:space="preserve">El modelo aprende y amplifica la simplificación «una norma = una dimensión»; las normas de frontera (pedagógico-ético, datos-ético) se fuerzan a una casilla y el índice pierde matiz.</w:t>
            </w:r>
          </w:p>
        </w:tc>
        <w:tc>
          <w:tcPr>
            <w:tcW w:type="dxa" w:w="1556"/>
            <w:shd w:fill="F3F1EE" w:color="auto" w:val="clear"/>
            <w:tcMar>
              <w:top w:type="dxa" w:w="60"/>
              <w:left w:type="dxa" w:w="80"/>
              <w:bottom w:type="dxa" w:w="60"/>
              <w:right w:type="dxa" w:w="80"/>
            </w:tcMar>
            <w:vAlign w:val="top"/>
          </w:tcPr>
          <w:p>
            <w:pPr>
              <w:spacing w:after="40" w:line="240"/>
              <w:jc w:val="left"/>
            </w:pPr>
            <w:r>
              <w:rPr>
                <w:sz w:val="13"/>
                <w:szCs w:val="13"/>
              </w:rPr>
              <w:t xml:space="preserve">Normas y países con normativa integral (estrategias nacionales)</w:t>
            </w:r>
          </w:p>
        </w:tc>
        <w:tc>
          <w:tcPr>
            <w:tcW w:type="dxa" w:w="830"/>
            <w:shd w:fill="F3F1EE" w:color="auto" w:val="clear"/>
            <w:tcMar>
              <w:top w:type="dxa" w:w="60"/>
              <w:left w:type="dxa" w:w="80"/>
              <w:bottom w:type="dxa" w:w="60"/>
              <w:right w:type="dxa" w:w="80"/>
            </w:tcMar>
            <w:vAlign w:val="top"/>
          </w:tcPr>
          <w:p>
            <w:pPr>
              <w:spacing w:after="40" w:line="240"/>
              <w:jc w:val="left"/>
            </w:pPr>
            <w:r>
              <w:rPr>
                <w:sz w:val="13"/>
                <w:szCs w:val="13"/>
              </w:rPr>
              <w:t xml:space="preserve">Media</w:t>
            </w:r>
          </w:p>
        </w:tc>
        <w:tc>
          <w:tcPr>
            <w:tcW w:type="dxa" w:w="1008"/>
            <w:shd w:fill="F3F1EE" w:color="auto" w:val="clear"/>
            <w:tcMar>
              <w:top w:type="dxa" w:w="60"/>
              <w:left w:type="dxa" w:w="80"/>
              <w:bottom w:type="dxa" w:w="60"/>
              <w:right w:type="dxa" w:w="80"/>
            </w:tcMar>
            <w:vAlign w:val="top"/>
          </w:tcPr>
          <w:p>
            <w:pPr>
              <w:spacing w:after="40" w:line="240"/>
              <w:jc w:val="left"/>
            </w:pPr>
            <w:r>
              <w:rPr>
                <w:sz w:val="13"/>
                <w:szCs w:val="13"/>
              </w:rPr>
              <w:t xml:space="preserve">Alta</w:t>
            </w:r>
          </w:p>
        </w:tc>
      </w:tr>
      <w:tr>
        <w:trPr>
          <w:cantSplit w:val="false"/>
        </w:trPr>
        <w:tc>
          <w:tcPr>
            <w:tcW w:type="dxa" w:w="2179"/>
            <w:tcMar>
              <w:top w:type="dxa" w:w="60"/>
              <w:left w:type="dxa" w:w="80"/>
              <w:bottom w:type="dxa" w:w="60"/>
              <w:right w:type="dxa" w:w="80"/>
            </w:tcMar>
            <w:vAlign w:val="top"/>
          </w:tcPr>
          <w:p>
            <w:pPr>
              <w:spacing w:after="40" w:line="240"/>
              <w:jc w:val="left"/>
            </w:pPr>
            <w:r>
              <w:rPr>
                <w:b/>
                <w:bCs/>
                <w:sz w:val="13"/>
                <w:szCs w:val="13"/>
              </w:rPr>
              <w:t xml:space="preserve">R5 · Datos personales de codificadores y dependencia de terceros</w:t>
            </w:r>
          </w:p>
        </w:tc>
        <w:tc>
          <w:tcPr>
            <w:tcW w:type="dxa" w:w="3839"/>
            <w:tcMar>
              <w:top w:type="dxa" w:w="60"/>
              <w:left w:type="dxa" w:w="80"/>
              <w:bottom w:type="dxa" w:w="60"/>
              <w:right w:type="dxa" w:w="80"/>
            </w:tcMar>
            <w:vAlign w:val="top"/>
          </w:tcPr>
          <w:p>
            <w:pPr>
              <w:spacing w:after="40" w:line="240"/>
              <w:jc w:val="left"/>
            </w:pPr>
            <w:r>
              <w:rPr>
                <w:sz w:val="13"/>
                <w:szCs w:val="13"/>
              </w:rPr>
              <w:t xml:space="preserve">El corpus incluye el nombre del codificador; una fuga permitiría atribuir errores a personas. La rama LLM envía textos a un proveedor externo y depende de versiones de modelo que cambian.</w:t>
            </w:r>
          </w:p>
        </w:tc>
        <w:tc>
          <w:tcPr>
            <w:tcW w:type="dxa" w:w="1556"/>
            <w:tcMar>
              <w:top w:type="dxa" w:w="60"/>
              <w:left w:type="dxa" w:w="80"/>
              <w:bottom w:type="dxa" w:w="60"/>
              <w:right w:type="dxa" w:w="80"/>
            </w:tcMar>
            <w:vAlign w:val="top"/>
          </w:tcPr>
          <w:p>
            <w:pPr>
              <w:spacing w:after="40" w:line="240"/>
              <w:jc w:val="left"/>
            </w:pPr>
            <w:r>
              <w:rPr>
                <w:sz w:val="13"/>
                <w:szCs w:val="13"/>
              </w:rPr>
              <w:t xml:space="preserve">Codificadores; coordinación (reproducibilidad)</w:t>
            </w:r>
          </w:p>
        </w:tc>
        <w:tc>
          <w:tcPr>
            <w:tcW w:type="dxa" w:w="830"/>
            <w:tcMar>
              <w:top w:type="dxa" w:w="60"/>
              <w:left w:type="dxa" w:w="80"/>
              <w:bottom w:type="dxa" w:w="60"/>
              <w:right w:type="dxa" w:w="80"/>
            </w:tcMar>
            <w:vAlign w:val="top"/>
          </w:tcPr>
          <w:p>
            <w:pPr>
              <w:spacing w:after="40" w:line="240"/>
              <w:jc w:val="left"/>
            </w:pPr>
            <w:r>
              <w:rPr>
                <w:sz w:val="13"/>
                <w:szCs w:val="13"/>
              </w:rPr>
              <w:t xml:space="preserve">Media</w:t>
            </w:r>
          </w:p>
        </w:tc>
        <w:tc>
          <w:tcPr>
            <w:tcW w:type="dxa" w:w="1008"/>
            <w:tcMar>
              <w:top w:type="dxa" w:w="60"/>
              <w:left w:type="dxa" w:w="80"/>
              <w:bottom w:type="dxa" w:w="60"/>
              <w:right w:type="dxa" w:w="80"/>
            </w:tcMar>
            <w:vAlign w:val="top"/>
          </w:tcPr>
          <w:p>
            <w:pPr>
              <w:spacing w:after="40" w:line="240"/>
              <w:jc w:val="left"/>
            </w:pPr>
            <w:r>
              <w:rPr>
                <w:sz w:val="13"/>
                <w:szCs w:val="13"/>
              </w:rPr>
              <w:t xml:space="preserve">Baja (anonimización y exclusión ya aplicadas)</w:t>
            </w:r>
          </w:p>
        </w:tc>
      </w:tr>
    </w:tbl>
    <w:p>
      <w:pPr>
        <w:pStyle w:val="Heading3"/>
        <w:keepNext/>
        <w:spacing w:after="80" w:before="200"/>
      </w:pPr>
      <w:r>
        <w:t xml:space="preserve">3.3 Análisis de equidad</w:t>
      </w:r>
    </w:p>
    <w:p>
      <w:pPr>
        <w:spacing w:after="90" w:before="0" w:line="259"/>
        <w:jc w:val="both"/>
      </w:pPr>
      <w:r>
        <w:rPr>
          <w:b/>
          <w:bCs/>
        </w:rPr>
        <w:t xml:space="preserve">¿Reduce o aumenta desigualdades existentes?</w:t>
      </w:r>
      <w:r>
        <w:t xml:space="preserve"> Por diseño, las reduce —hace visibles jurisdicciones omitidas y evita que un observatorio sin recursos abandone la codificación—; por su comportamiento técnico, tendería a aumentarlas si se automatizara sin salvaguardas, porque rinde mejor justo donde hay más datos. La auditoría por grupo (Figura 1, Tabla 3) lo cuantifica con la regla de los cuatro quintos [6] como referencia orientativa (no como norma legal, ya que los grupos son jurisdicciones y no personas): la razón de exactitud frente al grupo de referencia es 0.54 para el inglés y 0.56 para el Caribe, muy por debajo de 0.8; por tamaño del país (0.86) y ámbito (0.82) la brecha es menor.</w:t>
      </w:r>
    </w:p>
    <w:p>
      <w:pPr>
        <w:keepNext/>
        <w:spacing w:after="60" w:before="120"/>
        <w:jc w:val="center"/>
      </w:pPr>
      <w:r>
        <w:drawing>
          <wp:inline distT="0" distB="0" distL="0" distR="0">
            <wp:extent cx="59436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276475"/>
                    </a:xfrm>
                    <a:prstGeom prst="rect">
                      <a:avLst/>
                    </a:prstGeom>
                  </pic:spPr>
                </pic:pic>
              </a:graphicData>
            </a:graphic>
          </wp:inline>
        </w:drawing>
      </w:r>
    </w:p>
    <w:p>
      <w:pPr>
        <w:spacing w:after="200"/>
        <w:jc w:val="center"/>
      </w:pPr>
      <w:r>
        <w:rPr>
          <w:b/>
          <w:bCs/>
          <w:color w:val="6E6862"/>
          <w:sz w:val="18"/>
          <w:szCs w:val="18"/>
        </w:rPr>
        <w:t xml:space="preserve">Figura 1.</w:t>
      </w:r>
      <w:r>
        <w:rPr>
          <w:color w:val="6E6862"/>
          <w:sz w:val="18"/>
          <w:szCs w:val="18"/>
        </w:rPr>
        <w:t xml:space="preserve"> Auditoría de equidad por jurisdicción sobre las predicciones fuera de muestra (CV por grupo, n = 813). Izquierda: exactitud por subgrupo con IC95 de Wilson. Derecha: proporción de normas que la regla de gobernanza envía a revisión humana; los grupos con peor desempeño son los más protegidos.</w:t>
      </w:r>
    </w:p>
    <w:p>
      <w:pPr>
        <w:keepNext/>
        <w:spacing w:after="80" w:before="160"/>
        <w:jc w:val="left"/>
      </w:pPr>
      <w:r>
        <w:rPr>
          <w:b/>
          <w:bCs/>
          <w:color w:val="6E6862"/>
          <w:sz w:val="18"/>
          <w:szCs w:val="18"/>
        </w:rPr>
        <w:t xml:space="preserve">Tabla 3.</w:t>
      </w:r>
      <w:r>
        <w:rPr>
          <w:color w:val="6E6862"/>
          <w:sz w:val="18"/>
          <w:szCs w:val="18"/>
        </w:rPr>
        <w:t xml:space="preserve"> Métricas por subgrupo (CV por grupo). Razón = exactitud del grupo / exactitud del grupo de referencia.</w:t>
      </w:r>
    </w:p>
    <w:tbl>
      <w:tblPr>
        <w:tblW w:type="dxa" w:w="9411"/>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1556"/>
        <w:gridCol w:w="2386"/>
        <w:gridCol w:w="519"/>
        <w:gridCol w:w="1867"/>
        <w:gridCol w:w="830"/>
        <w:gridCol w:w="726"/>
        <w:gridCol w:w="726"/>
        <w:gridCol w:w="801"/>
      </w:tblGrid>
      <w:tr>
        <w:trPr>
          <w:cantSplit/>
          <w:tblHeader/>
        </w:trPr>
        <w:tc>
          <w:tcPr>
            <w:tcW w:type="dxa" w:w="1556"/>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Dimensión</w:t>
            </w:r>
          </w:p>
        </w:tc>
        <w:tc>
          <w:tcPr>
            <w:tcW w:type="dxa" w:w="2386"/>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Grupo</w:t>
            </w:r>
          </w:p>
        </w:tc>
        <w:tc>
          <w:tcPr>
            <w:tcW w:type="dxa" w:w="519"/>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n</w:t>
            </w:r>
          </w:p>
        </w:tc>
        <w:tc>
          <w:tcPr>
            <w:tcW w:type="dxa" w:w="1867"/>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Exactitud [IC95]</w:t>
            </w:r>
          </w:p>
        </w:tc>
        <w:tc>
          <w:tcPr>
            <w:tcW w:type="dxa" w:w="830"/>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F1 macro</w:t>
            </w:r>
          </w:p>
        </w:tc>
        <w:tc>
          <w:tcPr>
            <w:tcW w:type="dxa" w:w="726"/>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Top-2</w:t>
            </w:r>
          </w:p>
        </w:tc>
        <w:tc>
          <w:tcPr>
            <w:tcW w:type="dxa" w:w="726"/>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Razón</w:t>
            </w:r>
          </w:p>
        </w:tc>
        <w:tc>
          <w:tcPr>
            <w:tcW w:type="dxa" w:w="801"/>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A revisión</w:t>
            </w:r>
          </w:p>
        </w:tc>
      </w:tr>
      <w:tr>
        <w:trPr>
          <w:cantSplit w:val="false"/>
        </w:trPr>
        <w:tc>
          <w:tcPr>
            <w:tcW w:type="dxa" w:w="1556"/>
            <w:tcMar>
              <w:top w:type="dxa" w:w="60"/>
              <w:left w:type="dxa" w:w="80"/>
              <w:bottom w:type="dxa" w:w="60"/>
              <w:right w:type="dxa" w:w="80"/>
            </w:tcMar>
            <w:vAlign w:val="top"/>
          </w:tcPr>
          <w:p>
            <w:pPr>
              <w:spacing w:after="40" w:line="240"/>
              <w:jc w:val="left"/>
            </w:pPr>
            <w:r>
              <w:rPr>
                <w:sz w:val="13"/>
                <w:szCs w:val="13"/>
              </w:rPr>
              <w:t xml:space="preserve">Idioma del título</w:t>
            </w:r>
          </w:p>
        </w:tc>
        <w:tc>
          <w:tcPr>
            <w:tcW w:type="dxa" w:w="2386"/>
            <w:tcMar>
              <w:top w:type="dxa" w:w="60"/>
              <w:left w:type="dxa" w:w="80"/>
              <w:bottom w:type="dxa" w:w="60"/>
              <w:right w:type="dxa" w:w="80"/>
            </w:tcMar>
            <w:vAlign w:val="top"/>
          </w:tcPr>
          <w:p>
            <w:pPr>
              <w:spacing w:after="40" w:line="240"/>
              <w:jc w:val="left"/>
            </w:pPr>
            <w:r>
              <w:rPr>
                <w:sz w:val="13"/>
                <w:szCs w:val="13"/>
              </w:rPr>
              <w:t xml:space="preserve">es</w:t>
            </w:r>
          </w:p>
        </w:tc>
        <w:tc>
          <w:tcPr>
            <w:tcW w:type="dxa" w:w="519"/>
            <w:tcMar>
              <w:top w:type="dxa" w:w="60"/>
              <w:left w:type="dxa" w:w="80"/>
              <w:bottom w:type="dxa" w:w="60"/>
              <w:right w:type="dxa" w:w="80"/>
            </w:tcMar>
            <w:vAlign w:val="top"/>
          </w:tcPr>
          <w:p>
            <w:pPr>
              <w:spacing w:after="40" w:line="240"/>
              <w:jc w:val="left"/>
            </w:pPr>
            <w:r>
              <w:rPr>
                <w:sz w:val="13"/>
                <w:szCs w:val="13"/>
              </w:rPr>
              <w:t xml:space="preserve">712</w:t>
            </w:r>
          </w:p>
        </w:tc>
        <w:tc>
          <w:tcPr>
            <w:tcW w:type="dxa" w:w="1867"/>
            <w:tcMar>
              <w:top w:type="dxa" w:w="60"/>
              <w:left w:type="dxa" w:w="80"/>
              <w:bottom w:type="dxa" w:w="60"/>
              <w:right w:type="dxa" w:w="80"/>
            </w:tcMar>
            <w:vAlign w:val="top"/>
          </w:tcPr>
          <w:p>
            <w:pPr>
              <w:spacing w:after="40" w:line="240"/>
              <w:jc w:val="left"/>
            </w:pPr>
            <w:r>
              <w:rPr>
                <w:sz w:val="13"/>
                <w:szCs w:val="13"/>
              </w:rPr>
              <w:t xml:space="preserve">0.66 [0.63, 0.70]</w:t>
            </w:r>
          </w:p>
        </w:tc>
        <w:tc>
          <w:tcPr>
            <w:tcW w:type="dxa" w:w="830"/>
            <w:tcMar>
              <w:top w:type="dxa" w:w="60"/>
              <w:left w:type="dxa" w:w="80"/>
              <w:bottom w:type="dxa" w:w="60"/>
              <w:right w:type="dxa" w:w="80"/>
            </w:tcMar>
            <w:vAlign w:val="top"/>
          </w:tcPr>
          <w:p>
            <w:pPr>
              <w:spacing w:after="40" w:line="240"/>
              <w:jc w:val="left"/>
            </w:pPr>
            <w:r>
              <w:rPr>
                <w:sz w:val="13"/>
                <w:szCs w:val="13"/>
              </w:rPr>
              <w:t xml:space="preserve">0.61</w:t>
            </w:r>
          </w:p>
        </w:tc>
        <w:tc>
          <w:tcPr>
            <w:tcW w:type="dxa" w:w="726"/>
            <w:tcMar>
              <w:top w:type="dxa" w:w="60"/>
              <w:left w:type="dxa" w:w="80"/>
              <w:bottom w:type="dxa" w:w="60"/>
              <w:right w:type="dxa" w:w="80"/>
            </w:tcMar>
            <w:vAlign w:val="top"/>
          </w:tcPr>
          <w:p>
            <w:pPr>
              <w:spacing w:after="40" w:line="240"/>
              <w:jc w:val="left"/>
            </w:pPr>
            <w:r>
              <w:rPr>
                <w:sz w:val="13"/>
                <w:szCs w:val="13"/>
              </w:rPr>
              <w:t xml:space="preserve">0.88</w:t>
            </w:r>
          </w:p>
        </w:tc>
        <w:tc>
          <w:tcPr>
            <w:tcW w:type="dxa" w:w="726"/>
            <w:tcMar>
              <w:top w:type="dxa" w:w="60"/>
              <w:left w:type="dxa" w:w="80"/>
              <w:bottom w:type="dxa" w:w="60"/>
              <w:right w:type="dxa" w:w="80"/>
            </w:tcMar>
            <w:vAlign w:val="top"/>
          </w:tcPr>
          <w:p>
            <w:pPr>
              <w:spacing w:after="40" w:line="240"/>
              <w:jc w:val="left"/>
            </w:pPr>
            <w:r>
              <w:rPr>
                <w:sz w:val="13"/>
                <w:szCs w:val="13"/>
              </w:rPr>
              <w:t xml:space="preserve">1.00</w:t>
            </w:r>
          </w:p>
        </w:tc>
        <w:tc>
          <w:tcPr>
            <w:tcW w:type="dxa" w:w="801"/>
            <w:tcMar>
              <w:top w:type="dxa" w:w="60"/>
              <w:left w:type="dxa" w:w="80"/>
              <w:bottom w:type="dxa" w:w="60"/>
              <w:right w:type="dxa" w:w="80"/>
            </w:tcMar>
            <w:vAlign w:val="top"/>
          </w:tcPr>
          <w:p>
            <w:pPr>
              <w:spacing w:after="40" w:line="240"/>
              <w:jc w:val="left"/>
            </w:pPr>
            <w:r>
              <w:rPr>
                <w:sz w:val="13"/>
                <w:szCs w:val="13"/>
              </w:rPr>
              <w:t xml:space="preserve">82 %</w:t>
            </w:r>
          </w:p>
        </w:tc>
      </w:tr>
      <w:tr>
        <w:trPr>
          <w:cantSplit w:val="false"/>
        </w:trPr>
        <w:tc>
          <w:tcPr>
            <w:tcW w:type="dxa" w:w="1556"/>
            <w:shd w:fill="F3F1EE" w:color="auto" w:val="clear"/>
            <w:tcMar>
              <w:top w:type="dxa" w:w="60"/>
              <w:left w:type="dxa" w:w="80"/>
              <w:bottom w:type="dxa" w:w="60"/>
              <w:right w:type="dxa" w:w="80"/>
            </w:tcMar>
            <w:vAlign w:val="top"/>
          </w:tcPr>
          <w:p>
            <w:pPr>
              <w:spacing w:after="40" w:line="240"/>
              <w:jc w:val="left"/>
            </w:pPr>
            <w:r>
              <w:rPr>
                <w:sz w:val="13"/>
                <w:szCs w:val="13"/>
              </w:rPr>
              <w:t xml:space="preserve">Idioma del título</w:t>
            </w:r>
          </w:p>
        </w:tc>
        <w:tc>
          <w:tcPr>
            <w:tcW w:type="dxa" w:w="2386"/>
            <w:shd w:fill="F3F1EE" w:color="auto" w:val="clear"/>
            <w:tcMar>
              <w:top w:type="dxa" w:w="60"/>
              <w:left w:type="dxa" w:w="80"/>
              <w:bottom w:type="dxa" w:w="60"/>
              <w:right w:type="dxa" w:w="80"/>
            </w:tcMar>
            <w:vAlign w:val="top"/>
          </w:tcPr>
          <w:p>
            <w:pPr>
              <w:spacing w:after="40" w:line="240"/>
              <w:jc w:val="left"/>
            </w:pPr>
            <w:r>
              <w:rPr>
                <w:sz w:val="13"/>
                <w:szCs w:val="13"/>
              </w:rPr>
              <w:t xml:space="preserve">pt</w:t>
            </w:r>
          </w:p>
        </w:tc>
        <w:tc>
          <w:tcPr>
            <w:tcW w:type="dxa" w:w="519"/>
            <w:shd w:fill="F3F1EE" w:color="auto" w:val="clear"/>
            <w:tcMar>
              <w:top w:type="dxa" w:w="60"/>
              <w:left w:type="dxa" w:w="80"/>
              <w:bottom w:type="dxa" w:w="60"/>
              <w:right w:type="dxa" w:w="80"/>
            </w:tcMar>
            <w:vAlign w:val="top"/>
          </w:tcPr>
          <w:p>
            <w:pPr>
              <w:spacing w:after="40" w:line="240"/>
              <w:jc w:val="left"/>
            </w:pPr>
            <w:r>
              <w:rPr>
                <w:sz w:val="13"/>
                <w:szCs w:val="13"/>
              </w:rPr>
              <w:t xml:space="preserve">76</w:t>
            </w:r>
          </w:p>
        </w:tc>
        <w:tc>
          <w:tcPr>
            <w:tcW w:type="dxa" w:w="1867"/>
            <w:shd w:fill="F3F1EE" w:color="auto" w:val="clear"/>
            <w:tcMar>
              <w:top w:type="dxa" w:w="60"/>
              <w:left w:type="dxa" w:w="80"/>
              <w:bottom w:type="dxa" w:w="60"/>
              <w:right w:type="dxa" w:w="80"/>
            </w:tcMar>
            <w:vAlign w:val="top"/>
          </w:tcPr>
          <w:p>
            <w:pPr>
              <w:spacing w:after="40" w:line="240"/>
              <w:jc w:val="left"/>
            </w:pPr>
            <w:r>
              <w:rPr>
                <w:sz w:val="13"/>
                <w:szCs w:val="13"/>
              </w:rPr>
              <w:t xml:space="preserve">0.47 [0.37, 0.58]</w:t>
            </w:r>
          </w:p>
        </w:tc>
        <w:tc>
          <w:tcPr>
            <w:tcW w:type="dxa" w:w="830"/>
            <w:shd w:fill="F3F1EE" w:color="auto" w:val="clear"/>
            <w:tcMar>
              <w:top w:type="dxa" w:w="60"/>
              <w:left w:type="dxa" w:w="80"/>
              <w:bottom w:type="dxa" w:w="60"/>
              <w:right w:type="dxa" w:w="80"/>
            </w:tcMar>
            <w:vAlign w:val="top"/>
          </w:tcPr>
          <w:p>
            <w:pPr>
              <w:spacing w:after="40" w:line="240"/>
              <w:jc w:val="left"/>
            </w:pPr>
            <w:r>
              <w:rPr>
                <w:sz w:val="13"/>
                <w:szCs w:val="13"/>
              </w:rPr>
              <w:t xml:space="preserve">0.39</w:t>
            </w:r>
          </w:p>
        </w:tc>
        <w:tc>
          <w:tcPr>
            <w:tcW w:type="dxa" w:w="726"/>
            <w:shd w:fill="F3F1EE" w:color="auto" w:val="clear"/>
            <w:tcMar>
              <w:top w:type="dxa" w:w="60"/>
              <w:left w:type="dxa" w:w="80"/>
              <w:bottom w:type="dxa" w:w="60"/>
              <w:right w:type="dxa" w:w="80"/>
            </w:tcMar>
            <w:vAlign w:val="top"/>
          </w:tcPr>
          <w:p>
            <w:pPr>
              <w:spacing w:after="40" w:line="240"/>
              <w:jc w:val="left"/>
            </w:pPr>
            <w:r>
              <w:rPr>
                <w:sz w:val="13"/>
                <w:szCs w:val="13"/>
              </w:rPr>
              <w:t xml:space="preserve">0.75</w:t>
            </w:r>
          </w:p>
        </w:tc>
        <w:tc>
          <w:tcPr>
            <w:tcW w:type="dxa" w:w="726"/>
            <w:shd w:fill="F3F1EE" w:color="auto" w:val="clear"/>
            <w:tcMar>
              <w:top w:type="dxa" w:w="60"/>
              <w:left w:type="dxa" w:w="80"/>
              <w:bottom w:type="dxa" w:w="60"/>
              <w:right w:type="dxa" w:w="80"/>
            </w:tcMar>
            <w:vAlign w:val="top"/>
          </w:tcPr>
          <w:p>
            <w:pPr>
              <w:spacing w:after="40" w:line="240"/>
              <w:jc w:val="left"/>
            </w:pPr>
            <w:r>
              <w:rPr>
                <w:sz w:val="13"/>
                <w:szCs w:val="13"/>
              </w:rPr>
              <w:t xml:space="preserve">0.72</w:t>
            </w:r>
          </w:p>
        </w:tc>
        <w:tc>
          <w:tcPr>
            <w:tcW w:type="dxa" w:w="801"/>
            <w:shd w:fill="F3F1EE" w:color="auto" w:val="clear"/>
            <w:tcMar>
              <w:top w:type="dxa" w:w="60"/>
              <w:left w:type="dxa" w:w="80"/>
              <w:bottom w:type="dxa" w:w="60"/>
              <w:right w:type="dxa" w:w="80"/>
            </w:tcMar>
            <w:vAlign w:val="top"/>
          </w:tcPr>
          <w:p>
            <w:pPr>
              <w:spacing w:after="40" w:line="240"/>
              <w:jc w:val="left"/>
            </w:pPr>
            <w:r>
              <w:rPr>
                <w:sz w:val="13"/>
                <w:szCs w:val="13"/>
              </w:rPr>
              <w:t xml:space="preserve">100 %</w:t>
            </w:r>
          </w:p>
        </w:tc>
      </w:tr>
      <w:tr>
        <w:trPr>
          <w:cantSplit w:val="false"/>
        </w:trPr>
        <w:tc>
          <w:tcPr>
            <w:tcW w:type="dxa" w:w="1556"/>
            <w:tcMar>
              <w:top w:type="dxa" w:w="60"/>
              <w:left w:type="dxa" w:w="80"/>
              <w:bottom w:type="dxa" w:w="60"/>
              <w:right w:type="dxa" w:w="80"/>
            </w:tcMar>
            <w:vAlign w:val="top"/>
          </w:tcPr>
          <w:p>
            <w:pPr>
              <w:spacing w:after="40" w:line="240"/>
              <w:jc w:val="left"/>
            </w:pPr>
            <w:r>
              <w:rPr>
                <w:sz w:val="13"/>
                <w:szCs w:val="13"/>
              </w:rPr>
              <w:t xml:space="preserve">Idioma del título</w:t>
            </w:r>
          </w:p>
        </w:tc>
        <w:tc>
          <w:tcPr>
            <w:tcW w:type="dxa" w:w="2386"/>
            <w:tcMar>
              <w:top w:type="dxa" w:w="60"/>
              <w:left w:type="dxa" w:w="80"/>
              <w:bottom w:type="dxa" w:w="60"/>
              <w:right w:type="dxa" w:w="80"/>
            </w:tcMar>
            <w:vAlign w:val="top"/>
          </w:tcPr>
          <w:p>
            <w:pPr>
              <w:spacing w:after="40" w:line="240"/>
              <w:jc w:val="left"/>
            </w:pPr>
            <w:r>
              <w:rPr>
                <w:sz w:val="13"/>
                <w:szCs w:val="13"/>
              </w:rPr>
              <w:t xml:space="preserve">en</w:t>
            </w:r>
          </w:p>
        </w:tc>
        <w:tc>
          <w:tcPr>
            <w:tcW w:type="dxa" w:w="519"/>
            <w:tcMar>
              <w:top w:type="dxa" w:w="60"/>
              <w:left w:type="dxa" w:w="80"/>
              <w:bottom w:type="dxa" w:w="60"/>
              <w:right w:type="dxa" w:w="80"/>
            </w:tcMar>
            <w:vAlign w:val="top"/>
          </w:tcPr>
          <w:p>
            <w:pPr>
              <w:spacing w:after="40" w:line="240"/>
              <w:jc w:val="left"/>
            </w:pPr>
            <w:r>
              <w:rPr>
                <w:sz w:val="13"/>
                <w:szCs w:val="13"/>
              </w:rPr>
              <w:t xml:space="preserve">25</w:t>
            </w:r>
          </w:p>
        </w:tc>
        <w:tc>
          <w:tcPr>
            <w:tcW w:type="dxa" w:w="1867"/>
            <w:tcMar>
              <w:top w:type="dxa" w:w="60"/>
              <w:left w:type="dxa" w:w="80"/>
              <w:bottom w:type="dxa" w:w="60"/>
              <w:right w:type="dxa" w:w="80"/>
            </w:tcMar>
            <w:vAlign w:val="top"/>
          </w:tcPr>
          <w:p>
            <w:pPr>
              <w:spacing w:after="40" w:line="240"/>
              <w:jc w:val="left"/>
            </w:pPr>
            <w:r>
              <w:rPr>
                <w:sz w:val="13"/>
                <w:szCs w:val="13"/>
              </w:rPr>
              <w:t xml:space="preserve">0.36 [0.20, 0.55]</w:t>
            </w:r>
          </w:p>
        </w:tc>
        <w:tc>
          <w:tcPr>
            <w:tcW w:type="dxa" w:w="830"/>
            <w:tcMar>
              <w:top w:type="dxa" w:w="60"/>
              <w:left w:type="dxa" w:w="80"/>
              <w:bottom w:type="dxa" w:w="60"/>
              <w:right w:type="dxa" w:w="80"/>
            </w:tcMar>
            <w:vAlign w:val="top"/>
          </w:tcPr>
          <w:p>
            <w:pPr>
              <w:spacing w:after="40" w:line="240"/>
              <w:jc w:val="left"/>
            </w:pPr>
            <w:r>
              <w:rPr>
                <w:sz w:val="13"/>
                <w:szCs w:val="13"/>
              </w:rPr>
              <w:t xml:space="preserve">0.27</w:t>
            </w:r>
          </w:p>
        </w:tc>
        <w:tc>
          <w:tcPr>
            <w:tcW w:type="dxa" w:w="726"/>
            <w:tcMar>
              <w:top w:type="dxa" w:w="60"/>
              <w:left w:type="dxa" w:w="80"/>
              <w:bottom w:type="dxa" w:w="60"/>
              <w:right w:type="dxa" w:w="80"/>
            </w:tcMar>
            <w:vAlign w:val="top"/>
          </w:tcPr>
          <w:p>
            <w:pPr>
              <w:spacing w:after="40" w:line="240"/>
              <w:jc w:val="left"/>
            </w:pPr>
            <w:r>
              <w:rPr>
                <w:sz w:val="13"/>
                <w:szCs w:val="13"/>
              </w:rPr>
              <w:t xml:space="preserve">0.48</w:t>
            </w:r>
          </w:p>
        </w:tc>
        <w:tc>
          <w:tcPr>
            <w:tcW w:type="dxa" w:w="726"/>
            <w:tcMar>
              <w:top w:type="dxa" w:w="60"/>
              <w:left w:type="dxa" w:w="80"/>
              <w:bottom w:type="dxa" w:w="60"/>
              <w:right w:type="dxa" w:w="80"/>
            </w:tcMar>
            <w:vAlign w:val="top"/>
          </w:tcPr>
          <w:p>
            <w:pPr>
              <w:spacing w:after="40" w:line="240"/>
              <w:jc w:val="left"/>
            </w:pPr>
            <w:r>
              <w:rPr>
                <w:sz w:val="13"/>
                <w:szCs w:val="13"/>
              </w:rPr>
              <w:t xml:space="preserve">0.54</w:t>
            </w:r>
          </w:p>
        </w:tc>
        <w:tc>
          <w:tcPr>
            <w:tcW w:type="dxa" w:w="801"/>
            <w:tcMar>
              <w:top w:type="dxa" w:w="60"/>
              <w:left w:type="dxa" w:w="80"/>
              <w:bottom w:type="dxa" w:w="60"/>
              <w:right w:type="dxa" w:w="80"/>
            </w:tcMar>
            <w:vAlign w:val="top"/>
          </w:tcPr>
          <w:p>
            <w:pPr>
              <w:spacing w:after="40" w:line="240"/>
              <w:jc w:val="left"/>
            </w:pPr>
            <w:r>
              <w:rPr>
                <w:sz w:val="13"/>
                <w:szCs w:val="13"/>
              </w:rPr>
              <w:t xml:space="preserve">100 %</w:t>
            </w:r>
          </w:p>
        </w:tc>
      </w:tr>
      <w:tr>
        <w:trPr>
          <w:cantSplit w:val="false"/>
        </w:trPr>
        <w:tc>
          <w:tcPr>
            <w:tcW w:type="dxa" w:w="1556"/>
            <w:shd w:fill="F3F1EE" w:color="auto" w:val="clear"/>
            <w:tcMar>
              <w:top w:type="dxa" w:w="60"/>
              <w:left w:type="dxa" w:w="80"/>
              <w:bottom w:type="dxa" w:w="60"/>
              <w:right w:type="dxa" w:w="80"/>
            </w:tcMar>
            <w:vAlign w:val="top"/>
          </w:tcPr>
          <w:p>
            <w:pPr>
              <w:spacing w:after="40" w:line="240"/>
              <w:jc w:val="left"/>
            </w:pPr>
            <w:r>
              <w:rPr>
                <w:sz w:val="13"/>
                <w:szCs w:val="13"/>
              </w:rPr>
              <w:t xml:space="preserve">Región</w:t>
            </w:r>
          </w:p>
        </w:tc>
        <w:tc>
          <w:tcPr>
            <w:tcW w:type="dxa" w:w="2386"/>
            <w:shd w:fill="F3F1EE" w:color="auto" w:val="clear"/>
            <w:tcMar>
              <w:top w:type="dxa" w:w="60"/>
              <w:left w:type="dxa" w:w="80"/>
              <w:bottom w:type="dxa" w:w="60"/>
              <w:right w:type="dxa" w:w="80"/>
            </w:tcMar>
            <w:vAlign w:val="top"/>
          </w:tcPr>
          <w:p>
            <w:pPr>
              <w:spacing w:after="40" w:line="240"/>
              <w:jc w:val="left"/>
            </w:pPr>
            <w:r>
              <w:rPr>
                <w:sz w:val="13"/>
                <w:szCs w:val="13"/>
              </w:rPr>
              <w:t xml:space="preserve">Hispanoamérica continental</w:t>
            </w:r>
          </w:p>
        </w:tc>
        <w:tc>
          <w:tcPr>
            <w:tcW w:type="dxa" w:w="519"/>
            <w:shd w:fill="F3F1EE" w:color="auto" w:val="clear"/>
            <w:tcMar>
              <w:top w:type="dxa" w:w="60"/>
              <w:left w:type="dxa" w:w="80"/>
              <w:bottom w:type="dxa" w:w="60"/>
              <w:right w:type="dxa" w:w="80"/>
            </w:tcMar>
            <w:vAlign w:val="top"/>
          </w:tcPr>
          <w:p>
            <w:pPr>
              <w:spacing w:after="40" w:line="240"/>
              <w:jc w:val="left"/>
            </w:pPr>
            <w:r>
              <w:rPr>
                <w:sz w:val="13"/>
                <w:szCs w:val="13"/>
              </w:rPr>
              <w:t xml:space="preserve">687</w:t>
            </w:r>
          </w:p>
        </w:tc>
        <w:tc>
          <w:tcPr>
            <w:tcW w:type="dxa" w:w="1867"/>
            <w:shd w:fill="F3F1EE" w:color="auto" w:val="clear"/>
            <w:tcMar>
              <w:top w:type="dxa" w:w="60"/>
              <w:left w:type="dxa" w:w="80"/>
              <w:bottom w:type="dxa" w:w="60"/>
              <w:right w:type="dxa" w:w="80"/>
            </w:tcMar>
            <w:vAlign w:val="top"/>
          </w:tcPr>
          <w:p>
            <w:pPr>
              <w:spacing w:after="40" w:line="240"/>
              <w:jc w:val="left"/>
            </w:pPr>
            <w:r>
              <w:rPr>
                <w:sz w:val="13"/>
                <w:szCs w:val="13"/>
              </w:rPr>
              <w:t xml:space="preserve">0.67 [0.64, 0.71]</w:t>
            </w:r>
          </w:p>
        </w:tc>
        <w:tc>
          <w:tcPr>
            <w:tcW w:type="dxa" w:w="830"/>
            <w:shd w:fill="F3F1EE" w:color="auto" w:val="clear"/>
            <w:tcMar>
              <w:top w:type="dxa" w:w="60"/>
              <w:left w:type="dxa" w:w="80"/>
              <w:bottom w:type="dxa" w:w="60"/>
              <w:right w:type="dxa" w:w="80"/>
            </w:tcMar>
            <w:vAlign w:val="top"/>
          </w:tcPr>
          <w:p>
            <w:pPr>
              <w:spacing w:after="40" w:line="240"/>
              <w:jc w:val="left"/>
            </w:pPr>
            <w:r>
              <w:rPr>
                <w:sz w:val="13"/>
                <w:szCs w:val="13"/>
              </w:rPr>
              <w:t xml:space="preserve">0.62</w:t>
            </w:r>
          </w:p>
        </w:tc>
        <w:tc>
          <w:tcPr>
            <w:tcW w:type="dxa" w:w="726"/>
            <w:shd w:fill="F3F1EE" w:color="auto" w:val="clear"/>
            <w:tcMar>
              <w:top w:type="dxa" w:w="60"/>
              <w:left w:type="dxa" w:w="80"/>
              <w:bottom w:type="dxa" w:w="60"/>
              <w:right w:type="dxa" w:w="80"/>
            </w:tcMar>
            <w:vAlign w:val="top"/>
          </w:tcPr>
          <w:p>
            <w:pPr>
              <w:spacing w:after="40" w:line="240"/>
              <w:jc w:val="left"/>
            </w:pPr>
            <w:r>
              <w:rPr>
                <w:sz w:val="13"/>
                <w:szCs w:val="13"/>
              </w:rPr>
              <w:t xml:space="preserve">0.89</w:t>
            </w:r>
          </w:p>
        </w:tc>
        <w:tc>
          <w:tcPr>
            <w:tcW w:type="dxa" w:w="726"/>
            <w:shd w:fill="F3F1EE" w:color="auto" w:val="clear"/>
            <w:tcMar>
              <w:top w:type="dxa" w:w="60"/>
              <w:left w:type="dxa" w:w="80"/>
              <w:bottom w:type="dxa" w:w="60"/>
              <w:right w:type="dxa" w:w="80"/>
            </w:tcMar>
            <w:vAlign w:val="top"/>
          </w:tcPr>
          <w:p>
            <w:pPr>
              <w:spacing w:after="40" w:line="240"/>
              <w:jc w:val="left"/>
            </w:pPr>
            <w:r>
              <w:rPr>
                <w:sz w:val="13"/>
                <w:szCs w:val="13"/>
              </w:rPr>
              <w:t xml:space="preserve">1.00</w:t>
            </w:r>
          </w:p>
        </w:tc>
        <w:tc>
          <w:tcPr>
            <w:tcW w:type="dxa" w:w="801"/>
            <w:shd w:fill="F3F1EE" w:color="auto" w:val="clear"/>
            <w:tcMar>
              <w:top w:type="dxa" w:w="60"/>
              <w:left w:type="dxa" w:w="80"/>
              <w:bottom w:type="dxa" w:w="60"/>
              <w:right w:type="dxa" w:w="80"/>
            </w:tcMar>
            <w:vAlign w:val="top"/>
          </w:tcPr>
          <w:p>
            <w:pPr>
              <w:spacing w:after="40" w:line="240"/>
              <w:jc w:val="left"/>
            </w:pPr>
            <w:r>
              <w:rPr>
                <w:sz w:val="13"/>
                <w:szCs w:val="13"/>
              </w:rPr>
              <w:t xml:space="preserve">82 %</w:t>
            </w:r>
          </w:p>
        </w:tc>
      </w:tr>
      <w:tr>
        <w:trPr>
          <w:cantSplit w:val="false"/>
        </w:trPr>
        <w:tc>
          <w:tcPr>
            <w:tcW w:type="dxa" w:w="1556"/>
            <w:tcMar>
              <w:top w:type="dxa" w:w="60"/>
              <w:left w:type="dxa" w:w="80"/>
              <w:bottom w:type="dxa" w:w="60"/>
              <w:right w:type="dxa" w:w="80"/>
            </w:tcMar>
            <w:vAlign w:val="top"/>
          </w:tcPr>
          <w:p>
            <w:pPr>
              <w:spacing w:after="40" w:line="240"/>
              <w:jc w:val="left"/>
            </w:pPr>
            <w:r>
              <w:rPr>
                <w:sz w:val="13"/>
                <w:szCs w:val="13"/>
              </w:rPr>
              <w:t xml:space="preserve">Región</w:t>
            </w:r>
          </w:p>
        </w:tc>
        <w:tc>
          <w:tcPr>
            <w:tcW w:type="dxa" w:w="2386"/>
            <w:tcMar>
              <w:top w:type="dxa" w:w="60"/>
              <w:left w:type="dxa" w:w="80"/>
              <w:bottom w:type="dxa" w:w="60"/>
              <w:right w:type="dxa" w:w="80"/>
            </w:tcMar>
            <w:vAlign w:val="top"/>
          </w:tcPr>
          <w:p>
            <w:pPr>
              <w:spacing w:after="40" w:line="240"/>
              <w:jc w:val="left"/>
            </w:pPr>
            <w:r>
              <w:rPr>
                <w:sz w:val="13"/>
                <w:szCs w:val="13"/>
              </w:rPr>
              <w:t xml:space="preserve">Brasil</w:t>
            </w:r>
          </w:p>
        </w:tc>
        <w:tc>
          <w:tcPr>
            <w:tcW w:type="dxa" w:w="519"/>
            <w:tcMar>
              <w:top w:type="dxa" w:w="60"/>
              <w:left w:type="dxa" w:w="80"/>
              <w:bottom w:type="dxa" w:w="60"/>
              <w:right w:type="dxa" w:w="80"/>
            </w:tcMar>
            <w:vAlign w:val="top"/>
          </w:tcPr>
          <w:p>
            <w:pPr>
              <w:spacing w:after="40" w:line="240"/>
              <w:jc w:val="left"/>
            </w:pPr>
            <w:r>
              <w:rPr>
                <w:sz w:val="13"/>
                <w:szCs w:val="13"/>
              </w:rPr>
              <w:t xml:space="preserve">81</w:t>
            </w:r>
          </w:p>
        </w:tc>
        <w:tc>
          <w:tcPr>
            <w:tcW w:type="dxa" w:w="1867"/>
            <w:tcMar>
              <w:top w:type="dxa" w:w="60"/>
              <w:left w:type="dxa" w:w="80"/>
              <w:bottom w:type="dxa" w:w="60"/>
              <w:right w:type="dxa" w:w="80"/>
            </w:tcMar>
            <w:vAlign w:val="top"/>
          </w:tcPr>
          <w:p>
            <w:pPr>
              <w:spacing w:after="40" w:line="240"/>
              <w:jc w:val="left"/>
            </w:pPr>
            <w:r>
              <w:rPr>
                <w:sz w:val="13"/>
                <w:szCs w:val="13"/>
              </w:rPr>
              <w:t xml:space="preserve">0.47 [0.36, 0.58]</w:t>
            </w:r>
          </w:p>
        </w:tc>
        <w:tc>
          <w:tcPr>
            <w:tcW w:type="dxa" w:w="830"/>
            <w:tcMar>
              <w:top w:type="dxa" w:w="60"/>
              <w:left w:type="dxa" w:w="80"/>
              <w:bottom w:type="dxa" w:w="60"/>
              <w:right w:type="dxa" w:w="80"/>
            </w:tcMar>
            <w:vAlign w:val="top"/>
          </w:tcPr>
          <w:p>
            <w:pPr>
              <w:spacing w:after="40" w:line="240"/>
              <w:jc w:val="left"/>
            </w:pPr>
            <w:r>
              <w:rPr>
                <w:sz w:val="13"/>
                <w:szCs w:val="13"/>
              </w:rPr>
              <w:t xml:space="preserve">0.36</w:t>
            </w:r>
          </w:p>
        </w:tc>
        <w:tc>
          <w:tcPr>
            <w:tcW w:type="dxa" w:w="726"/>
            <w:tcMar>
              <w:top w:type="dxa" w:w="60"/>
              <w:left w:type="dxa" w:w="80"/>
              <w:bottom w:type="dxa" w:w="60"/>
              <w:right w:type="dxa" w:w="80"/>
            </w:tcMar>
            <w:vAlign w:val="top"/>
          </w:tcPr>
          <w:p>
            <w:pPr>
              <w:spacing w:after="40" w:line="240"/>
              <w:jc w:val="left"/>
            </w:pPr>
            <w:r>
              <w:rPr>
                <w:sz w:val="13"/>
                <w:szCs w:val="13"/>
              </w:rPr>
              <w:t xml:space="preserve">0.74</w:t>
            </w:r>
          </w:p>
        </w:tc>
        <w:tc>
          <w:tcPr>
            <w:tcW w:type="dxa" w:w="726"/>
            <w:tcMar>
              <w:top w:type="dxa" w:w="60"/>
              <w:left w:type="dxa" w:w="80"/>
              <w:bottom w:type="dxa" w:w="60"/>
              <w:right w:type="dxa" w:w="80"/>
            </w:tcMar>
            <w:vAlign w:val="top"/>
          </w:tcPr>
          <w:p>
            <w:pPr>
              <w:spacing w:after="40" w:line="240"/>
              <w:jc w:val="left"/>
            </w:pPr>
            <w:r>
              <w:rPr>
                <w:sz w:val="13"/>
                <w:szCs w:val="13"/>
              </w:rPr>
              <w:t xml:space="preserve">0.70</w:t>
            </w:r>
          </w:p>
        </w:tc>
        <w:tc>
          <w:tcPr>
            <w:tcW w:type="dxa" w:w="801"/>
            <w:tcMar>
              <w:top w:type="dxa" w:w="60"/>
              <w:left w:type="dxa" w:w="80"/>
              <w:bottom w:type="dxa" w:w="60"/>
              <w:right w:type="dxa" w:w="80"/>
            </w:tcMar>
            <w:vAlign w:val="top"/>
          </w:tcPr>
          <w:p>
            <w:pPr>
              <w:spacing w:after="40" w:line="240"/>
              <w:jc w:val="left"/>
            </w:pPr>
            <w:r>
              <w:rPr>
                <w:sz w:val="13"/>
                <w:szCs w:val="13"/>
              </w:rPr>
              <w:t xml:space="preserve">100 %</w:t>
            </w:r>
          </w:p>
        </w:tc>
      </w:tr>
      <w:tr>
        <w:trPr>
          <w:cantSplit w:val="false"/>
        </w:trPr>
        <w:tc>
          <w:tcPr>
            <w:tcW w:type="dxa" w:w="1556"/>
            <w:shd w:fill="F3F1EE" w:color="auto" w:val="clear"/>
            <w:tcMar>
              <w:top w:type="dxa" w:w="60"/>
              <w:left w:type="dxa" w:w="80"/>
              <w:bottom w:type="dxa" w:w="60"/>
              <w:right w:type="dxa" w:w="80"/>
            </w:tcMar>
            <w:vAlign w:val="top"/>
          </w:tcPr>
          <w:p>
            <w:pPr>
              <w:spacing w:after="40" w:line="240"/>
              <w:jc w:val="left"/>
            </w:pPr>
            <w:r>
              <w:rPr>
                <w:sz w:val="13"/>
                <w:szCs w:val="13"/>
              </w:rPr>
              <w:t xml:space="preserve">Región</w:t>
            </w:r>
          </w:p>
        </w:tc>
        <w:tc>
          <w:tcPr>
            <w:tcW w:type="dxa" w:w="2386"/>
            <w:shd w:fill="F3F1EE" w:color="auto" w:val="clear"/>
            <w:tcMar>
              <w:top w:type="dxa" w:w="60"/>
              <w:left w:type="dxa" w:w="80"/>
              <w:bottom w:type="dxa" w:w="60"/>
              <w:right w:type="dxa" w:w="80"/>
            </w:tcMar>
            <w:vAlign w:val="top"/>
          </w:tcPr>
          <w:p>
            <w:pPr>
              <w:spacing w:after="40" w:line="240"/>
              <w:jc w:val="left"/>
            </w:pPr>
            <w:r>
              <w:rPr>
                <w:sz w:val="13"/>
                <w:szCs w:val="13"/>
              </w:rPr>
              <w:t xml:space="preserve">Caribe</w:t>
            </w:r>
          </w:p>
        </w:tc>
        <w:tc>
          <w:tcPr>
            <w:tcW w:type="dxa" w:w="519"/>
            <w:shd w:fill="F3F1EE" w:color="auto" w:val="clear"/>
            <w:tcMar>
              <w:top w:type="dxa" w:w="60"/>
              <w:left w:type="dxa" w:w="80"/>
              <w:bottom w:type="dxa" w:w="60"/>
              <w:right w:type="dxa" w:w="80"/>
            </w:tcMar>
            <w:vAlign w:val="top"/>
          </w:tcPr>
          <w:p>
            <w:pPr>
              <w:spacing w:after="40" w:line="240"/>
              <w:jc w:val="left"/>
            </w:pPr>
            <w:r>
              <w:rPr>
                <w:sz w:val="13"/>
                <w:szCs w:val="13"/>
              </w:rPr>
              <w:t xml:space="preserve">45</w:t>
            </w:r>
          </w:p>
        </w:tc>
        <w:tc>
          <w:tcPr>
            <w:tcW w:type="dxa" w:w="1867"/>
            <w:shd w:fill="F3F1EE" w:color="auto" w:val="clear"/>
            <w:tcMar>
              <w:top w:type="dxa" w:w="60"/>
              <w:left w:type="dxa" w:w="80"/>
              <w:bottom w:type="dxa" w:w="60"/>
              <w:right w:type="dxa" w:w="80"/>
            </w:tcMar>
            <w:vAlign w:val="top"/>
          </w:tcPr>
          <w:p>
            <w:pPr>
              <w:spacing w:after="40" w:line="240"/>
              <w:jc w:val="left"/>
            </w:pPr>
            <w:r>
              <w:rPr>
                <w:sz w:val="13"/>
                <w:szCs w:val="13"/>
              </w:rPr>
              <w:t xml:space="preserve">0.38 [0.25, 0.52]</w:t>
            </w:r>
          </w:p>
        </w:tc>
        <w:tc>
          <w:tcPr>
            <w:tcW w:type="dxa" w:w="830"/>
            <w:shd w:fill="F3F1EE" w:color="auto" w:val="clear"/>
            <w:tcMar>
              <w:top w:type="dxa" w:w="60"/>
              <w:left w:type="dxa" w:w="80"/>
              <w:bottom w:type="dxa" w:w="60"/>
              <w:right w:type="dxa" w:w="80"/>
            </w:tcMar>
            <w:vAlign w:val="top"/>
          </w:tcPr>
          <w:p>
            <w:pPr>
              <w:spacing w:after="40" w:line="240"/>
              <w:jc w:val="left"/>
            </w:pPr>
            <w:r>
              <w:rPr>
                <w:sz w:val="13"/>
                <w:szCs w:val="13"/>
              </w:rPr>
              <w:t xml:space="preserve">0.39</w:t>
            </w:r>
          </w:p>
        </w:tc>
        <w:tc>
          <w:tcPr>
            <w:tcW w:type="dxa" w:w="726"/>
            <w:shd w:fill="F3F1EE" w:color="auto" w:val="clear"/>
            <w:tcMar>
              <w:top w:type="dxa" w:w="60"/>
              <w:left w:type="dxa" w:w="80"/>
              <w:bottom w:type="dxa" w:w="60"/>
              <w:right w:type="dxa" w:w="80"/>
            </w:tcMar>
            <w:vAlign w:val="top"/>
          </w:tcPr>
          <w:p>
            <w:pPr>
              <w:spacing w:after="40" w:line="240"/>
              <w:jc w:val="left"/>
            </w:pPr>
            <w:r>
              <w:rPr>
                <w:sz w:val="13"/>
                <w:szCs w:val="13"/>
              </w:rPr>
              <w:t xml:space="preserve">0.51</w:t>
            </w:r>
          </w:p>
        </w:tc>
        <w:tc>
          <w:tcPr>
            <w:tcW w:type="dxa" w:w="726"/>
            <w:shd w:fill="F3F1EE" w:color="auto" w:val="clear"/>
            <w:tcMar>
              <w:top w:type="dxa" w:w="60"/>
              <w:left w:type="dxa" w:w="80"/>
              <w:bottom w:type="dxa" w:w="60"/>
              <w:right w:type="dxa" w:w="80"/>
            </w:tcMar>
            <w:vAlign w:val="top"/>
          </w:tcPr>
          <w:p>
            <w:pPr>
              <w:spacing w:after="40" w:line="240"/>
              <w:jc w:val="left"/>
            </w:pPr>
            <w:r>
              <w:rPr>
                <w:sz w:val="13"/>
                <w:szCs w:val="13"/>
              </w:rPr>
              <w:t xml:space="preserve">0.56</w:t>
            </w:r>
          </w:p>
        </w:tc>
        <w:tc>
          <w:tcPr>
            <w:tcW w:type="dxa" w:w="801"/>
            <w:shd w:fill="F3F1EE" w:color="auto" w:val="clear"/>
            <w:tcMar>
              <w:top w:type="dxa" w:w="60"/>
              <w:left w:type="dxa" w:w="80"/>
              <w:bottom w:type="dxa" w:w="60"/>
              <w:right w:type="dxa" w:w="80"/>
            </w:tcMar>
            <w:vAlign w:val="top"/>
          </w:tcPr>
          <w:p>
            <w:pPr>
              <w:spacing w:after="40" w:line="240"/>
              <w:jc w:val="left"/>
            </w:pPr>
            <w:r>
              <w:rPr>
                <w:sz w:val="13"/>
                <w:szCs w:val="13"/>
              </w:rPr>
              <w:t xml:space="preserve">100 %</w:t>
            </w:r>
          </w:p>
        </w:tc>
      </w:tr>
      <w:tr>
        <w:trPr>
          <w:cantSplit w:val="false"/>
        </w:trPr>
        <w:tc>
          <w:tcPr>
            <w:tcW w:type="dxa" w:w="1556"/>
            <w:tcMar>
              <w:top w:type="dxa" w:w="60"/>
              <w:left w:type="dxa" w:w="80"/>
              <w:bottom w:type="dxa" w:w="60"/>
              <w:right w:type="dxa" w:w="80"/>
            </w:tcMar>
            <w:vAlign w:val="top"/>
          </w:tcPr>
          <w:p>
            <w:pPr>
              <w:spacing w:after="40" w:line="240"/>
              <w:jc w:val="left"/>
            </w:pPr>
            <w:r>
              <w:rPr>
                <w:sz w:val="13"/>
                <w:szCs w:val="13"/>
              </w:rPr>
              <w:t xml:space="preserve">Tamaño del país</w:t>
            </w:r>
          </w:p>
        </w:tc>
        <w:tc>
          <w:tcPr>
            <w:tcW w:type="dxa" w:w="2386"/>
            <w:tcMar>
              <w:top w:type="dxa" w:w="60"/>
              <w:left w:type="dxa" w:w="80"/>
              <w:bottom w:type="dxa" w:w="60"/>
              <w:right w:type="dxa" w:w="80"/>
            </w:tcMar>
            <w:vAlign w:val="top"/>
          </w:tcPr>
          <w:p>
            <w:pPr>
              <w:spacing w:after="40" w:line="240"/>
              <w:jc w:val="left"/>
            </w:pPr>
            <w:r>
              <w:rPr>
                <w:sz w:val="13"/>
                <w:szCs w:val="13"/>
              </w:rPr>
              <w:t xml:space="preserve">≥ 50 normas</w:t>
            </w:r>
          </w:p>
        </w:tc>
        <w:tc>
          <w:tcPr>
            <w:tcW w:type="dxa" w:w="519"/>
            <w:tcMar>
              <w:top w:type="dxa" w:w="60"/>
              <w:left w:type="dxa" w:w="80"/>
              <w:bottom w:type="dxa" w:w="60"/>
              <w:right w:type="dxa" w:w="80"/>
            </w:tcMar>
            <w:vAlign w:val="top"/>
          </w:tcPr>
          <w:p>
            <w:pPr>
              <w:spacing w:after="40" w:line="240"/>
              <w:jc w:val="left"/>
            </w:pPr>
            <w:r>
              <w:rPr>
                <w:sz w:val="13"/>
                <w:szCs w:val="13"/>
              </w:rPr>
              <w:t xml:space="preserve">602</w:t>
            </w:r>
          </w:p>
        </w:tc>
        <w:tc>
          <w:tcPr>
            <w:tcW w:type="dxa" w:w="1867"/>
            <w:tcMar>
              <w:top w:type="dxa" w:w="60"/>
              <w:left w:type="dxa" w:w="80"/>
              <w:bottom w:type="dxa" w:w="60"/>
              <w:right w:type="dxa" w:w="80"/>
            </w:tcMar>
            <w:vAlign w:val="top"/>
          </w:tcPr>
          <w:p>
            <w:pPr>
              <w:spacing w:after="40" w:line="240"/>
              <w:jc w:val="left"/>
            </w:pPr>
            <w:r>
              <w:rPr>
                <w:sz w:val="13"/>
                <w:szCs w:val="13"/>
              </w:rPr>
              <w:t xml:space="preserve">0.65 [0.61, 0.69]</w:t>
            </w:r>
          </w:p>
        </w:tc>
        <w:tc>
          <w:tcPr>
            <w:tcW w:type="dxa" w:w="830"/>
            <w:tcMar>
              <w:top w:type="dxa" w:w="60"/>
              <w:left w:type="dxa" w:w="80"/>
              <w:bottom w:type="dxa" w:w="60"/>
              <w:right w:type="dxa" w:w="80"/>
            </w:tcMar>
            <w:vAlign w:val="top"/>
          </w:tcPr>
          <w:p>
            <w:pPr>
              <w:spacing w:after="40" w:line="240"/>
              <w:jc w:val="left"/>
            </w:pPr>
            <w:r>
              <w:rPr>
                <w:sz w:val="13"/>
                <w:szCs w:val="13"/>
              </w:rPr>
              <w:t xml:space="preserve">0.60</w:t>
            </w:r>
          </w:p>
        </w:tc>
        <w:tc>
          <w:tcPr>
            <w:tcW w:type="dxa" w:w="726"/>
            <w:tcMar>
              <w:top w:type="dxa" w:w="60"/>
              <w:left w:type="dxa" w:w="80"/>
              <w:bottom w:type="dxa" w:w="60"/>
              <w:right w:type="dxa" w:w="80"/>
            </w:tcMar>
            <w:vAlign w:val="top"/>
          </w:tcPr>
          <w:p>
            <w:pPr>
              <w:spacing w:after="40" w:line="240"/>
              <w:jc w:val="left"/>
            </w:pPr>
            <w:r>
              <w:rPr>
                <w:sz w:val="13"/>
                <w:szCs w:val="13"/>
              </w:rPr>
              <w:t xml:space="preserve">0.87</w:t>
            </w:r>
          </w:p>
        </w:tc>
        <w:tc>
          <w:tcPr>
            <w:tcW w:type="dxa" w:w="726"/>
            <w:tcMar>
              <w:top w:type="dxa" w:w="60"/>
              <w:left w:type="dxa" w:w="80"/>
              <w:bottom w:type="dxa" w:w="60"/>
              <w:right w:type="dxa" w:w="80"/>
            </w:tcMar>
            <w:vAlign w:val="top"/>
          </w:tcPr>
          <w:p>
            <w:pPr>
              <w:spacing w:after="40" w:line="240"/>
              <w:jc w:val="left"/>
            </w:pPr>
            <w:r>
              <w:rPr>
                <w:sz w:val="13"/>
                <w:szCs w:val="13"/>
              </w:rPr>
              <w:t xml:space="preserve">1.00</w:t>
            </w:r>
          </w:p>
        </w:tc>
        <w:tc>
          <w:tcPr>
            <w:tcW w:type="dxa" w:w="801"/>
            <w:tcMar>
              <w:top w:type="dxa" w:w="60"/>
              <w:left w:type="dxa" w:w="80"/>
              <w:bottom w:type="dxa" w:w="60"/>
              <w:right w:type="dxa" w:w="80"/>
            </w:tcMar>
            <w:vAlign w:val="top"/>
          </w:tcPr>
          <w:p>
            <w:pPr>
              <w:spacing w:after="40" w:line="240"/>
              <w:jc w:val="left"/>
            </w:pPr>
            <w:r>
              <w:rPr>
                <w:sz w:val="13"/>
                <w:szCs w:val="13"/>
              </w:rPr>
              <w:t xml:space="preserve">80 %</w:t>
            </w:r>
          </w:p>
        </w:tc>
      </w:tr>
      <w:tr>
        <w:trPr>
          <w:cantSplit w:val="false"/>
        </w:trPr>
        <w:tc>
          <w:tcPr>
            <w:tcW w:type="dxa" w:w="1556"/>
            <w:shd w:fill="F3F1EE" w:color="auto" w:val="clear"/>
            <w:tcMar>
              <w:top w:type="dxa" w:w="60"/>
              <w:left w:type="dxa" w:w="80"/>
              <w:bottom w:type="dxa" w:w="60"/>
              <w:right w:type="dxa" w:w="80"/>
            </w:tcMar>
            <w:vAlign w:val="top"/>
          </w:tcPr>
          <w:p>
            <w:pPr>
              <w:spacing w:after="40" w:line="240"/>
              <w:jc w:val="left"/>
            </w:pPr>
            <w:r>
              <w:rPr>
                <w:sz w:val="13"/>
                <w:szCs w:val="13"/>
              </w:rPr>
              <w:t xml:space="preserve">Tamaño del país</w:t>
            </w:r>
          </w:p>
        </w:tc>
        <w:tc>
          <w:tcPr>
            <w:tcW w:type="dxa" w:w="2386"/>
            <w:shd w:fill="F3F1EE" w:color="auto" w:val="clear"/>
            <w:tcMar>
              <w:top w:type="dxa" w:w="60"/>
              <w:left w:type="dxa" w:w="80"/>
              <w:bottom w:type="dxa" w:w="60"/>
              <w:right w:type="dxa" w:w="80"/>
            </w:tcMar>
            <w:vAlign w:val="top"/>
          </w:tcPr>
          <w:p>
            <w:pPr>
              <w:spacing w:after="40" w:line="240"/>
              <w:jc w:val="left"/>
            </w:pPr>
            <w:r>
              <w:rPr>
                <w:sz w:val="13"/>
                <w:szCs w:val="13"/>
              </w:rPr>
              <w:t xml:space="preserve">20-49 normas</w:t>
            </w:r>
          </w:p>
        </w:tc>
        <w:tc>
          <w:tcPr>
            <w:tcW w:type="dxa" w:w="519"/>
            <w:shd w:fill="F3F1EE" w:color="auto" w:val="clear"/>
            <w:tcMar>
              <w:top w:type="dxa" w:w="60"/>
              <w:left w:type="dxa" w:w="80"/>
              <w:bottom w:type="dxa" w:w="60"/>
              <w:right w:type="dxa" w:w="80"/>
            </w:tcMar>
            <w:vAlign w:val="top"/>
          </w:tcPr>
          <w:p>
            <w:pPr>
              <w:spacing w:after="40" w:line="240"/>
              <w:jc w:val="left"/>
            </w:pPr>
            <w:r>
              <w:rPr>
                <w:sz w:val="13"/>
                <w:szCs w:val="13"/>
              </w:rPr>
              <w:t xml:space="preserve">65</w:t>
            </w:r>
          </w:p>
        </w:tc>
        <w:tc>
          <w:tcPr>
            <w:tcW w:type="dxa" w:w="1867"/>
            <w:shd w:fill="F3F1EE" w:color="auto" w:val="clear"/>
            <w:tcMar>
              <w:top w:type="dxa" w:w="60"/>
              <w:left w:type="dxa" w:w="80"/>
              <w:bottom w:type="dxa" w:w="60"/>
              <w:right w:type="dxa" w:w="80"/>
            </w:tcMar>
            <w:vAlign w:val="top"/>
          </w:tcPr>
          <w:p>
            <w:pPr>
              <w:spacing w:after="40" w:line="240"/>
              <w:jc w:val="left"/>
            </w:pPr>
            <w:r>
              <w:rPr>
                <w:sz w:val="13"/>
                <w:szCs w:val="13"/>
              </w:rPr>
              <w:t xml:space="preserve">0.66 [0.54, 0.76]</w:t>
            </w:r>
          </w:p>
        </w:tc>
        <w:tc>
          <w:tcPr>
            <w:tcW w:type="dxa" w:w="830"/>
            <w:shd w:fill="F3F1EE" w:color="auto" w:val="clear"/>
            <w:tcMar>
              <w:top w:type="dxa" w:w="60"/>
              <w:left w:type="dxa" w:w="80"/>
              <w:bottom w:type="dxa" w:w="60"/>
              <w:right w:type="dxa" w:w="80"/>
            </w:tcMar>
            <w:vAlign w:val="top"/>
          </w:tcPr>
          <w:p>
            <w:pPr>
              <w:spacing w:after="40" w:line="240"/>
              <w:jc w:val="left"/>
            </w:pPr>
            <w:r>
              <w:rPr>
                <w:sz w:val="13"/>
                <w:szCs w:val="13"/>
              </w:rPr>
              <w:t xml:space="preserve">0.50</w:t>
            </w:r>
          </w:p>
        </w:tc>
        <w:tc>
          <w:tcPr>
            <w:tcW w:type="dxa" w:w="726"/>
            <w:shd w:fill="F3F1EE" w:color="auto" w:val="clear"/>
            <w:tcMar>
              <w:top w:type="dxa" w:w="60"/>
              <w:left w:type="dxa" w:w="80"/>
              <w:bottom w:type="dxa" w:w="60"/>
              <w:right w:type="dxa" w:w="80"/>
            </w:tcMar>
            <w:vAlign w:val="top"/>
          </w:tcPr>
          <w:p>
            <w:pPr>
              <w:spacing w:after="40" w:line="240"/>
              <w:jc w:val="left"/>
            </w:pPr>
            <w:r>
              <w:rPr>
                <w:sz w:val="13"/>
                <w:szCs w:val="13"/>
              </w:rPr>
              <w:t xml:space="preserve">0.92</w:t>
            </w:r>
          </w:p>
        </w:tc>
        <w:tc>
          <w:tcPr>
            <w:tcW w:type="dxa" w:w="726"/>
            <w:shd w:fill="F3F1EE" w:color="auto" w:val="clear"/>
            <w:tcMar>
              <w:top w:type="dxa" w:w="60"/>
              <w:left w:type="dxa" w:w="80"/>
              <w:bottom w:type="dxa" w:w="60"/>
              <w:right w:type="dxa" w:w="80"/>
            </w:tcMar>
            <w:vAlign w:val="top"/>
          </w:tcPr>
          <w:p>
            <w:pPr>
              <w:spacing w:after="40" w:line="240"/>
              <w:jc w:val="left"/>
            </w:pPr>
            <w:r>
              <w:rPr>
                <w:sz w:val="13"/>
                <w:szCs w:val="13"/>
              </w:rPr>
              <w:t xml:space="preserve">1.02</w:t>
            </w:r>
          </w:p>
        </w:tc>
        <w:tc>
          <w:tcPr>
            <w:tcW w:type="dxa" w:w="801"/>
            <w:shd w:fill="F3F1EE" w:color="auto" w:val="clear"/>
            <w:tcMar>
              <w:top w:type="dxa" w:w="60"/>
              <w:left w:type="dxa" w:w="80"/>
              <w:bottom w:type="dxa" w:w="60"/>
              <w:right w:type="dxa" w:w="80"/>
            </w:tcMar>
            <w:vAlign w:val="top"/>
          </w:tcPr>
          <w:p>
            <w:pPr>
              <w:spacing w:after="40" w:line="240"/>
              <w:jc w:val="left"/>
            </w:pPr>
            <w:r>
              <w:rPr>
                <w:sz w:val="13"/>
                <w:szCs w:val="13"/>
              </w:rPr>
              <w:t xml:space="preserve">89 %</w:t>
            </w:r>
          </w:p>
        </w:tc>
      </w:tr>
      <w:tr>
        <w:trPr>
          <w:cantSplit w:val="false"/>
        </w:trPr>
        <w:tc>
          <w:tcPr>
            <w:tcW w:type="dxa" w:w="1556"/>
            <w:tcMar>
              <w:top w:type="dxa" w:w="60"/>
              <w:left w:type="dxa" w:w="80"/>
              <w:bottom w:type="dxa" w:w="60"/>
              <w:right w:type="dxa" w:w="80"/>
            </w:tcMar>
            <w:vAlign w:val="top"/>
          </w:tcPr>
          <w:p>
            <w:pPr>
              <w:spacing w:after="40" w:line="240"/>
              <w:jc w:val="left"/>
            </w:pPr>
            <w:r>
              <w:rPr>
                <w:sz w:val="13"/>
                <w:szCs w:val="13"/>
              </w:rPr>
              <w:t xml:space="preserve">Tamaño del país</w:t>
            </w:r>
          </w:p>
        </w:tc>
        <w:tc>
          <w:tcPr>
            <w:tcW w:type="dxa" w:w="2386"/>
            <w:tcMar>
              <w:top w:type="dxa" w:w="60"/>
              <w:left w:type="dxa" w:w="80"/>
              <w:bottom w:type="dxa" w:w="60"/>
              <w:right w:type="dxa" w:w="80"/>
            </w:tcMar>
            <w:vAlign w:val="top"/>
          </w:tcPr>
          <w:p>
            <w:pPr>
              <w:spacing w:after="40" w:line="240"/>
              <w:jc w:val="left"/>
            </w:pPr>
            <w:r>
              <w:rPr>
                <w:sz w:val="13"/>
                <w:szCs w:val="13"/>
              </w:rPr>
              <w:t xml:space="preserve">&lt; 20 normas</w:t>
            </w:r>
          </w:p>
        </w:tc>
        <w:tc>
          <w:tcPr>
            <w:tcW w:type="dxa" w:w="519"/>
            <w:tcMar>
              <w:top w:type="dxa" w:w="60"/>
              <w:left w:type="dxa" w:w="80"/>
              <w:bottom w:type="dxa" w:w="60"/>
              <w:right w:type="dxa" w:w="80"/>
            </w:tcMar>
            <w:vAlign w:val="top"/>
          </w:tcPr>
          <w:p>
            <w:pPr>
              <w:spacing w:after="40" w:line="240"/>
              <w:jc w:val="left"/>
            </w:pPr>
            <w:r>
              <w:rPr>
                <w:sz w:val="13"/>
                <w:szCs w:val="13"/>
              </w:rPr>
              <w:t xml:space="preserve">146</w:t>
            </w:r>
          </w:p>
        </w:tc>
        <w:tc>
          <w:tcPr>
            <w:tcW w:type="dxa" w:w="1867"/>
            <w:tcMar>
              <w:top w:type="dxa" w:w="60"/>
              <w:left w:type="dxa" w:w="80"/>
              <w:bottom w:type="dxa" w:w="60"/>
              <w:right w:type="dxa" w:w="80"/>
            </w:tcMar>
            <w:vAlign w:val="top"/>
          </w:tcPr>
          <w:p>
            <w:pPr>
              <w:spacing w:after="40" w:line="240"/>
              <w:jc w:val="left"/>
            </w:pPr>
            <w:r>
              <w:rPr>
                <w:sz w:val="13"/>
                <w:szCs w:val="13"/>
              </w:rPr>
              <w:t xml:space="preserve">0.56 [0.48, 0.64]</w:t>
            </w:r>
          </w:p>
        </w:tc>
        <w:tc>
          <w:tcPr>
            <w:tcW w:type="dxa" w:w="830"/>
            <w:tcMar>
              <w:top w:type="dxa" w:w="60"/>
              <w:left w:type="dxa" w:w="80"/>
              <w:bottom w:type="dxa" w:w="60"/>
              <w:right w:type="dxa" w:w="80"/>
            </w:tcMar>
            <w:vAlign w:val="top"/>
          </w:tcPr>
          <w:p>
            <w:pPr>
              <w:spacing w:after="40" w:line="240"/>
              <w:jc w:val="left"/>
            </w:pPr>
            <w:r>
              <w:rPr>
                <w:sz w:val="13"/>
                <w:szCs w:val="13"/>
              </w:rPr>
              <w:t xml:space="preserve">0.53</w:t>
            </w:r>
          </w:p>
        </w:tc>
        <w:tc>
          <w:tcPr>
            <w:tcW w:type="dxa" w:w="726"/>
            <w:tcMar>
              <w:top w:type="dxa" w:w="60"/>
              <w:left w:type="dxa" w:w="80"/>
              <w:bottom w:type="dxa" w:w="60"/>
              <w:right w:type="dxa" w:w="80"/>
            </w:tcMar>
            <w:vAlign w:val="top"/>
          </w:tcPr>
          <w:p>
            <w:pPr>
              <w:spacing w:after="40" w:line="240"/>
              <w:jc w:val="left"/>
            </w:pPr>
            <w:r>
              <w:rPr>
                <w:sz w:val="13"/>
                <w:szCs w:val="13"/>
              </w:rPr>
              <w:t xml:space="preserve">0.76</w:t>
            </w:r>
          </w:p>
        </w:tc>
        <w:tc>
          <w:tcPr>
            <w:tcW w:type="dxa" w:w="726"/>
            <w:tcMar>
              <w:top w:type="dxa" w:w="60"/>
              <w:left w:type="dxa" w:w="80"/>
              <w:bottom w:type="dxa" w:w="60"/>
              <w:right w:type="dxa" w:w="80"/>
            </w:tcMar>
            <w:vAlign w:val="top"/>
          </w:tcPr>
          <w:p>
            <w:pPr>
              <w:spacing w:after="40" w:line="240"/>
              <w:jc w:val="left"/>
            </w:pPr>
            <w:r>
              <w:rPr>
                <w:sz w:val="13"/>
                <w:szCs w:val="13"/>
              </w:rPr>
              <w:t xml:space="preserve">0.86</w:t>
            </w:r>
          </w:p>
        </w:tc>
        <w:tc>
          <w:tcPr>
            <w:tcW w:type="dxa" w:w="801"/>
            <w:tcMar>
              <w:top w:type="dxa" w:w="60"/>
              <w:left w:type="dxa" w:w="80"/>
              <w:bottom w:type="dxa" w:w="60"/>
              <w:right w:type="dxa" w:w="80"/>
            </w:tcMar>
            <w:vAlign w:val="top"/>
          </w:tcPr>
          <w:p>
            <w:pPr>
              <w:spacing w:after="40" w:line="240"/>
              <w:jc w:val="left"/>
            </w:pPr>
            <w:r>
              <w:rPr>
                <w:sz w:val="13"/>
                <w:szCs w:val="13"/>
              </w:rPr>
              <w:t xml:space="preserve">100 %</w:t>
            </w:r>
          </w:p>
        </w:tc>
      </w:tr>
      <w:tr>
        <w:trPr>
          <w:cantSplit w:val="false"/>
        </w:trPr>
        <w:tc>
          <w:tcPr>
            <w:tcW w:type="dxa" w:w="1556"/>
            <w:shd w:fill="F3F1EE" w:color="auto" w:val="clear"/>
            <w:tcMar>
              <w:top w:type="dxa" w:w="60"/>
              <w:left w:type="dxa" w:w="80"/>
              <w:bottom w:type="dxa" w:w="60"/>
              <w:right w:type="dxa" w:w="80"/>
            </w:tcMar>
            <w:vAlign w:val="top"/>
          </w:tcPr>
          <w:p>
            <w:pPr>
              <w:spacing w:after="40" w:line="240"/>
              <w:jc w:val="left"/>
            </w:pPr>
            <w:r>
              <w:rPr>
                <w:sz w:val="13"/>
                <w:szCs w:val="13"/>
              </w:rPr>
              <w:t xml:space="preserve">Ámbito</w:t>
            </w:r>
          </w:p>
        </w:tc>
        <w:tc>
          <w:tcPr>
            <w:tcW w:type="dxa" w:w="2386"/>
            <w:shd w:fill="F3F1EE" w:color="auto" w:val="clear"/>
            <w:tcMar>
              <w:top w:type="dxa" w:w="60"/>
              <w:left w:type="dxa" w:w="80"/>
              <w:bottom w:type="dxa" w:w="60"/>
              <w:right w:type="dxa" w:w="80"/>
            </w:tcMar>
            <w:vAlign w:val="top"/>
          </w:tcPr>
          <w:p>
            <w:pPr>
              <w:spacing w:after="40" w:line="240"/>
              <w:jc w:val="left"/>
            </w:pPr>
            <w:r>
              <w:rPr>
                <w:sz w:val="13"/>
                <w:szCs w:val="13"/>
              </w:rPr>
              <w:t xml:space="preserve">Institucional</w:t>
            </w:r>
          </w:p>
        </w:tc>
        <w:tc>
          <w:tcPr>
            <w:tcW w:type="dxa" w:w="519"/>
            <w:shd w:fill="F3F1EE" w:color="auto" w:val="clear"/>
            <w:tcMar>
              <w:top w:type="dxa" w:w="60"/>
              <w:left w:type="dxa" w:w="80"/>
              <w:bottom w:type="dxa" w:w="60"/>
              <w:right w:type="dxa" w:w="80"/>
            </w:tcMar>
            <w:vAlign w:val="top"/>
          </w:tcPr>
          <w:p>
            <w:pPr>
              <w:spacing w:after="40" w:line="240"/>
              <w:jc w:val="left"/>
            </w:pPr>
            <w:r>
              <w:rPr>
                <w:sz w:val="13"/>
                <w:szCs w:val="13"/>
              </w:rPr>
              <w:t xml:space="preserve">563</w:t>
            </w:r>
          </w:p>
        </w:tc>
        <w:tc>
          <w:tcPr>
            <w:tcW w:type="dxa" w:w="1867"/>
            <w:shd w:fill="F3F1EE" w:color="auto" w:val="clear"/>
            <w:tcMar>
              <w:top w:type="dxa" w:w="60"/>
              <w:left w:type="dxa" w:w="80"/>
              <w:bottom w:type="dxa" w:w="60"/>
              <w:right w:type="dxa" w:w="80"/>
            </w:tcMar>
            <w:vAlign w:val="top"/>
          </w:tcPr>
          <w:p>
            <w:pPr>
              <w:spacing w:after="40" w:line="240"/>
              <w:jc w:val="left"/>
            </w:pPr>
            <w:r>
              <w:rPr>
                <w:sz w:val="13"/>
                <w:szCs w:val="13"/>
              </w:rPr>
              <w:t xml:space="preserve">0.67 [0.63, 0.71]</w:t>
            </w:r>
          </w:p>
        </w:tc>
        <w:tc>
          <w:tcPr>
            <w:tcW w:type="dxa" w:w="830"/>
            <w:shd w:fill="F3F1EE" w:color="auto" w:val="clear"/>
            <w:tcMar>
              <w:top w:type="dxa" w:w="60"/>
              <w:left w:type="dxa" w:w="80"/>
              <w:bottom w:type="dxa" w:w="60"/>
              <w:right w:type="dxa" w:w="80"/>
            </w:tcMar>
            <w:vAlign w:val="top"/>
          </w:tcPr>
          <w:p>
            <w:pPr>
              <w:spacing w:after="40" w:line="240"/>
              <w:jc w:val="left"/>
            </w:pPr>
            <w:r>
              <w:rPr>
                <w:sz w:val="13"/>
                <w:szCs w:val="13"/>
              </w:rPr>
              <w:t xml:space="preserve">0.59</w:t>
            </w:r>
          </w:p>
        </w:tc>
        <w:tc>
          <w:tcPr>
            <w:tcW w:type="dxa" w:w="726"/>
            <w:shd w:fill="F3F1EE" w:color="auto" w:val="clear"/>
            <w:tcMar>
              <w:top w:type="dxa" w:w="60"/>
              <w:left w:type="dxa" w:w="80"/>
              <w:bottom w:type="dxa" w:w="60"/>
              <w:right w:type="dxa" w:w="80"/>
            </w:tcMar>
            <w:vAlign w:val="top"/>
          </w:tcPr>
          <w:p>
            <w:pPr>
              <w:spacing w:after="40" w:line="240"/>
              <w:jc w:val="left"/>
            </w:pPr>
            <w:r>
              <w:rPr>
                <w:sz w:val="13"/>
                <w:szCs w:val="13"/>
              </w:rPr>
              <w:t xml:space="preserve">0.89</w:t>
            </w:r>
          </w:p>
        </w:tc>
        <w:tc>
          <w:tcPr>
            <w:tcW w:type="dxa" w:w="726"/>
            <w:shd w:fill="F3F1EE" w:color="auto" w:val="clear"/>
            <w:tcMar>
              <w:top w:type="dxa" w:w="60"/>
              <w:left w:type="dxa" w:w="80"/>
              <w:bottom w:type="dxa" w:w="60"/>
              <w:right w:type="dxa" w:w="80"/>
            </w:tcMar>
            <w:vAlign w:val="top"/>
          </w:tcPr>
          <w:p>
            <w:pPr>
              <w:spacing w:after="40" w:line="240"/>
              <w:jc w:val="left"/>
            </w:pPr>
            <w:r>
              <w:rPr>
                <w:sz w:val="13"/>
                <w:szCs w:val="13"/>
              </w:rPr>
              <w:t xml:space="preserve">1.00</w:t>
            </w:r>
          </w:p>
        </w:tc>
        <w:tc>
          <w:tcPr>
            <w:tcW w:type="dxa" w:w="801"/>
            <w:shd w:fill="F3F1EE" w:color="auto" w:val="clear"/>
            <w:tcMar>
              <w:top w:type="dxa" w:w="60"/>
              <w:left w:type="dxa" w:w="80"/>
              <w:bottom w:type="dxa" w:w="60"/>
              <w:right w:type="dxa" w:w="80"/>
            </w:tcMar>
            <w:vAlign w:val="top"/>
          </w:tcPr>
          <w:p>
            <w:pPr>
              <w:spacing w:after="40" w:line="240"/>
              <w:jc w:val="left"/>
            </w:pPr>
            <w:r>
              <w:rPr>
                <w:sz w:val="13"/>
                <w:szCs w:val="13"/>
              </w:rPr>
              <w:t xml:space="preserve">80 %</w:t>
            </w:r>
          </w:p>
        </w:tc>
      </w:tr>
      <w:tr>
        <w:trPr>
          <w:cantSplit w:val="false"/>
        </w:trPr>
        <w:tc>
          <w:tcPr>
            <w:tcW w:type="dxa" w:w="1556"/>
            <w:tcMar>
              <w:top w:type="dxa" w:w="60"/>
              <w:left w:type="dxa" w:w="80"/>
              <w:bottom w:type="dxa" w:w="60"/>
              <w:right w:type="dxa" w:w="80"/>
            </w:tcMar>
            <w:vAlign w:val="top"/>
          </w:tcPr>
          <w:p>
            <w:pPr>
              <w:spacing w:after="40" w:line="240"/>
              <w:jc w:val="left"/>
            </w:pPr>
            <w:r>
              <w:rPr>
                <w:sz w:val="13"/>
                <w:szCs w:val="13"/>
              </w:rPr>
              <w:t xml:space="preserve">Ámbito</w:t>
            </w:r>
          </w:p>
        </w:tc>
        <w:tc>
          <w:tcPr>
            <w:tcW w:type="dxa" w:w="2386"/>
            <w:tcMar>
              <w:top w:type="dxa" w:w="60"/>
              <w:left w:type="dxa" w:w="80"/>
              <w:bottom w:type="dxa" w:w="60"/>
              <w:right w:type="dxa" w:w="80"/>
            </w:tcMar>
            <w:vAlign w:val="top"/>
          </w:tcPr>
          <w:p>
            <w:pPr>
              <w:spacing w:after="40" w:line="240"/>
              <w:jc w:val="left"/>
            </w:pPr>
            <w:r>
              <w:rPr>
                <w:sz w:val="13"/>
                <w:szCs w:val="13"/>
              </w:rPr>
              <w:t xml:space="preserve">Nacional</w:t>
            </w:r>
          </w:p>
        </w:tc>
        <w:tc>
          <w:tcPr>
            <w:tcW w:type="dxa" w:w="519"/>
            <w:tcMar>
              <w:top w:type="dxa" w:w="60"/>
              <w:left w:type="dxa" w:w="80"/>
              <w:bottom w:type="dxa" w:w="60"/>
              <w:right w:type="dxa" w:w="80"/>
            </w:tcMar>
            <w:vAlign w:val="top"/>
          </w:tcPr>
          <w:p>
            <w:pPr>
              <w:spacing w:after="40" w:line="240"/>
              <w:jc w:val="left"/>
            </w:pPr>
            <w:r>
              <w:rPr>
                <w:sz w:val="13"/>
                <w:szCs w:val="13"/>
              </w:rPr>
              <w:t xml:space="preserve">250</w:t>
            </w:r>
          </w:p>
        </w:tc>
        <w:tc>
          <w:tcPr>
            <w:tcW w:type="dxa" w:w="1867"/>
            <w:tcMar>
              <w:top w:type="dxa" w:w="60"/>
              <w:left w:type="dxa" w:w="80"/>
              <w:bottom w:type="dxa" w:w="60"/>
              <w:right w:type="dxa" w:w="80"/>
            </w:tcMar>
            <w:vAlign w:val="top"/>
          </w:tcPr>
          <w:p>
            <w:pPr>
              <w:spacing w:after="40" w:line="240"/>
              <w:jc w:val="left"/>
            </w:pPr>
            <w:r>
              <w:rPr>
                <w:sz w:val="13"/>
                <w:szCs w:val="13"/>
              </w:rPr>
              <w:t xml:space="preserve">0.55 [0.49, 0.61]</w:t>
            </w:r>
          </w:p>
        </w:tc>
        <w:tc>
          <w:tcPr>
            <w:tcW w:type="dxa" w:w="830"/>
            <w:tcMar>
              <w:top w:type="dxa" w:w="60"/>
              <w:left w:type="dxa" w:w="80"/>
              <w:bottom w:type="dxa" w:w="60"/>
              <w:right w:type="dxa" w:w="80"/>
            </w:tcMar>
            <w:vAlign w:val="top"/>
          </w:tcPr>
          <w:p>
            <w:pPr>
              <w:spacing w:after="40" w:line="240"/>
              <w:jc w:val="left"/>
            </w:pPr>
            <w:r>
              <w:rPr>
                <w:sz w:val="13"/>
                <w:szCs w:val="13"/>
              </w:rPr>
              <w:t xml:space="preserve">0.56</w:t>
            </w:r>
          </w:p>
        </w:tc>
        <w:tc>
          <w:tcPr>
            <w:tcW w:type="dxa" w:w="726"/>
            <w:tcMar>
              <w:top w:type="dxa" w:w="60"/>
              <w:left w:type="dxa" w:w="80"/>
              <w:bottom w:type="dxa" w:w="60"/>
              <w:right w:type="dxa" w:w="80"/>
            </w:tcMar>
            <w:vAlign w:val="top"/>
          </w:tcPr>
          <w:p>
            <w:pPr>
              <w:spacing w:after="40" w:line="240"/>
              <w:jc w:val="left"/>
            </w:pPr>
            <w:r>
              <w:rPr>
                <w:sz w:val="13"/>
                <w:szCs w:val="13"/>
              </w:rPr>
              <w:t xml:space="preserve">0.76</w:t>
            </w:r>
          </w:p>
        </w:tc>
        <w:tc>
          <w:tcPr>
            <w:tcW w:type="dxa" w:w="726"/>
            <w:tcMar>
              <w:top w:type="dxa" w:w="60"/>
              <w:left w:type="dxa" w:w="80"/>
              <w:bottom w:type="dxa" w:w="60"/>
              <w:right w:type="dxa" w:w="80"/>
            </w:tcMar>
            <w:vAlign w:val="top"/>
          </w:tcPr>
          <w:p>
            <w:pPr>
              <w:spacing w:after="40" w:line="240"/>
              <w:jc w:val="left"/>
            </w:pPr>
            <w:r>
              <w:rPr>
                <w:sz w:val="13"/>
                <w:szCs w:val="13"/>
              </w:rPr>
              <w:t xml:space="preserve">0.82</w:t>
            </w:r>
          </w:p>
        </w:tc>
        <w:tc>
          <w:tcPr>
            <w:tcW w:type="dxa" w:w="801"/>
            <w:tcMar>
              <w:top w:type="dxa" w:w="60"/>
              <w:left w:type="dxa" w:w="80"/>
              <w:bottom w:type="dxa" w:w="60"/>
              <w:right w:type="dxa" w:w="80"/>
            </w:tcMar>
            <w:vAlign w:val="top"/>
          </w:tcPr>
          <w:p>
            <w:pPr>
              <w:spacing w:after="40" w:line="240"/>
              <w:jc w:val="left"/>
            </w:pPr>
            <w:r>
              <w:rPr>
                <w:sz w:val="13"/>
                <w:szCs w:val="13"/>
              </w:rPr>
              <w:t xml:space="preserve">94 %</w:t>
            </w:r>
          </w:p>
        </w:tc>
      </w:tr>
    </w:tbl>
    <w:p>
      <w:pPr>
        <w:spacing w:after="90" w:before="0" w:line="259"/>
        <w:jc w:val="both"/>
      </w:pPr>
      <w:r>
        <w:rPr>
          <w:b/>
          <w:bCs/>
        </w:rPr>
        <w:t xml:space="preserve">Distribución de beneficios.</w:t>
      </w:r>
      <w:r>
        <w:t xml:space="preserve"> Se benefician más los países grandes e hispanohablantes (México, Chile, Argentina, Ecuador): sus normas se clasifican mejor y son las que la regla deja pasar al tramo automático. </w:t>
      </w:r>
      <w:r>
        <w:rPr>
          <w:b/>
          <w:bCs/>
        </w:rPr>
        <w:t xml:space="preserve">Distribución de riesgos.</w:t>
      </w:r>
      <w:r>
        <w:t xml:space="preserve"> Los asumen las jurisdicciones pequeñas y no hispanohablantes; la regla de gobernanza los transfiere al presupuesto del observatorio (revisión humana del 100 % de sus normas), que es donde deben estar. </w:t>
      </w:r>
      <w:r>
        <w:rPr>
          <w:b/>
          <w:bCs/>
        </w:rPr>
        <w:t xml:space="preserve">Acceso.</w:t>
      </w:r>
      <w:r>
        <w:t xml:space="preserve"> El código es abierto, pero el corpus no es redistribuible y la rama LLM requiere una clave de pago: un observatorio sin financiamiento puede replicar la rama clásica, no la LLM. </w:t>
      </w:r>
      <w:r>
        <w:rPr>
          <w:b/>
          <w:bCs/>
        </w:rPr>
        <w:t xml:space="preserve">Barreras.</w:t>
      </w:r>
      <w:r>
        <w:t xml:space="preserve"> Idioma de la documentación (español), competencias técnicas (Python, Git) y la necesidad de un corpus propio codificado. </w:t>
      </w:r>
      <w:r>
        <w:rPr>
          <w:b/>
          <w:bCs/>
        </w:rPr>
        <w:t xml:space="preserve">Hallazgo accionable.</w:t>
      </w:r>
      <w:r>
        <w:t xml:space="preserve"> Brasil quedaba fuera de la revisión obligatoria por idioma (la regla cubría en/fr) y las pocas normas brasileñas que pasaban al tramo automático se clasificaban mal (exactitud 0.33 en ese tramo en la auditoría previa a la corrección): la regla se corrigió en esta actividad para incluir el portugués, y la Tabla 3 ya refleja el 100 % de revisión para Brasil.</w:t>
      </w:r>
    </w:p>
    <w:p>
      <w:pPr>
        <w:pStyle w:val="Heading2"/>
        <w:keepNext/>
        <w:spacing w:after="120" w:before="280"/>
      </w:pPr>
      <w:r>
        <w:t xml:space="preserve">Parte 4. Riesgos éticos específicos</w:t>
      </w:r>
    </w:p>
    <w:p>
      <w:pPr>
        <w:spacing w:after="90" w:before="0" w:line="259"/>
        <w:jc w:val="both"/>
      </w:pPr>
      <w:r>
        <w:t xml:space="preserve">Del </w:t>
      </w:r>
      <w:r>
        <w:rPr>
          <w:i/>
          <w:iCs/>
        </w:rPr>
        <w:t xml:space="preserve">checklist</w:t>
      </w:r>
      <w:r>
        <w:t xml:space="preserve"> del workshop se analizan seis riesgos (fairness, privacidad, transparencia, autonomía, seguridad y accountability). Para cada uno se indica cómo se manifiesta en este proyecto, la evidencia, la severidad y el grupo afectado.</w:t>
      </w:r>
    </w:p>
    <w:tbl>
      <w:tblPr>
        <w:tblW w:type="dxa" w:w="9412"/>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1764"/>
        <w:gridCol w:w="7648"/>
      </w:tblGrid>
      <w:tr>
        <w:trPr>
          <w:cantSplit w:val="false"/>
        </w:trPr>
        <w:tc>
          <w:tcPr>
            <w:tcW w:type="dxa" w:w="1764"/>
            <w:shd w:fill="F1E3E8" w:color="auto" w:val="clear"/>
            <w:tcMar>
              <w:top w:type="dxa" w:w="60"/>
              <w:left w:type="dxa" w:w="80"/>
              <w:bottom w:type="dxa" w:w="60"/>
              <w:right w:type="dxa" w:w="80"/>
            </w:tcMar>
            <w:vAlign w:val="top"/>
          </w:tcPr>
          <w:p>
            <w:pPr>
              <w:spacing w:after="40" w:line="240"/>
              <w:jc w:val="left"/>
            </w:pPr>
            <w:r>
              <w:rPr>
                <w:b/>
                <w:bCs/>
                <w:sz w:val="14"/>
                <w:szCs w:val="14"/>
              </w:rPr>
              <w:t xml:space="preserve">Riesgo E1</w:t>
            </w:r>
          </w:p>
        </w:tc>
        <w:tc>
          <w:tcPr>
            <w:tcW w:type="dxa" w:w="7648"/>
            <w:tcMar>
              <w:top w:type="dxa" w:w="60"/>
              <w:left w:type="dxa" w:w="80"/>
              <w:bottom w:type="dxa" w:w="60"/>
              <w:right w:type="dxa" w:w="80"/>
            </w:tcMar>
            <w:vAlign w:val="top"/>
          </w:tcPr>
          <w:p>
            <w:pPr>
              <w:spacing w:after="40" w:line="240"/>
              <w:jc w:val="left"/>
            </w:pPr>
            <w:r>
              <w:rPr>
                <w:sz w:val="14"/>
                <w:szCs w:val="14"/>
              </w:rPr>
              <w:t xml:space="preserve">Fairness y sesgo: desempeño desigual por idioma y región (¿discrimina el modelo? ¿están balanceados los datos? ¿se evaluaron métricas de fairness?)</w:t>
            </w:r>
          </w:p>
        </w:tc>
      </w:tr>
      <w:tr>
        <w:trPr>
          <w:cantSplit w:val="false"/>
        </w:trPr>
        <w:tc>
          <w:tcPr>
            <w:tcW w:type="dxa" w:w="1764"/>
            <w:shd w:fill="F3F1EE" w:color="auto" w:val="clear"/>
            <w:tcMar>
              <w:top w:type="dxa" w:w="60"/>
              <w:left w:type="dxa" w:w="80"/>
              <w:bottom w:type="dxa" w:w="60"/>
              <w:right w:type="dxa" w:w="80"/>
            </w:tcMar>
            <w:vAlign w:val="top"/>
          </w:tcPr>
          <w:p>
            <w:pPr>
              <w:spacing w:after="40" w:line="240"/>
              <w:jc w:val="left"/>
            </w:pPr>
            <w:r>
              <w:rPr>
                <w:b/>
                <w:bCs/>
                <w:sz w:val="14"/>
                <w:szCs w:val="14"/>
              </w:rPr>
              <w:t xml:space="preserve">Descripción</w:t>
            </w:r>
          </w:p>
        </w:tc>
        <w:tc>
          <w:tcPr>
            <w:tcW w:type="dxa" w:w="7648"/>
            <w:tcMar>
              <w:top w:type="dxa" w:w="60"/>
              <w:left w:type="dxa" w:w="80"/>
              <w:bottom w:type="dxa" w:w="60"/>
              <w:right w:type="dxa" w:w="80"/>
            </w:tcMar>
            <w:vAlign w:val="top"/>
          </w:tcPr>
          <w:p>
            <w:pPr>
              <w:spacing w:after="40" w:line="240"/>
              <w:jc w:val="left"/>
            </w:pPr>
            <w:r>
              <w:rPr>
                <w:sz w:val="14"/>
                <w:szCs w:val="14"/>
              </w:rPr>
              <w:t xml:space="preserve">El modelo no decide sobre personas, pero sí sobre jurisdicciones: una norma brasileña o caribeña tiene menos probabilidad de ser bien clasificada. Los datos no están balanceados ni por clase (4.7:1) ni por país (66 % en cinco países) ni por idioma (88 % español). Se evaluaron métricas por grupo: exactitud, F1 macro, top-2 e IC95 por idioma, región, tamaño del país, ámbito y codificador anonimizado (Tabla 3); las herramientas estándar de fairness (Fairlearn, AIF360) se diseñaron para atributos protegidos de personas y no aplican directamente, así que se adaptó su lógica (paridad de exactitud y regla de los cuatro quintos) [7], [8].</w:t>
            </w:r>
          </w:p>
        </w:tc>
      </w:tr>
      <w:tr>
        <w:trPr>
          <w:cantSplit w:val="false"/>
        </w:trPr>
        <w:tc>
          <w:tcPr>
            <w:tcW w:type="dxa" w:w="1764"/>
            <w:shd w:fill="F3F1EE" w:color="auto" w:val="clear"/>
            <w:tcMar>
              <w:top w:type="dxa" w:w="60"/>
              <w:left w:type="dxa" w:w="80"/>
              <w:bottom w:type="dxa" w:w="60"/>
              <w:right w:type="dxa" w:w="80"/>
            </w:tcMar>
            <w:vAlign w:val="top"/>
          </w:tcPr>
          <w:p>
            <w:pPr>
              <w:spacing w:after="40" w:line="240"/>
              <w:jc w:val="left"/>
            </w:pPr>
            <w:r>
              <w:rPr>
                <w:b/>
                <w:bCs/>
                <w:sz w:val="14"/>
                <w:szCs w:val="14"/>
              </w:rPr>
              <w:t xml:space="preserve">Evidencia</w:t>
            </w:r>
          </w:p>
        </w:tc>
        <w:tc>
          <w:tcPr>
            <w:tcW w:type="dxa" w:w="7648"/>
            <w:tcMar>
              <w:top w:type="dxa" w:w="60"/>
              <w:left w:type="dxa" w:w="80"/>
              <w:bottom w:type="dxa" w:w="60"/>
              <w:right w:type="dxa" w:w="80"/>
            </w:tcMar>
            <w:vAlign w:val="top"/>
          </w:tcPr>
          <w:p>
            <w:pPr>
              <w:spacing w:after="40" w:line="240"/>
              <w:jc w:val="left"/>
            </w:pPr>
            <w:r>
              <w:rPr>
                <w:sz w:val="14"/>
                <w:szCs w:val="14"/>
              </w:rPr>
              <w:t xml:space="preserve">Exactitud es 0.66 / pt 0.47 / en 0.36; Caribe 0.38; normas nuevas del Caribe 0.39. Razón mínima frente al grupo de referencia 0.54 (idioma) y 0.56 (región). Además, el efecto codificador está confundido con el país (un codificador por país; exactitud por codificador entre 0.29 y 0.71), por lo que no es posible separar «sesgo del modelo» de «estilo de codificación».</w:t>
            </w:r>
          </w:p>
        </w:tc>
      </w:tr>
      <w:tr>
        <w:trPr>
          <w:cantSplit w:val="false"/>
        </w:trPr>
        <w:tc>
          <w:tcPr>
            <w:tcW w:type="dxa" w:w="1764"/>
            <w:shd w:fill="F3F1EE" w:color="auto" w:val="clear"/>
            <w:tcMar>
              <w:top w:type="dxa" w:w="60"/>
              <w:left w:type="dxa" w:w="80"/>
              <w:bottom w:type="dxa" w:w="60"/>
              <w:right w:type="dxa" w:w="80"/>
            </w:tcMar>
            <w:vAlign w:val="top"/>
          </w:tcPr>
          <w:p>
            <w:pPr>
              <w:spacing w:after="40" w:line="240"/>
              <w:jc w:val="left"/>
            </w:pPr>
            <w:r>
              <w:rPr>
                <w:b/>
                <w:bCs/>
                <w:sz w:val="14"/>
                <w:szCs w:val="14"/>
              </w:rPr>
              <w:t xml:space="preserve">Severidad</w:t>
            </w:r>
          </w:p>
        </w:tc>
        <w:tc>
          <w:tcPr>
            <w:tcW w:type="dxa" w:w="7648"/>
            <w:tcMar>
              <w:top w:type="dxa" w:w="60"/>
              <w:left w:type="dxa" w:w="80"/>
              <w:bottom w:type="dxa" w:w="60"/>
              <w:right w:type="dxa" w:w="80"/>
            </w:tcMar>
            <w:vAlign w:val="top"/>
          </w:tcPr>
          <w:p>
            <w:pPr>
              <w:spacing w:after="40" w:line="240"/>
              <w:jc w:val="left"/>
            </w:pPr>
            <w:r>
              <w:rPr>
                <w:sz w:val="14"/>
                <w:szCs w:val="14"/>
              </w:rPr>
              <w:t xml:space="preserve">Alta: afecta directamente la validez comparativa del IMN, que es el producto del observatorio.</w:t>
            </w:r>
          </w:p>
        </w:tc>
      </w:tr>
      <w:tr>
        <w:trPr>
          <w:cantSplit w:val="false"/>
        </w:trPr>
        <w:tc>
          <w:tcPr>
            <w:tcW w:type="dxa" w:w="1764"/>
            <w:shd w:fill="F3F1EE" w:color="auto" w:val="clear"/>
            <w:tcMar>
              <w:top w:type="dxa" w:w="60"/>
              <w:left w:type="dxa" w:w="80"/>
              <w:bottom w:type="dxa" w:w="60"/>
              <w:right w:type="dxa" w:w="80"/>
            </w:tcMar>
            <w:vAlign w:val="top"/>
          </w:tcPr>
          <w:p>
            <w:pPr>
              <w:spacing w:after="40" w:line="240"/>
              <w:jc w:val="left"/>
            </w:pPr>
            <w:r>
              <w:rPr>
                <w:b/>
                <w:bCs/>
                <w:sz w:val="14"/>
                <w:szCs w:val="14"/>
              </w:rPr>
              <w:t xml:space="preserve">Grupo afectado</w:t>
            </w:r>
          </w:p>
        </w:tc>
        <w:tc>
          <w:tcPr>
            <w:tcW w:type="dxa" w:w="7648"/>
            <w:tcMar>
              <w:top w:type="dxa" w:w="60"/>
              <w:left w:type="dxa" w:w="80"/>
              <w:bottom w:type="dxa" w:w="60"/>
              <w:right w:type="dxa" w:w="80"/>
            </w:tcMar>
            <w:vAlign w:val="top"/>
          </w:tcPr>
          <w:p>
            <w:pPr>
              <w:spacing w:after="40" w:line="240"/>
              <w:jc w:val="left"/>
            </w:pPr>
            <w:r>
              <w:rPr>
                <w:sz w:val="14"/>
                <w:szCs w:val="14"/>
              </w:rPr>
              <w:t xml:space="preserve">Jurisdicciones del Caribe, Brasil, Haití y países con &lt; 20 normas.</w:t>
            </w:r>
          </w:p>
        </w:tc>
      </w:tr>
    </w:tbl>
    <w:tbl>
      <w:tblPr>
        <w:tblW w:type="dxa" w:w="9412"/>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1764"/>
        <w:gridCol w:w="7648"/>
      </w:tblGrid>
      <w:tr>
        <w:trPr>
          <w:cantSplit w:val="false"/>
        </w:trPr>
        <w:tc>
          <w:tcPr>
            <w:tcW w:type="dxa" w:w="1764"/>
            <w:shd w:fill="F1E3E8" w:color="auto" w:val="clear"/>
            <w:tcMar>
              <w:top w:type="dxa" w:w="60"/>
              <w:left w:type="dxa" w:w="80"/>
              <w:bottom w:type="dxa" w:w="60"/>
              <w:right w:type="dxa" w:w="80"/>
            </w:tcMar>
            <w:vAlign w:val="top"/>
          </w:tcPr>
          <w:p>
            <w:pPr>
              <w:spacing w:after="40" w:line="240"/>
              <w:jc w:val="left"/>
            </w:pPr>
            <w:r>
              <w:rPr>
                <w:b/>
                <w:bCs/>
                <w:sz w:val="14"/>
                <w:szCs w:val="14"/>
              </w:rPr>
              <w:t xml:space="preserve">Riesgo E2</w:t>
            </w:r>
          </w:p>
        </w:tc>
        <w:tc>
          <w:tcPr>
            <w:tcW w:type="dxa" w:w="7648"/>
            <w:tcMar>
              <w:top w:type="dxa" w:w="60"/>
              <w:left w:type="dxa" w:w="80"/>
              <w:bottom w:type="dxa" w:w="60"/>
              <w:right w:type="dxa" w:w="80"/>
            </w:tcMar>
            <w:vAlign w:val="top"/>
          </w:tcPr>
          <w:p>
            <w:pPr>
              <w:spacing w:after="40" w:line="240"/>
              <w:jc w:val="left"/>
            </w:pPr>
            <w:r>
              <w:rPr>
                <w:sz w:val="14"/>
                <w:szCs w:val="14"/>
              </w:rPr>
              <w:t xml:space="preserve">Privacidad: datos personales de los codificadores, consentimiento, protección y re-identificación</w:t>
            </w:r>
          </w:p>
        </w:tc>
      </w:tr>
      <w:tr>
        <w:trPr>
          <w:cantSplit w:val="false"/>
        </w:trPr>
        <w:tc>
          <w:tcPr>
            <w:tcW w:type="dxa" w:w="1764"/>
            <w:shd w:fill="F3F1EE" w:color="auto" w:val="clear"/>
            <w:tcMar>
              <w:top w:type="dxa" w:w="60"/>
              <w:left w:type="dxa" w:w="80"/>
              <w:bottom w:type="dxa" w:w="60"/>
              <w:right w:type="dxa" w:w="80"/>
            </w:tcMar>
            <w:vAlign w:val="top"/>
          </w:tcPr>
          <w:p>
            <w:pPr>
              <w:spacing w:after="40" w:line="240"/>
              <w:jc w:val="left"/>
            </w:pPr>
            <w:r>
              <w:rPr>
                <w:b/>
                <w:bCs/>
                <w:sz w:val="14"/>
                <w:szCs w:val="14"/>
              </w:rPr>
              <w:t xml:space="preserve">Descripción</w:t>
            </w:r>
          </w:p>
        </w:tc>
        <w:tc>
          <w:tcPr>
            <w:tcW w:type="dxa" w:w="7648"/>
            <w:tcMar>
              <w:top w:type="dxa" w:w="60"/>
              <w:left w:type="dxa" w:w="80"/>
              <w:bottom w:type="dxa" w:w="60"/>
              <w:right w:type="dxa" w:w="80"/>
            </w:tcMar>
            <w:vAlign w:val="top"/>
          </w:tcPr>
          <w:p>
            <w:pPr>
              <w:spacing w:after="40" w:line="240"/>
              <w:jc w:val="left"/>
            </w:pPr>
            <w:r>
              <w:rPr>
                <w:sz w:val="14"/>
                <w:szCs w:val="14"/>
              </w:rPr>
              <w:t xml:space="preserve">El corpus describe documentos públicos (sin datos de estudiantes ni docentes), pero la columna </w:t>
            </w:r>
            <w:r>
              <w:rPr>
                <w:i/>
                <w:iCs/>
                <w:sz w:val="14"/>
                <w:szCs w:val="14"/>
              </w:rPr>
              <w:t xml:space="preserve">Investigador</w:t>
            </w:r>
            <w:r>
              <w:rPr>
                <w:sz w:val="14"/>
                <w:szCs w:val="14"/>
              </w:rPr>
              <w:t xml:space="preserve"> contiene el nombre de cada codificador. Como cada país fue codificado por una sola persona, cualquier tabla por país permite re-identificar al codificador aunque se elimine el nombre: el riesgo es que el desempeño del modelo se lea como evaluación de personas. Los codificadores consintieron la codificación para GENIAL, no necesariamente su uso en una tesis de maestría ni en publicaciones. Los textos enviados al LLM externo son títulos y observaciones de normas públicas; no incluyen el nombre del codificador.</w:t>
            </w:r>
          </w:p>
        </w:tc>
      </w:tr>
      <w:tr>
        <w:trPr>
          <w:cantSplit w:val="false"/>
        </w:trPr>
        <w:tc>
          <w:tcPr>
            <w:tcW w:type="dxa" w:w="1764"/>
            <w:shd w:fill="F3F1EE" w:color="auto" w:val="clear"/>
            <w:tcMar>
              <w:top w:type="dxa" w:w="60"/>
              <w:left w:type="dxa" w:w="80"/>
              <w:bottom w:type="dxa" w:w="60"/>
              <w:right w:type="dxa" w:w="80"/>
            </w:tcMar>
            <w:vAlign w:val="top"/>
          </w:tcPr>
          <w:p>
            <w:pPr>
              <w:spacing w:after="40" w:line="240"/>
              <w:jc w:val="left"/>
            </w:pPr>
            <w:r>
              <w:rPr>
                <w:b/>
                <w:bCs/>
                <w:sz w:val="14"/>
                <w:szCs w:val="14"/>
              </w:rPr>
              <w:t xml:space="preserve">Evidencia</w:t>
            </w:r>
          </w:p>
        </w:tc>
        <w:tc>
          <w:tcPr>
            <w:tcW w:type="dxa" w:w="7648"/>
            <w:tcMar>
              <w:top w:type="dxa" w:w="60"/>
              <w:left w:type="dxa" w:w="80"/>
              <w:bottom w:type="dxa" w:w="60"/>
              <w:right w:type="dxa" w:w="80"/>
            </w:tcMar>
            <w:vAlign w:val="top"/>
          </w:tcPr>
          <w:p>
            <w:pPr>
              <w:spacing w:after="40" w:line="240"/>
              <w:jc w:val="left"/>
            </w:pPr>
            <w:r>
              <w:rPr>
                <w:sz w:val="14"/>
                <w:szCs w:val="14"/>
              </w:rPr>
              <w:t xml:space="preserve">V de Cramér País↔Investigador = 0.99; la columna se excluye del modelo, se anonimiza en la muestra pública y en la auditoría (Codificador A-J); el corpus completo no se redistribuye (hash publicado); el repositorio nunca ha contenido datos crudos.</w:t>
            </w:r>
          </w:p>
        </w:tc>
      </w:tr>
      <w:tr>
        <w:trPr>
          <w:cantSplit w:val="false"/>
        </w:trPr>
        <w:tc>
          <w:tcPr>
            <w:tcW w:type="dxa" w:w="1764"/>
            <w:shd w:fill="F3F1EE" w:color="auto" w:val="clear"/>
            <w:tcMar>
              <w:top w:type="dxa" w:w="60"/>
              <w:left w:type="dxa" w:w="80"/>
              <w:bottom w:type="dxa" w:w="60"/>
              <w:right w:type="dxa" w:w="80"/>
            </w:tcMar>
            <w:vAlign w:val="top"/>
          </w:tcPr>
          <w:p>
            <w:pPr>
              <w:spacing w:after="40" w:line="240"/>
              <w:jc w:val="left"/>
            </w:pPr>
            <w:r>
              <w:rPr>
                <w:b/>
                <w:bCs/>
                <w:sz w:val="14"/>
                <w:szCs w:val="14"/>
              </w:rPr>
              <w:t xml:space="preserve">Severidad</w:t>
            </w:r>
          </w:p>
        </w:tc>
        <w:tc>
          <w:tcPr>
            <w:tcW w:type="dxa" w:w="7648"/>
            <w:tcMar>
              <w:top w:type="dxa" w:w="60"/>
              <w:left w:type="dxa" w:w="80"/>
              <w:bottom w:type="dxa" w:w="60"/>
              <w:right w:type="dxa" w:w="80"/>
            </w:tcMar>
            <w:vAlign w:val="top"/>
          </w:tcPr>
          <w:p>
            <w:pPr>
              <w:spacing w:after="40" w:line="240"/>
              <w:jc w:val="left"/>
            </w:pPr>
            <w:r>
              <w:rPr>
                <w:sz w:val="14"/>
                <w:szCs w:val="14"/>
              </w:rPr>
              <w:t xml:space="preserve">Media (dato personal poco sensible, pero con riesgo reputacional para 10 personas identificables).</w:t>
            </w:r>
          </w:p>
        </w:tc>
      </w:tr>
      <w:tr>
        <w:trPr>
          <w:cantSplit w:val="false"/>
        </w:trPr>
        <w:tc>
          <w:tcPr>
            <w:tcW w:type="dxa" w:w="1764"/>
            <w:shd w:fill="F3F1EE" w:color="auto" w:val="clear"/>
            <w:tcMar>
              <w:top w:type="dxa" w:w="60"/>
              <w:left w:type="dxa" w:w="80"/>
              <w:bottom w:type="dxa" w:w="60"/>
              <w:right w:type="dxa" w:w="80"/>
            </w:tcMar>
            <w:vAlign w:val="top"/>
          </w:tcPr>
          <w:p>
            <w:pPr>
              <w:spacing w:after="40" w:line="240"/>
              <w:jc w:val="left"/>
            </w:pPr>
            <w:r>
              <w:rPr>
                <w:b/>
                <w:bCs/>
                <w:sz w:val="14"/>
                <w:szCs w:val="14"/>
              </w:rPr>
              <w:t xml:space="preserve">Grupo afectado</w:t>
            </w:r>
          </w:p>
        </w:tc>
        <w:tc>
          <w:tcPr>
            <w:tcW w:type="dxa" w:w="7648"/>
            <w:tcMar>
              <w:top w:type="dxa" w:w="60"/>
              <w:left w:type="dxa" w:w="80"/>
              <w:bottom w:type="dxa" w:w="60"/>
              <w:right w:type="dxa" w:w="80"/>
            </w:tcMar>
            <w:vAlign w:val="top"/>
          </w:tcPr>
          <w:p>
            <w:pPr>
              <w:spacing w:after="40" w:line="240"/>
              <w:jc w:val="left"/>
            </w:pPr>
            <w:r>
              <w:rPr>
                <w:sz w:val="14"/>
                <w:szCs w:val="14"/>
              </w:rPr>
              <w:t xml:space="preserve">Codificadores de GENIAL.</w:t>
            </w:r>
          </w:p>
        </w:tc>
      </w:tr>
    </w:tbl>
    <w:tbl>
      <w:tblPr>
        <w:tblW w:type="dxa" w:w="9412"/>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1764"/>
        <w:gridCol w:w="7648"/>
      </w:tblGrid>
      <w:tr>
        <w:trPr>
          <w:cantSplit w:val="false"/>
        </w:trPr>
        <w:tc>
          <w:tcPr>
            <w:tcW w:type="dxa" w:w="1764"/>
            <w:shd w:fill="F1E3E8" w:color="auto" w:val="clear"/>
            <w:tcMar>
              <w:top w:type="dxa" w:w="60"/>
              <w:left w:type="dxa" w:w="80"/>
              <w:bottom w:type="dxa" w:w="60"/>
              <w:right w:type="dxa" w:w="80"/>
            </w:tcMar>
            <w:vAlign w:val="top"/>
          </w:tcPr>
          <w:p>
            <w:pPr>
              <w:spacing w:after="40" w:line="240"/>
              <w:jc w:val="left"/>
            </w:pPr>
            <w:r>
              <w:rPr>
                <w:b/>
                <w:bCs/>
                <w:sz w:val="14"/>
                <w:szCs w:val="14"/>
              </w:rPr>
              <w:t xml:space="preserve">Riesgo E3</w:t>
            </w:r>
          </w:p>
        </w:tc>
        <w:tc>
          <w:tcPr>
            <w:tcW w:type="dxa" w:w="7648"/>
            <w:tcMar>
              <w:top w:type="dxa" w:w="60"/>
              <w:left w:type="dxa" w:w="80"/>
              <w:bottom w:type="dxa" w:w="60"/>
              <w:right w:type="dxa" w:w="80"/>
            </w:tcMar>
            <w:vAlign w:val="top"/>
          </w:tcPr>
          <w:p>
            <w:pPr>
              <w:spacing w:after="40" w:line="240"/>
              <w:jc w:val="left"/>
            </w:pPr>
            <w:r>
              <w:rPr>
                <w:sz w:val="14"/>
                <w:szCs w:val="14"/>
              </w:rPr>
              <w:t xml:space="preserve">Transparencia y explicabilidad: ¿entienden los usuarios cómo funciona? ¿se comunican las limitaciones?</w:t>
            </w:r>
          </w:p>
        </w:tc>
      </w:tr>
      <w:tr>
        <w:trPr>
          <w:cantSplit w:val="false"/>
        </w:trPr>
        <w:tc>
          <w:tcPr>
            <w:tcW w:type="dxa" w:w="1764"/>
            <w:shd w:fill="F3F1EE" w:color="auto" w:val="clear"/>
            <w:tcMar>
              <w:top w:type="dxa" w:w="60"/>
              <w:left w:type="dxa" w:w="80"/>
              <w:bottom w:type="dxa" w:w="60"/>
              <w:right w:type="dxa" w:w="80"/>
            </w:tcMar>
            <w:vAlign w:val="top"/>
          </w:tcPr>
          <w:p>
            <w:pPr>
              <w:spacing w:after="40" w:line="240"/>
              <w:jc w:val="left"/>
            </w:pPr>
            <w:r>
              <w:rPr>
                <w:b/>
                <w:bCs/>
                <w:sz w:val="14"/>
                <w:szCs w:val="14"/>
              </w:rPr>
              <w:t xml:space="preserve">Descripción</w:t>
            </w:r>
          </w:p>
        </w:tc>
        <w:tc>
          <w:tcPr>
            <w:tcW w:type="dxa" w:w="7648"/>
            <w:tcMar>
              <w:top w:type="dxa" w:w="60"/>
              <w:left w:type="dxa" w:w="80"/>
              <w:bottom w:type="dxa" w:w="60"/>
              <w:right w:type="dxa" w:w="80"/>
            </w:tcMar>
            <w:vAlign w:val="top"/>
          </w:tcPr>
          <w:p>
            <w:pPr>
              <w:spacing w:after="40" w:line="240"/>
              <w:jc w:val="left"/>
            </w:pPr>
            <w:r>
              <w:rPr>
                <w:sz w:val="14"/>
                <w:szCs w:val="14"/>
              </w:rPr>
              <w:t xml:space="preserve">El modelo es interpretable por construcción (pesos por término y clase, probabilidades, segunda candidata) y la documentación es pública (documento técnico, cuadernos ejecutados, README). El riesgo está en el consumidor final del IMN, que no verá el modelo sino un número por país: si el índice no comunica qué fracción de normas tiene respaldo humano y con qué margen, la transparencia del modelo no llega a quien toma decisiones. Un segundo riesgo es la rama LLM, cuya explicación en lenguaje natural es plausible pero no verificable.</w:t>
            </w:r>
          </w:p>
        </w:tc>
      </w:tr>
      <w:tr>
        <w:trPr>
          <w:cantSplit w:val="false"/>
        </w:trPr>
        <w:tc>
          <w:tcPr>
            <w:tcW w:type="dxa" w:w="1764"/>
            <w:shd w:fill="F3F1EE" w:color="auto" w:val="clear"/>
            <w:tcMar>
              <w:top w:type="dxa" w:w="60"/>
              <w:left w:type="dxa" w:w="80"/>
              <w:bottom w:type="dxa" w:w="60"/>
              <w:right w:type="dxa" w:w="80"/>
            </w:tcMar>
            <w:vAlign w:val="top"/>
          </w:tcPr>
          <w:p>
            <w:pPr>
              <w:spacing w:after="40" w:line="240"/>
              <w:jc w:val="left"/>
            </w:pPr>
            <w:r>
              <w:rPr>
                <w:b/>
                <w:bCs/>
                <w:sz w:val="14"/>
                <w:szCs w:val="14"/>
              </w:rPr>
              <w:t xml:space="preserve">Evidencia</w:t>
            </w:r>
          </w:p>
        </w:tc>
        <w:tc>
          <w:tcPr>
            <w:tcW w:type="dxa" w:w="7648"/>
            <w:tcMar>
              <w:top w:type="dxa" w:w="60"/>
              <w:left w:type="dxa" w:w="80"/>
              <w:bottom w:type="dxa" w:w="60"/>
              <w:right w:type="dxa" w:w="80"/>
            </w:tcMar>
            <w:vAlign w:val="top"/>
          </w:tcPr>
          <w:p>
            <w:pPr>
              <w:spacing w:after="40" w:line="240"/>
              <w:jc w:val="left"/>
            </w:pPr>
            <w:r>
              <w:rPr>
                <w:sz w:val="14"/>
                <w:szCs w:val="14"/>
              </w:rPr>
              <w:t xml:space="preserve">Umbrales fijados antes de ejecutar y resultados por debajo de la meta reportados tal cual (F1 0.587 frente a 0.70); tabla del IMN con columnas «codificadas por modelo» y «margen»; </w:t>
            </w:r>
            <w:r>
              <w:rPr>
                <w:i/>
                <w:iCs/>
                <w:sz w:val="14"/>
                <w:szCs w:val="14"/>
              </w:rPr>
              <w:t xml:space="preserve">model card</w:t>
            </w:r>
            <w:r>
              <w:rPr>
                <w:sz w:val="14"/>
                <w:szCs w:val="14"/>
              </w:rPr>
              <w:t xml:space="preserve"> y </w:t>
            </w:r>
            <w:r>
              <w:rPr>
                <w:i/>
                <w:iCs/>
                <w:sz w:val="14"/>
                <w:szCs w:val="14"/>
              </w:rPr>
              <w:t xml:space="preserve">datasheet</w:t>
            </w:r>
            <w:r>
              <w:rPr>
                <w:sz w:val="14"/>
                <w:szCs w:val="14"/>
              </w:rPr>
              <w:t xml:space="preserve"> (anexos) redactadas en esta actividad.</w:t>
            </w:r>
          </w:p>
        </w:tc>
      </w:tr>
      <w:tr>
        <w:trPr>
          <w:cantSplit w:val="false"/>
        </w:trPr>
        <w:tc>
          <w:tcPr>
            <w:tcW w:type="dxa" w:w="1764"/>
            <w:shd w:fill="F3F1EE" w:color="auto" w:val="clear"/>
            <w:tcMar>
              <w:top w:type="dxa" w:w="60"/>
              <w:left w:type="dxa" w:w="80"/>
              <w:bottom w:type="dxa" w:w="60"/>
              <w:right w:type="dxa" w:w="80"/>
            </w:tcMar>
            <w:vAlign w:val="top"/>
          </w:tcPr>
          <w:p>
            <w:pPr>
              <w:spacing w:after="40" w:line="240"/>
              <w:jc w:val="left"/>
            </w:pPr>
            <w:r>
              <w:rPr>
                <w:b/>
                <w:bCs/>
                <w:sz w:val="14"/>
                <w:szCs w:val="14"/>
              </w:rPr>
              <w:t xml:space="preserve">Severidad</w:t>
            </w:r>
          </w:p>
        </w:tc>
        <w:tc>
          <w:tcPr>
            <w:tcW w:type="dxa" w:w="7648"/>
            <w:tcMar>
              <w:top w:type="dxa" w:w="60"/>
              <w:left w:type="dxa" w:w="80"/>
              <w:bottom w:type="dxa" w:w="60"/>
              <w:right w:type="dxa" w:w="80"/>
            </w:tcMar>
            <w:vAlign w:val="top"/>
          </w:tcPr>
          <w:p>
            <w:pPr>
              <w:spacing w:after="40" w:line="240"/>
              <w:jc w:val="left"/>
            </w:pPr>
            <w:r>
              <w:rPr>
                <w:sz w:val="14"/>
                <w:szCs w:val="14"/>
              </w:rPr>
              <w:t xml:space="preserve">Media.</w:t>
            </w:r>
          </w:p>
        </w:tc>
      </w:tr>
      <w:tr>
        <w:trPr>
          <w:cantSplit w:val="false"/>
        </w:trPr>
        <w:tc>
          <w:tcPr>
            <w:tcW w:type="dxa" w:w="1764"/>
            <w:shd w:fill="F3F1EE" w:color="auto" w:val="clear"/>
            <w:tcMar>
              <w:top w:type="dxa" w:w="60"/>
              <w:left w:type="dxa" w:w="80"/>
              <w:bottom w:type="dxa" w:w="60"/>
              <w:right w:type="dxa" w:w="80"/>
            </w:tcMar>
            <w:vAlign w:val="top"/>
          </w:tcPr>
          <w:p>
            <w:pPr>
              <w:spacing w:after="40" w:line="240"/>
              <w:jc w:val="left"/>
            </w:pPr>
            <w:r>
              <w:rPr>
                <w:b/>
                <w:bCs/>
                <w:sz w:val="14"/>
                <w:szCs w:val="14"/>
              </w:rPr>
              <w:t xml:space="preserve">Grupo afectado</w:t>
            </w:r>
          </w:p>
        </w:tc>
        <w:tc>
          <w:tcPr>
            <w:tcW w:type="dxa" w:w="7648"/>
            <w:tcMar>
              <w:top w:type="dxa" w:w="60"/>
              <w:left w:type="dxa" w:w="80"/>
              <w:bottom w:type="dxa" w:w="60"/>
              <w:right w:type="dxa" w:w="80"/>
            </w:tcMar>
            <w:vAlign w:val="top"/>
          </w:tcPr>
          <w:p>
            <w:pPr>
              <w:spacing w:after="40" w:line="240"/>
              <w:jc w:val="left"/>
            </w:pPr>
            <w:r>
              <w:rPr>
                <w:sz w:val="14"/>
                <w:szCs w:val="14"/>
              </w:rPr>
              <w:t xml:space="preserve">Decisores y público que consumen el IMN; codificadores (rama LLM).</w:t>
            </w:r>
          </w:p>
        </w:tc>
      </w:tr>
    </w:tbl>
    <w:tbl>
      <w:tblPr>
        <w:tblW w:type="dxa" w:w="9412"/>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1764"/>
        <w:gridCol w:w="7648"/>
      </w:tblGrid>
      <w:tr>
        <w:trPr>
          <w:cantSplit w:val="false"/>
        </w:trPr>
        <w:tc>
          <w:tcPr>
            <w:tcW w:type="dxa" w:w="1764"/>
            <w:shd w:fill="F1E3E8" w:color="auto" w:val="clear"/>
            <w:tcMar>
              <w:top w:type="dxa" w:w="60"/>
              <w:left w:type="dxa" w:w="80"/>
              <w:bottom w:type="dxa" w:w="60"/>
              <w:right w:type="dxa" w:w="80"/>
            </w:tcMar>
            <w:vAlign w:val="top"/>
          </w:tcPr>
          <w:p>
            <w:pPr>
              <w:spacing w:after="40" w:line="240"/>
              <w:jc w:val="left"/>
            </w:pPr>
            <w:r>
              <w:rPr>
                <w:b/>
                <w:bCs/>
                <w:sz w:val="14"/>
                <w:szCs w:val="14"/>
              </w:rPr>
              <w:t xml:space="preserve">Riesgo E4</w:t>
            </w:r>
          </w:p>
        </w:tc>
        <w:tc>
          <w:tcPr>
            <w:tcW w:type="dxa" w:w="7648"/>
            <w:tcMar>
              <w:top w:type="dxa" w:w="60"/>
              <w:left w:type="dxa" w:w="80"/>
              <w:bottom w:type="dxa" w:w="60"/>
              <w:right w:type="dxa" w:w="80"/>
            </w:tcMar>
            <w:vAlign w:val="top"/>
          </w:tcPr>
          <w:p>
            <w:pPr>
              <w:spacing w:after="40" w:line="240"/>
              <w:jc w:val="left"/>
            </w:pPr>
            <w:r>
              <w:rPr>
                <w:sz w:val="14"/>
                <w:szCs w:val="14"/>
              </w:rPr>
              <w:t xml:space="preserve">Autonomía y supervisión humana: ¿controlan los usuarios la decisión? ¿hay sesgo de automatización?</w:t>
            </w:r>
          </w:p>
        </w:tc>
      </w:tr>
      <w:tr>
        <w:trPr>
          <w:cantSplit w:val="false"/>
        </w:trPr>
        <w:tc>
          <w:tcPr>
            <w:tcW w:type="dxa" w:w="1764"/>
            <w:shd w:fill="F3F1EE" w:color="auto" w:val="clear"/>
            <w:tcMar>
              <w:top w:type="dxa" w:w="60"/>
              <w:left w:type="dxa" w:w="80"/>
              <w:bottom w:type="dxa" w:w="60"/>
              <w:right w:type="dxa" w:w="80"/>
            </w:tcMar>
            <w:vAlign w:val="top"/>
          </w:tcPr>
          <w:p>
            <w:pPr>
              <w:spacing w:after="40" w:line="240"/>
              <w:jc w:val="left"/>
            </w:pPr>
            <w:r>
              <w:rPr>
                <w:b/>
                <w:bCs/>
                <w:sz w:val="14"/>
                <w:szCs w:val="14"/>
              </w:rPr>
              <w:t xml:space="preserve">Descripción</w:t>
            </w:r>
          </w:p>
        </w:tc>
        <w:tc>
          <w:tcPr>
            <w:tcW w:type="dxa" w:w="7648"/>
            <w:tcMar>
              <w:top w:type="dxa" w:w="60"/>
              <w:left w:type="dxa" w:w="80"/>
              <w:bottom w:type="dxa" w:w="60"/>
              <w:right w:type="dxa" w:w="80"/>
            </w:tcMar>
            <w:vAlign w:val="top"/>
          </w:tcPr>
          <w:p>
            <w:pPr>
              <w:spacing w:after="40" w:line="240"/>
              <w:jc w:val="left"/>
            </w:pPr>
            <w:r>
              <w:rPr>
                <w:sz w:val="14"/>
                <w:szCs w:val="14"/>
              </w:rPr>
              <w:t xml:space="preserve">La decisión final es humana por diseño (codificación asistida), pero la literatura muestra que presentar una recomendación con probabilidad induce a aceptarla sin examinarla [5]. El riesgo crece con la carga: con ~84 % de las normas enviadas a revisión, la tentación de «aceptar y seguir» es alta. Si el codificador sigue al modelo, el κ modelo-humano medido en el futuro estará inflado y la supervisión será nominal.</w:t>
            </w:r>
          </w:p>
        </w:tc>
      </w:tr>
      <w:tr>
        <w:trPr>
          <w:cantSplit w:val="false"/>
        </w:trPr>
        <w:tc>
          <w:tcPr>
            <w:tcW w:type="dxa" w:w="1764"/>
            <w:shd w:fill="F3F1EE" w:color="auto" w:val="clear"/>
            <w:tcMar>
              <w:top w:type="dxa" w:w="60"/>
              <w:left w:type="dxa" w:w="80"/>
              <w:bottom w:type="dxa" w:w="60"/>
              <w:right w:type="dxa" w:w="80"/>
            </w:tcMar>
            <w:vAlign w:val="top"/>
          </w:tcPr>
          <w:p>
            <w:pPr>
              <w:spacing w:after="40" w:line="240"/>
              <w:jc w:val="left"/>
            </w:pPr>
            <w:r>
              <w:rPr>
                <w:b/>
                <w:bCs/>
                <w:sz w:val="14"/>
                <w:szCs w:val="14"/>
              </w:rPr>
              <w:t xml:space="preserve">Evidencia</w:t>
            </w:r>
          </w:p>
        </w:tc>
        <w:tc>
          <w:tcPr>
            <w:tcW w:type="dxa" w:w="7648"/>
            <w:tcMar>
              <w:top w:type="dxa" w:w="60"/>
              <w:left w:type="dxa" w:w="80"/>
              <w:bottom w:type="dxa" w:w="60"/>
              <w:right w:type="dxa" w:w="80"/>
            </w:tcMar>
            <w:vAlign w:val="top"/>
          </w:tcPr>
          <w:p>
            <w:pPr>
              <w:spacing w:after="40" w:line="240"/>
              <w:jc w:val="left"/>
            </w:pPr>
            <w:r>
              <w:rPr>
                <w:sz w:val="14"/>
                <w:szCs w:val="14"/>
              </w:rPr>
              <w:t xml:space="preserve">El modelo falla donde el humano dudó (exactitud 0.41 con confianza media frente a 0.76 con confianza alta): justo en los casos difíciles, una recomendación automática puede desplazar un juicio que ya era incierto.</w:t>
            </w:r>
          </w:p>
        </w:tc>
      </w:tr>
      <w:tr>
        <w:trPr>
          <w:cantSplit w:val="false"/>
        </w:trPr>
        <w:tc>
          <w:tcPr>
            <w:tcW w:type="dxa" w:w="1764"/>
            <w:shd w:fill="F3F1EE" w:color="auto" w:val="clear"/>
            <w:tcMar>
              <w:top w:type="dxa" w:w="60"/>
              <w:left w:type="dxa" w:w="80"/>
              <w:bottom w:type="dxa" w:w="60"/>
              <w:right w:type="dxa" w:w="80"/>
            </w:tcMar>
            <w:vAlign w:val="top"/>
          </w:tcPr>
          <w:p>
            <w:pPr>
              <w:spacing w:after="40" w:line="240"/>
              <w:jc w:val="left"/>
            </w:pPr>
            <w:r>
              <w:rPr>
                <w:b/>
                <w:bCs/>
                <w:sz w:val="14"/>
                <w:szCs w:val="14"/>
              </w:rPr>
              <w:t xml:space="preserve">Severidad</w:t>
            </w:r>
          </w:p>
        </w:tc>
        <w:tc>
          <w:tcPr>
            <w:tcW w:type="dxa" w:w="7648"/>
            <w:tcMar>
              <w:top w:type="dxa" w:w="60"/>
              <w:left w:type="dxa" w:w="80"/>
              <w:bottom w:type="dxa" w:w="60"/>
              <w:right w:type="dxa" w:w="80"/>
            </w:tcMar>
            <w:vAlign w:val="top"/>
          </w:tcPr>
          <w:p>
            <w:pPr>
              <w:spacing w:after="40" w:line="240"/>
              <w:jc w:val="left"/>
            </w:pPr>
            <w:r>
              <w:rPr>
                <w:sz w:val="14"/>
                <w:szCs w:val="14"/>
              </w:rPr>
              <w:t xml:space="preserve">Media-Alta.</w:t>
            </w:r>
          </w:p>
        </w:tc>
      </w:tr>
      <w:tr>
        <w:trPr>
          <w:cantSplit w:val="false"/>
        </w:trPr>
        <w:tc>
          <w:tcPr>
            <w:tcW w:type="dxa" w:w="1764"/>
            <w:shd w:fill="F3F1EE" w:color="auto" w:val="clear"/>
            <w:tcMar>
              <w:top w:type="dxa" w:w="60"/>
              <w:left w:type="dxa" w:w="80"/>
              <w:bottom w:type="dxa" w:w="60"/>
              <w:right w:type="dxa" w:w="80"/>
            </w:tcMar>
            <w:vAlign w:val="top"/>
          </w:tcPr>
          <w:p>
            <w:pPr>
              <w:spacing w:after="40" w:line="240"/>
              <w:jc w:val="left"/>
            </w:pPr>
            <w:r>
              <w:rPr>
                <w:b/>
                <w:bCs/>
                <w:sz w:val="14"/>
                <w:szCs w:val="14"/>
              </w:rPr>
              <w:t xml:space="preserve">Grupo afectado</w:t>
            </w:r>
          </w:p>
        </w:tc>
        <w:tc>
          <w:tcPr>
            <w:tcW w:type="dxa" w:w="7648"/>
            <w:tcMar>
              <w:top w:type="dxa" w:w="60"/>
              <w:left w:type="dxa" w:w="80"/>
              <w:bottom w:type="dxa" w:w="60"/>
              <w:right w:type="dxa" w:w="80"/>
            </w:tcMar>
            <w:vAlign w:val="top"/>
          </w:tcPr>
          <w:p>
            <w:pPr>
              <w:spacing w:after="40" w:line="240"/>
              <w:jc w:val="left"/>
            </w:pPr>
            <w:r>
              <w:rPr>
                <w:sz w:val="14"/>
                <w:szCs w:val="14"/>
              </w:rPr>
              <w:t xml:space="preserve">Codificadores; indirectamente, la validez del índice.</w:t>
            </w:r>
          </w:p>
        </w:tc>
      </w:tr>
    </w:tbl>
    <w:tbl>
      <w:tblPr>
        <w:tblW w:type="dxa" w:w="9412"/>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1764"/>
        <w:gridCol w:w="7648"/>
      </w:tblGrid>
      <w:tr>
        <w:trPr>
          <w:cantSplit w:val="false"/>
        </w:trPr>
        <w:tc>
          <w:tcPr>
            <w:tcW w:type="dxa" w:w="1764"/>
            <w:shd w:fill="F1E3E8" w:color="auto" w:val="clear"/>
            <w:tcMar>
              <w:top w:type="dxa" w:w="60"/>
              <w:left w:type="dxa" w:w="80"/>
              <w:bottom w:type="dxa" w:w="60"/>
              <w:right w:type="dxa" w:w="80"/>
            </w:tcMar>
            <w:vAlign w:val="top"/>
          </w:tcPr>
          <w:p>
            <w:pPr>
              <w:spacing w:after="40" w:line="240"/>
              <w:jc w:val="left"/>
            </w:pPr>
            <w:r>
              <w:rPr>
                <w:b/>
                <w:bCs/>
                <w:sz w:val="14"/>
                <w:szCs w:val="14"/>
              </w:rPr>
              <w:t xml:space="preserve">Riesgo E5</w:t>
            </w:r>
          </w:p>
        </w:tc>
        <w:tc>
          <w:tcPr>
            <w:tcW w:type="dxa" w:w="7648"/>
            <w:tcMar>
              <w:top w:type="dxa" w:w="60"/>
              <w:left w:type="dxa" w:w="80"/>
              <w:bottom w:type="dxa" w:w="60"/>
              <w:right w:type="dxa" w:w="80"/>
            </w:tcMar>
            <w:vAlign w:val="top"/>
          </w:tcPr>
          <w:p>
            <w:pPr>
              <w:spacing w:after="40" w:line="240"/>
              <w:jc w:val="left"/>
            </w:pPr>
            <w:r>
              <w:rPr>
                <w:sz w:val="14"/>
                <w:szCs w:val="14"/>
              </w:rPr>
              <w:t xml:space="preserve">Seguridad y robustez: ¿qué pasa si el modelo falla? ¿consecuencias de los errores?</w:t>
            </w:r>
          </w:p>
        </w:tc>
      </w:tr>
      <w:tr>
        <w:trPr>
          <w:cantSplit w:val="false"/>
        </w:trPr>
        <w:tc>
          <w:tcPr>
            <w:tcW w:type="dxa" w:w="1764"/>
            <w:shd w:fill="F3F1EE" w:color="auto" w:val="clear"/>
            <w:tcMar>
              <w:top w:type="dxa" w:w="60"/>
              <w:left w:type="dxa" w:w="80"/>
              <w:bottom w:type="dxa" w:w="60"/>
              <w:right w:type="dxa" w:w="80"/>
            </w:tcMar>
            <w:vAlign w:val="top"/>
          </w:tcPr>
          <w:p>
            <w:pPr>
              <w:spacing w:after="40" w:line="240"/>
              <w:jc w:val="left"/>
            </w:pPr>
            <w:r>
              <w:rPr>
                <w:b/>
                <w:bCs/>
                <w:sz w:val="14"/>
                <w:szCs w:val="14"/>
              </w:rPr>
              <w:t xml:space="preserve">Descripción</w:t>
            </w:r>
          </w:p>
        </w:tc>
        <w:tc>
          <w:tcPr>
            <w:tcW w:type="dxa" w:w="7648"/>
            <w:tcMar>
              <w:top w:type="dxa" w:w="60"/>
              <w:left w:type="dxa" w:w="80"/>
              <w:bottom w:type="dxa" w:w="60"/>
              <w:right w:type="dxa" w:w="80"/>
            </w:tcMar>
            <w:vAlign w:val="top"/>
          </w:tcPr>
          <w:p>
            <w:pPr>
              <w:spacing w:after="40" w:line="240"/>
              <w:jc w:val="left"/>
            </w:pPr>
            <w:r>
              <w:rPr>
                <w:sz w:val="14"/>
                <w:szCs w:val="14"/>
              </w:rPr>
              <w:t xml:space="preserve">Un fallo no causa daño físico ni económico inmediato: produce etiquetas erróneas que, acumuladas, distorsionan el IMN de un país. Los modos de fallo conocidos son el cambio de distribución (normas nuevas, otro idioma, otra región: exactitud 0.39 en las 23 normas del Caribe incorporadas después del corte), la deriva del corpus al actualizarse y, en la rama LLM, el cambio de versión del modelo del proveedor. También existe un riesgo de integridad: si el corpus de entrada se altera, los resultados dejan de ser reproducibles.</w:t>
            </w:r>
          </w:p>
        </w:tc>
      </w:tr>
      <w:tr>
        <w:trPr>
          <w:cantSplit w:val="false"/>
        </w:trPr>
        <w:tc>
          <w:tcPr>
            <w:tcW w:type="dxa" w:w="1764"/>
            <w:shd w:fill="F3F1EE" w:color="auto" w:val="clear"/>
            <w:tcMar>
              <w:top w:type="dxa" w:w="60"/>
              <w:left w:type="dxa" w:w="80"/>
              <w:bottom w:type="dxa" w:w="60"/>
              <w:right w:type="dxa" w:w="80"/>
            </w:tcMar>
            <w:vAlign w:val="top"/>
          </w:tcPr>
          <w:p>
            <w:pPr>
              <w:spacing w:after="40" w:line="240"/>
              <w:jc w:val="left"/>
            </w:pPr>
            <w:r>
              <w:rPr>
                <w:b/>
                <w:bCs/>
                <w:sz w:val="14"/>
                <w:szCs w:val="14"/>
              </w:rPr>
              <w:t xml:space="preserve">Evidencia</w:t>
            </w:r>
          </w:p>
        </w:tc>
        <w:tc>
          <w:tcPr>
            <w:tcW w:type="dxa" w:w="7648"/>
            <w:tcMar>
              <w:top w:type="dxa" w:w="60"/>
              <w:left w:type="dxa" w:w="80"/>
              <w:bottom w:type="dxa" w:w="60"/>
              <w:right w:type="dxa" w:w="80"/>
            </w:tcMar>
            <w:vAlign w:val="top"/>
          </w:tcPr>
          <w:p>
            <w:pPr>
              <w:spacing w:after="40" w:line="240"/>
              <w:jc w:val="left"/>
            </w:pPr>
            <w:r>
              <w:rPr>
                <w:sz w:val="14"/>
                <w:szCs w:val="14"/>
              </w:rPr>
              <w:t xml:space="preserve">Hash SHA-256 verificado al cargar; 8 pruebas unitarias; regla de ceguera sobre el conjunto de prueba; umbral de confianza calibrado para ≥ 85 % de exactitud en el tramo automático; registro de la versión exacta del LLM en cada ejecución.</w:t>
            </w:r>
          </w:p>
        </w:tc>
      </w:tr>
      <w:tr>
        <w:trPr>
          <w:cantSplit w:val="false"/>
        </w:trPr>
        <w:tc>
          <w:tcPr>
            <w:tcW w:type="dxa" w:w="1764"/>
            <w:shd w:fill="F3F1EE" w:color="auto" w:val="clear"/>
            <w:tcMar>
              <w:top w:type="dxa" w:w="60"/>
              <w:left w:type="dxa" w:w="80"/>
              <w:bottom w:type="dxa" w:w="60"/>
              <w:right w:type="dxa" w:w="80"/>
            </w:tcMar>
            <w:vAlign w:val="top"/>
          </w:tcPr>
          <w:p>
            <w:pPr>
              <w:spacing w:after="40" w:line="240"/>
              <w:jc w:val="left"/>
            </w:pPr>
            <w:r>
              <w:rPr>
                <w:b/>
                <w:bCs/>
                <w:sz w:val="14"/>
                <w:szCs w:val="14"/>
              </w:rPr>
              <w:t xml:space="preserve">Severidad</w:t>
            </w:r>
          </w:p>
        </w:tc>
        <w:tc>
          <w:tcPr>
            <w:tcW w:type="dxa" w:w="7648"/>
            <w:tcMar>
              <w:top w:type="dxa" w:w="60"/>
              <w:left w:type="dxa" w:w="80"/>
              <w:bottom w:type="dxa" w:w="60"/>
              <w:right w:type="dxa" w:w="80"/>
            </w:tcMar>
            <w:vAlign w:val="top"/>
          </w:tcPr>
          <w:p>
            <w:pPr>
              <w:spacing w:after="40" w:line="240"/>
              <w:jc w:val="left"/>
            </w:pPr>
            <w:r>
              <w:rPr>
                <w:sz w:val="14"/>
                <w:szCs w:val="14"/>
              </w:rPr>
              <w:t xml:space="preserve">Media.</w:t>
            </w:r>
          </w:p>
        </w:tc>
      </w:tr>
      <w:tr>
        <w:trPr>
          <w:cantSplit w:val="false"/>
        </w:trPr>
        <w:tc>
          <w:tcPr>
            <w:tcW w:type="dxa" w:w="1764"/>
            <w:shd w:fill="F3F1EE" w:color="auto" w:val="clear"/>
            <w:tcMar>
              <w:top w:type="dxa" w:w="60"/>
              <w:left w:type="dxa" w:w="80"/>
              <w:bottom w:type="dxa" w:w="60"/>
              <w:right w:type="dxa" w:w="80"/>
            </w:tcMar>
            <w:vAlign w:val="top"/>
          </w:tcPr>
          <w:p>
            <w:pPr>
              <w:spacing w:after="40" w:line="240"/>
              <w:jc w:val="left"/>
            </w:pPr>
            <w:r>
              <w:rPr>
                <w:b/>
                <w:bCs/>
                <w:sz w:val="14"/>
                <w:szCs w:val="14"/>
              </w:rPr>
              <w:t xml:space="preserve">Grupo afectado</w:t>
            </w:r>
          </w:p>
        </w:tc>
        <w:tc>
          <w:tcPr>
            <w:tcW w:type="dxa" w:w="7648"/>
            <w:tcMar>
              <w:top w:type="dxa" w:w="60"/>
              <w:left w:type="dxa" w:w="80"/>
              <w:bottom w:type="dxa" w:w="60"/>
              <w:right w:type="dxa" w:w="80"/>
            </w:tcMar>
            <w:vAlign w:val="top"/>
          </w:tcPr>
          <w:p>
            <w:pPr>
              <w:spacing w:after="40" w:line="240"/>
              <w:jc w:val="left"/>
            </w:pPr>
            <w:r>
              <w:rPr>
                <w:sz w:val="14"/>
                <w:szCs w:val="14"/>
              </w:rPr>
              <w:t xml:space="preserve">Países con normativa nueva o atípica; coordinación (reproducibilidad).</w:t>
            </w:r>
          </w:p>
        </w:tc>
      </w:tr>
    </w:tbl>
    <w:tbl>
      <w:tblPr>
        <w:tblW w:type="dxa" w:w="9412"/>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1764"/>
        <w:gridCol w:w="7648"/>
      </w:tblGrid>
      <w:tr>
        <w:trPr>
          <w:cantSplit w:val="false"/>
        </w:trPr>
        <w:tc>
          <w:tcPr>
            <w:tcW w:type="dxa" w:w="1764"/>
            <w:shd w:fill="F1E3E8" w:color="auto" w:val="clear"/>
            <w:tcMar>
              <w:top w:type="dxa" w:w="60"/>
              <w:left w:type="dxa" w:w="80"/>
              <w:bottom w:type="dxa" w:w="60"/>
              <w:right w:type="dxa" w:w="80"/>
            </w:tcMar>
            <w:vAlign w:val="top"/>
          </w:tcPr>
          <w:p>
            <w:pPr>
              <w:spacing w:after="40" w:line="240"/>
              <w:jc w:val="left"/>
            </w:pPr>
            <w:r>
              <w:rPr>
                <w:b/>
                <w:bCs/>
                <w:sz w:val="14"/>
                <w:szCs w:val="14"/>
              </w:rPr>
              <w:t xml:space="preserve">Riesgo E6</w:t>
            </w:r>
          </w:p>
        </w:tc>
        <w:tc>
          <w:tcPr>
            <w:tcW w:type="dxa" w:w="7648"/>
            <w:tcMar>
              <w:top w:type="dxa" w:w="60"/>
              <w:left w:type="dxa" w:w="80"/>
              <w:bottom w:type="dxa" w:w="60"/>
              <w:right w:type="dxa" w:w="80"/>
            </w:tcMar>
            <w:vAlign w:val="top"/>
          </w:tcPr>
          <w:p>
            <w:pPr>
              <w:spacing w:after="40" w:line="240"/>
              <w:jc w:val="left"/>
            </w:pPr>
            <w:r>
              <w:rPr>
                <w:sz w:val="14"/>
                <w:szCs w:val="14"/>
              </w:rPr>
              <w:t xml:space="preserve">Accountability: ¿quién responde si algo sale mal? ¿hay apelación y auditoría?</w:t>
            </w:r>
          </w:p>
        </w:tc>
      </w:tr>
      <w:tr>
        <w:trPr>
          <w:cantSplit w:val="false"/>
        </w:trPr>
        <w:tc>
          <w:tcPr>
            <w:tcW w:type="dxa" w:w="1764"/>
            <w:shd w:fill="F3F1EE" w:color="auto" w:val="clear"/>
            <w:tcMar>
              <w:top w:type="dxa" w:w="60"/>
              <w:left w:type="dxa" w:w="80"/>
              <w:bottom w:type="dxa" w:w="60"/>
              <w:right w:type="dxa" w:w="80"/>
            </w:tcMar>
            <w:vAlign w:val="top"/>
          </w:tcPr>
          <w:p>
            <w:pPr>
              <w:spacing w:after="40" w:line="240"/>
              <w:jc w:val="left"/>
            </w:pPr>
            <w:r>
              <w:rPr>
                <w:b/>
                <w:bCs/>
                <w:sz w:val="14"/>
                <w:szCs w:val="14"/>
              </w:rPr>
              <w:t xml:space="preserve">Descripción</w:t>
            </w:r>
          </w:p>
        </w:tc>
        <w:tc>
          <w:tcPr>
            <w:tcW w:type="dxa" w:w="7648"/>
            <w:tcMar>
              <w:top w:type="dxa" w:w="60"/>
              <w:left w:type="dxa" w:w="80"/>
              <w:bottom w:type="dxa" w:w="60"/>
              <w:right w:type="dxa" w:w="80"/>
            </w:tcMar>
            <w:vAlign w:val="top"/>
          </w:tcPr>
          <w:p>
            <w:pPr>
              <w:spacing w:after="40" w:line="240"/>
              <w:jc w:val="left"/>
            </w:pPr>
            <w:r>
              <w:rPr>
                <w:sz w:val="14"/>
                <w:szCs w:val="14"/>
              </w:rPr>
              <w:t xml:space="preserve">El sistema es un trabajo académico en colaboración con un consorcio internacional: la responsabilidad se reparte entre los autores (modelo y código), la coordinación GENIAL (uso del índice) y los codificadores (etiquetas). Sin una cadena explícita, un IMN erróneo publicado no tendría responsable (</w:t>
            </w:r>
            <w:r>
              <w:rPr>
                <w:i/>
                <w:iCs/>
                <w:sz w:val="14"/>
                <w:szCs w:val="14"/>
              </w:rPr>
              <w:t xml:space="preserve">responsibility gap</w:t>
            </w:r>
            <w:r>
              <w:rPr>
                <w:sz w:val="14"/>
                <w:szCs w:val="14"/>
              </w:rPr>
              <w:t xml:space="preserve">). Hoy no existe un canal formal para que un país o IES cuestione su clasificación.</w:t>
            </w:r>
          </w:p>
        </w:tc>
      </w:tr>
      <w:tr>
        <w:trPr>
          <w:cantSplit w:val="false"/>
        </w:trPr>
        <w:tc>
          <w:tcPr>
            <w:tcW w:type="dxa" w:w="1764"/>
            <w:shd w:fill="F3F1EE" w:color="auto" w:val="clear"/>
            <w:tcMar>
              <w:top w:type="dxa" w:w="60"/>
              <w:left w:type="dxa" w:w="80"/>
              <w:bottom w:type="dxa" w:w="60"/>
              <w:right w:type="dxa" w:w="80"/>
            </w:tcMar>
            <w:vAlign w:val="top"/>
          </w:tcPr>
          <w:p>
            <w:pPr>
              <w:spacing w:after="40" w:line="240"/>
              <w:jc w:val="left"/>
            </w:pPr>
            <w:r>
              <w:rPr>
                <w:b/>
                <w:bCs/>
                <w:sz w:val="14"/>
                <w:szCs w:val="14"/>
              </w:rPr>
              <w:t xml:space="preserve">Evidencia</w:t>
            </w:r>
          </w:p>
        </w:tc>
        <w:tc>
          <w:tcPr>
            <w:tcW w:type="dxa" w:w="7648"/>
            <w:tcMar>
              <w:top w:type="dxa" w:w="60"/>
              <w:left w:type="dxa" w:w="80"/>
              <w:bottom w:type="dxa" w:w="60"/>
              <w:right w:type="dxa" w:w="80"/>
            </w:tcMar>
            <w:vAlign w:val="top"/>
          </w:tcPr>
          <w:p>
            <w:pPr>
              <w:spacing w:after="40" w:line="240"/>
              <w:jc w:val="left"/>
            </w:pPr>
            <w:r>
              <w:rPr>
                <w:sz w:val="14"/>
                <w:szCs w:val="14"/>
              </w:rPr>
              <w:t xml:space="preserve">Cadena de responsabilidad y mecanismos definidos en la Parte 6; hoja de tipificación de errores como mecanismo de apelación interna (el codificador puede clasificar un error como «etiqueta original discutible» y pedir recodificación); auditoría de equidad reproducible con un comando [9].</w:t>
            </w:r>
          </w:p>
        </w:tc>
      </w:tr>
      <w:tr>
        <w:trPr>
          <w:cantSplit w:val="false"/>
        </w:trPr>
        <w:tc>
          <w:tcPr>
            <w:tcW w:type="dxa" w:w="1764"/>
            <w:shd w:fill="F3F1EE" w:color="auto" w:val="clear"/>
            <w:tcMar>
              <w:top w:type="dxa" w:w="60"/>
              <w:left w:type="dxa" w:w="80"/>
              <w:bottom w:type="dxa" w:w="60"/>
              <w:right w:type="dxa" w:w="80"/>
            </w:tcMar>
            <w:vAlign w:val="top"/>
          </w:tcPr>
          <w:p>
            <w:pPr>
              <w:spacing w:after="40" w:line="240"/>
              <w:jc w:val="left"/>
            </w:pPr>
            <w:r>
              <w:rPr>
                <w:b/>
                <w:bCs/>
                <w:sz w:val="14"/>
                <w:szCs w:val="14"/>
              </w:rPr>
              <w:t xml:space="preserve">Severidad</w:t>
            </w:r>
          </w:p>
        </w:tc>
        <w:tc>
          <w:tcPr>
            <w:tcW w:type="dxa" w:w="7648"/>
            <w:tcMar>
              <w:top w:type="dxa" w:w="60"/>
              <w:left w:type="dxa" w:w="80"/>
              <w:bottom w:type="dxa" w:w="60"/>
              <w:right w:type="dxa" w:w="80"/>
            </w:tcMar>
            <w:vAlign w:val="top"/>
          </w:tcPr>
          <w:p>
            <w:pPr>
              <w:spacing w:after="40" w:line="240"/>
              <w:jc w:val="left"/>
            </w:pPr>
            <w:r>
              <w:rPr>
                <w:sz w:val="14"/>
                <w:szCs w:val="14"/>
              </w:rPr>
              <w:t xml:space="preserve">Media.</w:t>
            </w:r>
          </w:p>
        </w:tc>
      </w:tr>
      <w:tr>
        <w:trPr>
          <w:cantSplit w:val="false"/>
        </w:trPr>
        <w:tc>
          <w:tcPr>
            <w:tcW w:type="dxa" w:w="1764"/>
            <w:shd w:fill="F3F1EE" w:color="auto" w:val="clear"/>
            <w:tcMar>
              <w:top w:type="dxa" w:w="60"/>
              <w:left w:type="dxa" w:w="80"/>
              <w:bottom w:type="dxa" w:w="60"/>
              <w:right w:type="dxa" w:w="80"/>
            </w:tcMar>
            <w:vAlign w:val="top"/>
          </w:tcPr>
          <w:p>
            <w:pPr>
              <w:spacing w:after="40" w:line="240"/>
              <w:jc w:val="left"/>
            </w:pPr>
            <w:r>
              <w:rPr>
                <w:b/>
                <w:bCs/>
                <w:sz w:val="14"/>
                <w:szCs w:val="14"/>
              </w:rPr>
              <w:t xml:space="preserve">Grupo afectado</w:t>
            </w:r>
          </w:p>
        </w:tc>
        <w:tc>
          <w:tcPr>
            <w:tcW w:type="dxa" w:w="7648"/>
            <w:tcMar>
              <w:top w:type="dxa" w:w="60"/>
              <w:left w:type="dxa" w:w="80"/>
              <w:bottom w:type="dxa" w:w="60"/>
              <w:right w:type="dxa" w:w="80"/>
            </w:tcMar>
            <w:vAlign w:val="top"/>
          </w:tcPr>
          <w:p>
            <w:pPr>
              <w:spacing w:after="40" w:line="240"/>
              <w:jc w:val="left"/>
            </w:pPr>
            <w:r>
              <w:rPr>
                <w:sz w:val="14"/>
                <w:szCs w:val="14"/>
              </w:rPr>
              <w:t xml:space="preserve">Países e IES comparados; coordinación GENIAL; autores.</w:t>
            </w:r>
          </w:p>
        </w:tc>
      </w:tr>
    </w:tbl>
    <w:p>
      <w:pPr>
        <w:pStyle w:val="Heading2"/>
        <w:keepNext/>
        <w:spacing w:after="120" w:before="280"/>
      </w:pPr>
      <w:r>
        <w:t xml:space="preserve">Parte 5. Estrategias de mitigación</w:t>
      </w:r>
    </w:p>
    <w:p>
      <w:pPr>
        <w:spacing w:after="90" w:before="0" w:line="259"/>
        <w:jc w:val="both"/>
      </w:pPr>
      <w:r>
        <w:t xml:space="preserve">Una estrategia por riesgo, con la plantilla del workshop. Tres de ellas ya están implementadas en el repositorio y se marcan como tales; las demás son viables antes del cierre del proyecto (25 de octubre de 2026) o en la primera actualización del corpus.</w:t>
      </w:r>
    </w:p>
    <w:p>
      <w:pPr>
        <w:keepNext/>
        <w:spacing w:after="80" w:before="160"/>
        <w:jc w:val="left"/>
      </w:pPr>
      <w:r>
        <w:rPr>
          <w:b/>
          <w:bCs/>
          <w:color w:val="6E6862"/>
          <w:sz w:val="18"/>
          <w:szCs w:val="18"/>
        </w:rPr>
        <w:t xml:space="preserve">Tabla 4.</w:t>
      </w:r>
      <w:r>
        <w:rPr>
          <w:color w:val="6E6862"/>
          <w:sz w:val="18"/>
          <w:szCs w:val="18"/>
        </w:rPr>
        <w:t xml:space="preserve"> Estrategias de mitigación por riesgo.</w:t>
      </w:r>
    </w:p>
    <w:tbl>
      <w:tblPr>
        <w:tblW w:type="dxa" w:w="9412"/>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1349"/>
        <w:gridCol w:w="3009"/>
        <w:gridCol w:w="1037"/>
        <w:gridCol w:w="3009"/>
        <w:gridCol w:w="1008"/>
      </w:tblGrid>
      <w:tr>
        <w:trPr>
          <w:cantSplit/>
          <w:tblHeader/>
        </w:trPr>
        <w:tc>
          <w:tcPr>
            <w:tcW w:type="dxa" w:w="1349"/>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Riesgo</w:t>
            </w:r>
          </w:p>
        </w:tc>
        <w:tc>
          <w:tcPr>
            <w:tcW w:type="dxa" w:w="3009"/>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Estrategia propuesta</w:t>
            </w:r>
          </w:p>
        </w:tc>
        <w:tc>
          <w:tcPr>
            <w:tcW w:type="dxa" w:w="1037"/>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Tipo</w:t>
            </w:r>
          </w:p>
        </w:tc>
        <w:tc>
          <w:tcPr>
            <w:tcW w:type="dxa" w:w="3009"/>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Implementación (pasos · cuándo · responsable)</w:t>
            </w:r>
          </w:p>
        </w:tc>
        <w:tc>
          <w:tcPr>
            <w:tcW w:type="dxa" w:w="1008"/>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Efectividad</w:t>
            </w:r>
          </w:p>
        </w:tc>
      </w:tr>
      <w:tr>
        <w:trPr>
          <w:cantSplit w:val="false"/>
        </w:trPr>
        <w:tc>
          <w:tcPr>
            <w:tcW w:type="dxa" w:w="1349"/>
            <w:tcMar>
              <w:top w:type="dxa" w:w="60"/>
              <w:left w:type="dxa" w:w="80"/>
              <w:bottom w:type="dxa" w:w="60"/>
              <w:right w:type="dxa" w:w="80"/>
            </w:tcMar>
            <w:vAlign w:val="top"/>
          </w:tcPr>
          <w:p>
            <w:pPr>
              <w:spacing w:after="40" w:line="240"/>
              <w:jc w:val="left"/>
            </w:pPr>
            <w:r>
              <w:rPr>
                <w:b/>
                <w:bCs/>
                <w:sz w:val="13"/>
                <w:szCs w:val="13"/>
              </w:rPr>
              <w:t xml:space="preserve">E1 Fairness / R1</w:t>
            </w:r>
          </w:p>
        </w:tc>
        <w:tc>
          <w:tcPr>
            <w:tcW w:type="dxa" w:w="3009"/>
            <w:tcMar>
              <w:top w:type="dxa" w:w="60"/>
              <w:left w:type="dxa" w:w="80"/>
              <w:bottom w:type="dxa" w:w="60"/>
              <w:right w:type="dxa" w:w="80"/>
            </w:tcMar>
            <w:vAlign w:val="top"/>
          </w:tcPr>
          <w:p>
            <w:pPr>
              <w:spacing w:after="40" w:line="240"/>
              <w:jc w:val="left"/>
            </w:pPr>
            <w:r>
              <w:rPr>
                <w:sz w:val="13"/>
                <w:szCs w:val="13"/>
              </w:rPr>
              <w:t xml:space="preserve">Regla de gobernanza ampliada y auditoría por grupo en cada versión.</w:t>
            </w:r>
            <w:r>
              <w:rPr>
                <w:sz w:val="13"/>
                <w:szCs w:val="13"/>
              </w:rPr>
              <w:t xml:space="preserve"> Revisión humana obligatoria para países con &lt; 20 normas e idiomas distintos del español (se añade el portugués: Brasil pasaba al tramo automático con exactitud 0.33); auditoría por idioma/región/tamaño con la regla de los cuatro quintos como alerta; reporte del IMN con margen por país.</w:t>
            </w:r>
          </w:p>
        </w:tc>
        <w:tc>
          <w:tcPr>
            <w:tcW w:type="dxa" w:w="1037"/>
            <w:tcMar>
              <w:top w:type="dxa" w:w="60"/>
              <w:left w:type="dxa" w:w="80"/>
              <w:bottom w:type="dxa" w:w="60"/>
              <w:right w:type="dxa" w:w="80"/>
            </w:tcMar>
            <w:vAlign w:val="top"/>
          </w:tcPr>
          <w:p>
            <w:pPr>
              <w:spacing w:after="40" w:line="240"/>
              <w:jc w:val="left"/>
            </w:pPr>
            <w:r>
              <w:rPr>
                <w:sz w:val="13"/>
                <w:szCs w:val="13"/>
              </w:rPr>
              <w:t xml:space="preserve">Técnica + Política</w:t>
            </w:r>
          </w:p>
        </w:tc>
        <w:tc>
          <w:tcPr>
            <w:tcW w:type="dxa" w:w="3009"/>
            <w:tcMar>
              <w:top w:type="dxa" w:w="60"/>
              <w:left w:type="dxa" w:w="80"/>
              <w:bottom w:type="dxa" w:w="60"/>
              <w:right w:type="dxa" w:w="80"/>
            </w:tcMar>
            <w:vAlign w:val="top"/>
          </w:tcPr>
          <w:p>
            <w:pPr>
              <w:spacing w:after="40" w:line="240"/>
              <w:jc w:val="left"/>
            </w:pPr>
            <w:r>
              <w:rPr>
                <w:sz w:val="13"/>
                <w:szCs w:val="13"/>
              </w:rPr>
              <w:t xml:space="preserve">(1) `mandatory_review_languages: [en, fr, pt]` en config.yaml — hecho en esta actividad; (2) `scripts/fairness_grupos.py` en el flujo de cada reentrenamiento — hecho; (3) incluir la tabla por grupo en el informe del IMN — antes del cierre. Responsable: autores (técnica), coordinación GENIAL (política).</w:t>
            </w:r>
          </w:p>
        </w:tc>
        <w:tc>
          <w:tcPr>
            <w:tcW w:type="dxa" w:w="1008"/>
            <w:tcMar>
              <w:top w:type="dxa" w:w="60"/>
              <w:left w:type="dxa" w:w="80"/>
              <w:bottom w:type="dxa" w:w="60"/>
              <w:right w:type="dxa" w:w="80"/>
            </w:tcMar>
            <w:vAlign w:val="top"/>
          </w:tcPr>
          <w:p>
            <w:pPr>
              <w:spacing w:after="40" w:line="240"/>
              <w:jc w:val="left"/>
            </w:pPr>
            <w:r>
              <w:rPr>
                <w:sz w:val="13"/>
                <w:szCs w:val="13"/>
              </w:rPr>
              <w:t xml:space="preserve">Alta para el índice (los grupos en riesgo quedan 100 % revisados); no mejora el modelo en sí</w:t>
            </w:r>
          </w:p>
        </w:tc>
      </w:tr>
      <w:tr>
        <w:trPr>
          <w:cantSplit w:val="false"/>
        </w:trPr>
        <w:tc>
          <w:tcPr>
            <w:tcW w:type="dxa" w:w="1349"/>
            <w:shd w:fill="F3F1EE" w:color="auto" w:val="clear"/>
            <w:tcMar>
              <w:top w:type="dxa" w:w="60"/>
              <w:left w:type="dxa" w:w="80"/>
              <w:bottom w:type="dxa" w:w="60"/>
              <w:right w:type="dxa" w:w="80"/>
            </w:tcMar>
            <w:vAlign w:val="top"/>
          </w:tcPr>
          <w:p>
            <w:pPr>
              <w:spacing w:after="40" w:line="240"/>
              <w:jc w:val="left"/>
            </w:pPr>
            <w:r>
              <w:rPr>
                <w:b/>
                <w:bCs/>
                <w:sz w:val="13"/>
                <w:szCs w:val="13"/>
              </w:rPr>
              <w:t xml:space="preserve">E1 Fairness / R1 (raíz)</w:t>
            </w:r>
          </w:p>
        </w:tc>
        <w:tc>
          <w:tcPr>
            <w:tcW w:type="dxa" w:w="3009"/>
            <w:shd w:fill="F3F1EE" w:color="auto" w:val="clear"/>
            <w:tcMar>
              <w:top w:type="dxa" w:w="60"/>
              <w:left w:type="dxa" w:w="80"/>
              <w:bottom w:type="dxa" w:w="60"/>
              <w:right w:type="dxa" w:w="80"/>
            </w:tcMar>
            <w:vAlign w:val="top"/>
          </w:tcPr>
          <w:p>
            <w:pPr>
              <w:spacing w:after="40" w:line="240"/>
              <w:jc w:val="left"/>
            </w:pPr>
            <w:r>
              <w:rPr>
                <w:sz w:val="13"/>
                <w:szCs w:val="13"/>
              </w:rPr>
              <w:t xml:space="preserve">Más normas codificadas de las clases y regiones minoritarias y doble codificación.</w:t>
            </w:r>
            <w:r>
              <w:rPr>
                <w:sz w:val="13"/>
                <w:szCs w:val="13"/>
              </w:rPr>
              <w:t xml:space="preserve"> Priorizar en la próxima ronda de GENIAL la codificación de normas del Caribe, Brasil y de las dimensiones Técnico y Administrativo; medir κ humano-humano con la plantilla ya generada.</w:t>
            </w:r>
          </w:p>
        </w:tc>
        <w:tc>
          <w:tcPr>
            <w:tcW w:type="dxa" w:w="1037"/>
            <w:shd w:fill="F3F1EE" w:color="auto" w:val="clear"/>
            <w:tcMar>
              <w:top w:type="dxa" w:w="60"/>
              <w:left w:type="dxa" w:w="80"/>
              <w:bottom w:type="dxa" w:w="60"/>
              <w:right w:type="dxa" w:w="80"/>
            </w:tcMar>
            <w:vAlign w:val="top"/>
          </w:tcPr>
          <w:p>
            <w:pPr>
              <w:spacing w:after="40" w:line="240"/>
              <w:jc w:val="left"/>
            </w:pPr>
            <w:r>
              <w:rPr>
                <w:sz w:val="13"/>
                <w:szCs w:val="13"/>
              </w:rPr>
              <w:t xml:space="preserve">Política (datos)</w:t>
            </w:r>
          </w:p>
        </w:tc>
        <w:tc>
          <w:tcPr>
            <w:tcW w:type="dxa" w:w="3009"/>
            <w:shd w:fill="F3F1EE" w:color="auto" w:val="clear"/>
            <w:tcMar>
              <w:top w:type="dxa" w:w="60"/>
              <w:left w:type="dxa" w:w="80"/>
              <w:bottom w:type="dxa" w:w="60"/>
              <w:right w:type="dxa" w:w="80"/>
            </w:tcMar>
            <w:vAlign w:val="top"/>
          </w:tcPr>
          <w:p>
            <w:pPr>
              <w:spacing w:after="40" w:line="240"/>
              <w:jc w:val="left"/>
            </w:pPr>
            <w:r>
              <w:rPr>
                <w:sz w:val="13"/>
                <w:szCs w:val="13"/>
              </w:rPr>
              <w:t xml:space="preserve">(1) Plantilla `coder2_labels_plantilla.csv` → segundo codificador — en curso; (2) propuesta de muestreo dirigido a la coordinación — octubre; (3) reentrenar y re-auditar — siguiente versión. Responsable: coordinación GENIAL con los autores.</w:t>
            </w:r>
          </w:p>
        </w:tc>
        <w:tc>
          <w:tcPr>
            <w:tcW w:type="dxa" w:w="1008"/>
            <w:shd w:fill="F3F1EE" w:color="auto" w:val="clear"/>
            <w:tcMar>
              <w:top w:type="dxa" w:w="60"/>
              <w:left w:type="dxa" w:w="80"/>
              <w:bottom w:type="dxa" w:w="60"/>
              <w:right w:type="dxa" w:w="80"/>
            </w:tcMar>
            <w:vAlign w:val="top"/>
          </w:tcPr>
          <w:p>
            <w:pPr>
              <w:spacing w:after="40" w:line="240"/>
              <w:jc w:val="left"/>
            </w:pPr>
            <w:r>
              <w:rPr>
                <w:sz w:val="13"/>
                <w:szCs w:val="13"/>
              </w:rPr>
              <w:t xml:space="preserve">Media-Alta a mediano plazo</w:t>
            </w:r>
          </w:p>
        </w:tc>
      </w:tr>
      <w:tr>
        <w:trPr>
          <w:cantSplit w:val="false"/>
        </w:trPr>
        <w:tc>
          <w:tcPr>
            <w:tcW w:type="dxa" w:w="1349"/>
            <w:tcMar>
              <w:top w:type="dxa" w:w="60"/>
              <w:left w:type="dxa" w:w="80"/>
              <w:bottom w:type="dxa" w:w="60"/>
              <w:right w:type="dxa" w:w="80"/>
            </w:tcMar>
            <w:vAlign w:val="top"/>
          </w:tcPr>
          <w:p>
            <w:pPr>
              <w:spacing w:after="40" w:line="240"/>
              <w:jc w:val="left"/>
            </w:pPr>
            <w:r>
              <w:rPr>
                <w:b/>
                <w:bCs/>
                <w:sz w:val="13"/>
                <w:szCs w:val="13"/>
              </w:rPr>
              <w:t xml:space="preserve">E2 Privacidad / R5</w:t>
            </w:r>
          </w:p>
        </w:tc>
        <w:tc>
          <w:tcPr>
            <w:tcW w:type="dxa" w:w="3009"/>
            <w:tcMar>
              <w:top w:type="dxa" w:w="60"/>
              <w:left w:type="dxa" w:w="80"/>
              <w:bottom w:type="dxa" w:w="60"/>
              <w:right w:type="dxa" w:w="80"/>
            </w:tcMar>
            <w:vAlign w:val="top"/>
          </w:tcPr>
          <w:p>
            <w:pPr>
              <w:spacing w:after="40" w:line="240"/>
              <w:jc w:val="left"/>
            </w:pPr>
            <w:r>
              <w:rPr>
                <w:sz w:val="13"/>
                <w:szCs w:val="13"/>
              </w:rPr>
              <w:t xml:space="preserve">Minimización y anonimización por diseño.</w:t>
            </w:r>
            <w:r>
              <w:rPr>
                <w:sz w:val="13"/>
                <w:szCs w:val="13"/>
              </w:rPr>
              <w:t xml:space="preserve"> Excluir `Investigador` del modelo y de cualquier artefacto publicado; seudonimizar (Codificador A-J) en análisis internos; no enviar la columna al LLM; informar a los codificadores del uso del corpus en la tesis y ofrecer retirar su nombre.</w:t>
            </w:r>
          </w:p>
        </w:tc>
        <w:tc>
          <w:tcPr>
            <w:tcW w:type="dxa" w:w="1037"/>
            <w:tcMar>
              <w:top w:type="dxa" w:w="60"/>
              <w:left w:type="dxa" w:w="80"/>
              <w:bottom w:type="dxa" w:w="60"/>
              <w:right w:type="dxa" w:w="80"/>
            </w:tcMar>
            <w:vAlign w:val="top"/>
          </w:tcPr>
          <w:p>
            <w:pPr>
              <w:spacing w:after="40" w:line="240"/>
              <w:jc w:val="left"/>
            </w:pPr>
            <w:r>
              <w:rPr>
                <w:sz w:val="13"/>
                <w:szCs w:val="13"/>
              </w:rPr>
              <w:t xml:space="preserve">Técnica + Política</w:t>
            </w:r>
          </w:p>
        </w:tc>
        <w:tc>
          <w:tcPr>
            <w:tcW w:type="dxa" w:w="3009"/>
            <w:tcMar>
              <w:top w:type="dxa" w:w="60"/>
              <w:left w:type="dxa" w:w="80"/>
              <w:bottom w:type="dxa" w:w="60"/>
              <w:right w:type="dxa" w:w="80"/>
            </w:tcMar>
            <w:vAlign w:val="top"/>
          </w:tcPr>
          <w:p>
            <w:pPr>
              <w:spacing w:after="40" w:line="240"/>
              <w:jc w:val="left"/>
            </w:pPr>
            <w:r>
              <w:rPr>
                <w:sz w:val="13"/>
                <w:szCs w:val="13"/>
              </w:rPr>
              <w:t xml:space="preserve">(1) Exclusión y seudonimización — hecho (`leakage_excluded`, auditoría); (2) nota informativa a los 10 codificadores vía coordinación — octubre; (3) </w:t>
            </w:r>
            <w:r>
              <w:rPr>
                <w:i/>
                <w:iCs/>
                <w:sz w:val="13"/>
                <w:szCs w:val="13"/>
              </w:rPr>
              <w:t xml:space="preserve">datasheet</w:t>
            </w:r>
            <w:r>
              <w:rPr>
                <w:sz w:val="13"/>
                <w:szCs w:val="13"/>
              </w:rPr>
              <w:t xml:space="preserve"> con la política de datos personales — hecho (Anexo B). Responsable: autores; coordinación Ecuador.</w:t>
            </w:r>
          </w:p>
        </w:tc>
        <w:tc>
          <w:tcPr>
            <w:tcW w:type="dxa" w:w="1008"/>
            <w:tcMar>
              <w:top w:type="dxa" w:w="60"/>
              <w:left w:type="dxa" w:w="80"/>
              <w:bottom w:type="dxa" w:w="60"/>
              <w:right w:type="dxa" w:w="80"/>
            </w:tcMar>
            <w:vAlign w:val="top"/>
          </w:tcPr>
          <w:p>
            <w:pPr>
              <w:spacing w:after="40" w:line="240"/>
              <w:jc w:val="left"/>
            </w:pPr>
            <w:r>
              <w:rPr>
                <w:sz w:val="13"/>
                <w:szCs w:val="13"/>
              </w:rPr>
              <w:t xml:space="preserve">Alta</w:t>
            </w:r>
          </w:p>
        </w:tc>
      </w:tr>
      <w:tr>
        <w:trPr>
          <w:cantSplit w:val="false"/>
        </w:trPr>
        <w:tc>
          <w:tcPr>
            <w:tcW w:type="dxa" w:w="1349"/>
            <w:shd w:fill="F3F1EE" w:color="auto" w:val="clear"/>
            <w:tcMar>
              <w:top w:type="dxa" w:w="60"/>
              <w:left w:type="dxa" w:w="80"/>
              <w:bottom w:type="dxa" w:w="60"/>
              <w:right w:type="dxa" w:w="80"/>
            </w:tcMar>
            <w:vAlign w:val="top"/>
          </w:tcPr>
          <w:p>
            <w:pPr>
              <w:spacing w:after="40" w:line="240"/>
              <w:jc w:val="left"/>
            </w:pPr>
            <w:r>
              <w:rPr>
                <w:b/>
                <w:bCs/>
                <w:sz w:val="13"/>
                <w:szCs w:val="13"/>
              </w:rPr>
              <w:t xml:space="preserve">E3 Transparencia</w:t>
            </w:r>
          </w:p>
        </w:tc>
        <w:tc>
          <w:tcPr>
            <w:tcW w:type="dxa" w:w="3009"/>
            <w:shd w:fill="F3F1EE" w:color="auto" w:val="clear"/>
            <w:tcMar>
              <w:top w:type="dxa" w:w="60"/>
              <w:left w:type="dxa" w:w="80"/>
              <w:bottom w:type="dxa" w:w="60"/>
              <w:right w:type="dxa" w:w="80"/>
            </w:tcMar>
            <w:vAlign w:val="top"/>
          </w:tcPr>
          <w:p>
            <w:pPr>
              <w:spacing w:after="40" w:line="240"/>
              <w:jc w:val="left"/>
            </w:pPr>
            <w:r>
              <w:rPr>
                <w:sz w:val="13"/>
                <w:szCs w:val="13"/>
              </w:rPr>
              <w:t xml:space="preserve">Model card, datasheet y «ficha de incertidumbre» del IMN.</w:t>
            </w:r>
            <w:r>
              <w:rPr>
                <w:sz w:val="13"/>
                <w:szCs w:val="13"/>
              </w:rPr>
              <w:t xml:space="preserve"> Documentar capacidades, límites y métricas por grupo; acompañar cada cifra del IMN con el porcentaje de normas con respaldo humano y su margen; explicar al codificador los términos que pesaron en cada propuesta.</w:t>
            </w:r>
          </w:p>
        </w:tc>
        <w:tc>
          <w:tcPr>
            <w:tcW w:type="dxa" w:w="1037"/>
            <w:shd w:fill="F3F1EE" w:color="auto" w:val="clear"/>
            <w:tcMar>
              <w:top w:type="dxa" w:w="60"/>
              <w:left w:type="dxa" w:w="80"/>
              <w:bottom w:type="dxa" w:w="60"/>
              <w:right w:type="dxa" w:w="80"/>
            </w:tcMar>
            <w:vAlign w:val="top"/>
          </w:tcPr>
          <w:p>
            <w:pPr>
              <w:spacing w:after="40" w:line="240"/>
              <w:jc w:val="left"/>
            </w:pPr>
            <w:r>
              <w:rPr>
                <w:sz w:val="13"/>
                <w:szCs w:val="13"/>
              </w:rPr>
              <w:t xml:space="preserve">Diseño + Educación</w:t>
            </w:r>
          </w:p>
        </w:tc>
        <w:tc>
          <w:tcPr>
            <w:tcW w:type="dxa" w:w="3009"/>
            <w:shd w:fill="F3F1EE" w:color="auto" w:val="clear"/>
            <w:tcMar>
              <w:top w:type="dxa" w:w="60"/>
              <w:left w:type="dxa" w:w="80"/>
              <w:bottom w:type="dxa" w:w="60"/>
              <w:right w:type="dxa" w:w="80"/>
            </w:tcMar>
            <w:vAlign w:val="top"/>
          </w:tcPr>
          <w:p>
            <w:pPr>
              <w:spacing w:after="40" w:line="240"/>
              <w:jc w:val="left"/>
            </w:pPr>
            <w:r>
              <w:rPr>
                <w:sz w:val="13"/>
                <w:szCs w:val="13"/>
              </w:rPr>
              <w:t xml:space="preserve">(1) Anexos A y B publicados en `docs/` — hecho; (2) columna «margen» y «codificadas por modelo» en `imn_propuesta.csv` — hecho; (3) nota metodológica para lectores del IMN — antes del cierre. Responsable: autores.</w:t>
            </w:r>
          </w:p>
        </w:tc>
        <w:tc>
          <w:tcPr>
            <w:tcW w:type="dxa" w:w="1008"/>
            <w:shd w:fill="F3F1EE" w:color="auto" w:val="clear"/>
            <w:tcMar>
              <w:top w:type="dxa" w:w="60"/>
              <w:left w:type="dxa" w:w="80"/>
              <w:bottom w:type="dxa" w:w="60"/>
              <w:right w:type="dxa" w:w="80"/>
            </w:tcMar>
            <w:vAlign w:val="top"/>
          </w:tcPr>
          <w:p>
            <w:pPr>
              <w:spacing w:after="40" w:line="240"/>
              <w:jc w:val="left"/>
            </w:pPr>
            <w:r>
              <w:rPr>
                <w:sz w:val="13"/>
                <w:szCs w:val="13"/>
              </w:rPr>
              <w:t xml:space="preserve">Alta</w:t>
            </w:r>
          </w:p>
        </w:tc>
      </w:tr>
      <w:tr>
        <w:trPr>
          <w:cantSplit w:val="false"/>
        </w:trPr>
        <w:tc>
          <w:tcPr>
            <w:tcW w:type="dxa" w:w="1349"/>
            <w:tcMar>
              <w:top w:type="dxa" w:w="60"/>
              <w:left w:type="dxa" w:w="80"/>
              <w:bottom w:type="dxa" w:w="60"/>
              <w:right w:type="dxa" w:w="80"/>
            </w:tcMar>
            <w:vAlign w:val="top"/>
          </w:tcPr>
          <w:p>
            <w:pPr>
              <w:spacing w:after="40" w:line="240"/>
              <w:jc w:val="left"/>
            </w:pPr>
            <w:r>
              <w:rPr>
                <w:b/>
                <w:bCs/>
                <w:sz w:val="13"/>
                <w:szCs w:val="13"/>
              </w:rPr>
              <w:t xml:space="preserve">E4 Autonomía</w:t>
            </w:r>
          </w:p>
        </w:tc>
        <w:tc>
          <w:tcPr>
            <w:tcW w:type="dxa" w:w="3009"/>
            <w:tcMar>
              <w:top w:type="dxa" w:w="60"/>
              <w:left w:type="dxa" w:w="80"/>
              <w:bottom w:type="dxa" w:w="60"/>
              <w:right w:type="dxa" w:w="80"/>
            </w:tcMar>
            <w:vAlign w:val="top"/>
          </w:tcPr>
          <w:p>
            <w:pPr>
              <w:spacing w:after="40" w:line="240"/>
              <w:jc w:val="left"/>
            </w:pPr>
            <w:r>
              <w:rPr>
                <w:sz w:val="13"/>
                <w:szCs w:val="13"/>
              </w:rPr>
              <w:t xml:space="preserve">Interfaz que exige decisión, no confirmación.</w:t>
            </w:r>
            <w:r>
              <w:rPr>
                <w:sz w:val="13"/>
                <w:szCs w:val="13"/>
              </w:rPr>
              <w:t xml:space="preserve"> Mostrar las dos candidatas sin preseleccionar ninguna, con los términos que las sustentan; exigir una justificación breve cuando el codificador acepte la propuesta en normas de confianza media/baja; muestrear al azar un 10 % de las aceptaciones para re-lectura independiente y medir el sesgo de automatización (tasa de acuerdo con el modelo vs. tasa esperada).</w:t>
            </w:r>
          </w:p>
        </w:tc>
        <w:tc>
          <w:tcPr>
            <w:tcW w:type="dxa" w:w="1037"/>
            <w:tcMar>
              <w:top w:type="dxa" w:w="60"/>
              <w:left w:type="dxa" w:w="80"/>
              <w:bottom w:type="dxa" w:w="60"/>
              <w:right w:type="dxa" w:w="80"/>
            </w:tcMar>
            <w:vAlign w:val="top"/>
          </w:tcPr>
          <w:p>
            <w:pPr>
              <w:spacing w:after="40" w:line="240"/>
              <w:jc w:val="left"/>
            </w:pPr>
            <w:r>
              <w:rPr>
                <w:sz w:val="13"/>
                <w:szCs w:val="13"/>
              </w:rPr>
              <w:t xml:space="preserve">Diseño + Política</w:t>
            </w:r>
          </w:p>
        </w:tc>
        <w:tc>
          <w:tcPr>
            <w:tcW w:type="dxa" w:w="3009"/>
            <w:tcMar>
              <w:top w:type="dxa" w:w="60"/>
              <w:left w:type="dxa" w:w="80"/>
              <w:bottom w:type="dxa" w:w="60"/>
              <w:right w:type="dxa" w:w="80"/>
            </w:tcMar>
            <w:vAlign w:val="top"/>
          </w:tcPr>
          <w:p>
            <w:pPr>
              <w:spacing w:after="40" w:line="240"/>
              <w:jc w:val="left"/>
            </w:pPr>
            <w:r>
              <w:rPr>
                <w:sz w:val="13"/>
                <w:szCs w:val="13"/>
              </w:rPr>
              <w:t xml:space="preserve">(1) Especificación de la pantalla de codificación asistida — antes del cierre (documento); (2) protocolo de muestreo del 10 % — primera operación real; (3) formación breve a codificadores sobre sesgo de automatización — con la coordinación. Responsable: autores (diseño), coordinación (operación).</w:t>
            </w:r>
          </w:p>
        </w:tc>
        <w:tc>
          <w:tcPr>
            <w:tcW w:type="dxa" w:w="1008"/>
            <w:tcMar>
              <w:top w:type="dxa" w:w="60"/>
              <w:left w:type="dxa" w:w="80"/>
              <w:bottom w:type="dxa" w:w="60"/>
              <w:right w:type="dxa" w:w="80"/>
            </w:tcMar>
            <w:vAlign w:val="top"/>
          </w:tcPr>
          <w:p>
            <w:pPr>
              <w:spacing w:after="40" w:line="240"/>
              <w:jc w:val="left"/>
            </w:pPr>
            <w:r>
              <w:rPr>
                <w:sz w:val="13"/>
                <w:szCs w:val="13"/>
              </w:rPr>
              <w:t xml:space="preserve">Media (reduce, no elimina, el sesgo)</w:t>
            </w:r>
          </w:p>
        </w:tc>
      </w:tr>
      <w:tr>
        <w:trPr>
          <w:cantSplit w:val="false"/>
        </w:trPr>
        <w:tc>
          <w:tcPr>
            <w:tcW w:type="dxa" w:w="1349"/>
            <w:shd w:fill="F3F1EE" w:color="auto" w:val="clear"/>
            <w:tcMar>
              <w:top w:type="dxa" w:w="60"/>
              <w:left w:type="dxa" w:w="80"/>
              <w:bottom w:type="dxa" w:w="60"/>
              <w:right w:type="dxa" w:w="80"/>
            </w:tcMar>
            <w:vAlign w:val="top"/>
          </w:tcPr>
          <w:p>
            <w:pPr>
              <w:spacing w:after="40" w:line="240"/>
              <w:jc w:val="left"/>
            </w:pPr>
            <w:r>
              <w:rPr>
                <w:b/>
                <w:bCs/>
                <w:sz w:val="13"/>
                <w:szCs w:val="13"/>
              </w:rPr>
              <w:t xml:space="preserve">E5 Seguridad</w:t>
            </w:r>
          </w:p>
        </w:tc>
        <w:tc>
          <w:tcPr>
            <w:tcW w:type="dxa" w:w="3009"/>
            <w:shd w:fill="F3F1EE" w:color="auto" w:val="clear"/>
            <w:tcMar>
              <w:top w:type="dxa" w:w="60"/>
              <w:left w:type="dxa" w:w="80"/>
              <w:bottom w:type="dxa" w:w="60"/>
              <w:right w:type="dxa" w:w="80"/>
            </w:tcMar>
            <w:vAlign w:val="top"/>
          </w:tcPr>
          <w:p>
            <w:pPr>
              <w:spacing w:after="40" w:line="240"/>
              <w:jc w:val="left"/>
            </w:pPr>
            <w:r>
              <w:rPr>
                <w:sz w:val="13"/>
                <w:szCs w:val="13"/>
              </w:rPr>
              <w:t xml:space="preserve">Control de versiones de datos y modelo, pruebas y detección de deriva.</w:t>
            </w:r>
            <w:r>
              <w:rPr>
                <w:sz w:val="13"/>
                <w:szCs w:val="13"/>
              </w:rPr>
              <w:t xml:space="preserve"> Hash del corpus, versión del modelo y del LLM registradas en cada ejecución; pruebas unitarias; comparar la distribución de confianza y de clases predichas entre versiones del corpus y disparar revisión manual si cambian más de un umbral.</w:t>
            </w:r>
          </w:p>
        </w:tc>
        <w:tc>
          <w:tcPr>
            <w:tcW w:type="dxa" w:w="1037"/>
            <w:shd w:fill="F3F1EE" w:color="auto" w:val="clear"/>
            <w:tcMar>
              <w:top w:type="dxa" w:w="60"/>
              <w:left w:type="dxa" w:w="80"/>
              <w:bottom w:type="dxa" w:w="60"/>
              <w:right w:type="dxa" w:w="80"/>
            </w:tcMar>
            <w:vAlign w:val="top"/>
          </w:tcPr>
          <w:p>
            <w:pPr>
              <w:spacing w:after="40" w:line="240"/>
              <w:jc w:val="left"/>
            </w:pPr>
            <w:r>
              <w:rPr>
                <w:sz w:val="13"/>
                <w:szCs w:val="13"/>
              </w:rPr>
              <w:t xml:space="preserve">Técnica</w:t>
            </w:r>
          </w:p>
        </w:tc>
        <w:tc>
          <w:tcPr>
            <w:tcW w:type="dxa" w:w="3009"/>
            <w:shd w:fill="F3F1EE" w:color="auto" w:val="clear"/>
            <w:tcMar>
              <w:top w:type="dxa" w:w="60"/>
              <w:left w:type="dxa" w:w="80"/>
              <w:bottom w:type="dxa" w:w="60"/>
              <w:right w:type="dxa" w:w="80"/>
            </w:tcMar>
            <w:vAlign w:val="top"/>
          </w:tcPr>
          <w:p>
            <w:pPr>
              <w:spacing w:after="40" w:line="240"/>
              <w:jc w:val="left"/>
            </w:pPr>
            <w:r>
              <w:rPr>
                <w:sz w:val="13"/>
                <w:szCs w:val="13"/>
              </w:rPr>
              <w:t xml:space="preserve">(1) Hash + pruebas + meta.json — hecho; (2) script de comparación entre versiones (deriva) — siguiente actualización del corpus; (3) política: ninguna cifra del IMN se publica sin pasar la auditoría — coordinación. Responsable: autores.</w:t>
            </w:r>
          </w:p>
        </w:tc>
        <w:tc>
          <w:tcPr>
            <w:tcW w:type="dxa" w:w="1008"/>
            <w:shd w:fill="F3F1EE" w:color="auto" w:val="clear"/>
            <w:tcMar>
              <w:top w:type="dxa" w:w="60"/>
              <w:left w:type="dxa" w:w="80"/>
              <w:bottom w:type="dxa" w:w="60"/>
              <w:right w:type="dxa" w:w="80"/>
            </w:tcMar>
            <w:vAlign w:val="top"/>
          </w:tcPr>
          <w:p>
            <w:pPr>
              <w:spacing w:after="40" w:line="240"/>
              <w:jc w:val="left"/>
            </w:pPr>
            <w:r>
              <w:rPr>
                <w:sz w:val="13"/>
                <w:szCs w:val="13"/>
              </w:rPr>
              <w:t xml:space="preserve">Alta para integridad; Media para deriva</w:t>
            </w:r>
          </w:p>
        </w:tc>
      </w:tr>
      <w:tr>
        <w:trPr>
          <w:cantSplit w:val="false"/>
        </w:trPr>
        <w:tc>
          <w:tcPr>
            <w:tcW w:type="dxa" w:w="1349"/>
            <w:tcMar>
              <w:top w:type="dxa" w:w="60"/>
              <w:left w:type="dxa" w:w="80"/>
              <w:bottom w:type="dxa" w:w="60"/>
              <w:right w:type="dxa" w:w="80"/>
            </w:tcMar>
            <w:vAlign w:val="top"/>
          </w:tcPr>
          <w:p>
            <w:pPr>
              <w:spacing w:after="40" w:line="240"/>
              <w:jc w:val="left"/>
            </w:pPr>
            <w:r>
              <w:rPr>
                <w:b/>
                <w:bCs/>
                <w:sz w:val="13"/>
                <w:szCs w:val="13"/>
              </w:rPr>
              <w:t xml:space="preserve">E6 Accountability / R3</w:t>
            </w:r>
          </w:p>
        </w:tc>
        <w:tc>
          <w:tcPr>
            <w:tcW w:type="dxa" w:w="3009"/>
            <w:tcMar>
              <w:top w:type="dxa" w:w="60"/>
              <w:left w:type="dxa" w:w="80"/>
              <w:bottom w:type="dxa" w:w="60"/>
              <w:right w:type="dxa" w:w="80"/>
            </w:tcMar>
            <w:vAlign w:val="top"/>
          </w:tcPr>
          <w:p>
            <w:pPr>
              <w:spacing w:after="40" w:line="240"/>
              <w:jc w:val="left"/>
            </w:pPr>
            <w:r>
              <w:rPr>
                <w:sz w:val="13"/>
                <w:szCs w:val="13"/>
              </w:rPr>
              <w:t xml:space="preserve">Cadena de responsabilidad explícita y canal de apelación.</w:t>
            </w:r>
            <w:r>
              <w:rPr>
                <w:sz w:val="13"/>
                <w:szCs w:val="13"/>
              </w:rPr>
              <w:t xml:space="preserve"> Formalizar la Parte 6 como anexo del acuerdo con GENIAL; crear un canal (correo/formulario) para que países o IES soliciten revisión de su clasificación, con plazo de respuesta y registro público de correcciones.</w:t>
            </w:r>
          </w:p>
        </w:tc>
        <w:tc>
          <w:tcPr>
            <w:tcW w:type="dxa" w:w="1037"/>
            <w:tcMar>
              <w:top w:type="dxa" w:w="60"/>
              <w:left w:type="dxa" w:w="80"/>
              <w:bottom w:type="dxa" w:w="60"/>
              <w:right w:type="dxa" w:w="80"/>
            </w:tcMar>
            <w:vAlign w:val="top"/>
          </w:tcPr>
          <w:p>
            <w:pPr>
              <w:spacing w:after="40" w:line="240"/>
              <w:jc w:val="left"/>
            </w:pPr>
            <w:r>
              <w:rPr>
                <w:sz w:val="13"/>
                <w:szCs w:val="13"/>
              </w:rPr>
              <w:t xml:space="preserve">Política</w:t>
            </w:r>
          </w:p>
        </w:tc>
        <w:tc>
          <w:tcPr>
            <w:tcW w:type="dxa" w:w="3009"/>
            <w:tcMar>
              <w:top w:type="dxa" w:w="60"/>
              <w:left w:type="dxa" w:w="80"/>
              <w:bottom w:type="dxa" w:w="60"/>
              <w:right w:type="dxa" w:w="80"/>
            </w:tcMar>
            <w:vAlign w:val="top"/>
          </w:tcPr>
          <w:p>
            <w:pPr>
              <w:spacing w:after="40" w:line="240"/>
              <w:jc w:val="left"/>
            </w:pPr>
            <w:r>
              <w:rPr>
                <w:sz w:val="13"/>
                <w:szCs w:val="13"/>
              </w:rPr>
              <w:t xml:space="preserve">(1) Tabla de roles aprobada por la coordinación — octubre; (2) canal de apelación y registro de incidentes — antes de la primera publicación del IMN; (3) revisión anual. Responsable: coordinación GENIAL; autores como soporte técnico.</w:t>
            </w:r>
          </w:p>
        </w:tc>
        <w:tc>
          <w:tcPr>
            <w:tcW w:type="dxa" w:w="1008"/>
            <w:tcMar>
              <w:top w:type="dxa" w:w="60"/>
              <w:left w:type="dxa" w:w="80"/>
              <w:bottom w:type="dxa" w:w="60"/>
              <w:right w:type="dxa" w:w="80"/>
            </w:tcMar>
            <w:vAlign w:val="top"/>
          </w:tcPr>
          <w:p>
            <w:pPr>
              <w:spacing w:after="40" w:line="240"/>
              <w:jc w:val="left"/>
            </w:pPr>
            <w:r>
              <w:rPr>
                <w:sz w:val="13"/>
                <w:szCs w:val="13"/>
              </w:rPr>
              <w:t xml:space="preserve">Media-Alta</w:t>
            </w:r>
          </w:p>
        </w:tc>
      </w:tr>
    </w:tbl>
    <w:p>
      <w:pPr>
        <w:pStyle w:val="Heading2"/>
        <w:keepNext/>
        <w:spacing w:after="120" w:before="280"/>
      </w:pPr>
      <w:r>
        <w:t xml:space="preserve">Parte 6. Framework de responsabilidad</w:t>
      </w:r>
    </w:p>
    <w:p>
      <w:pPr>
        <w:pStyle w:val="Heading3"/>
        <w:keepNext/>
        <w:spacing w:after="80" w:before="200"/>
      </w:pPr>
      <w:r>
        <w:t xml:space="preserve">6.1 Cadena de responsabilidad</w:t>
      </w:r>
    </w:p>
    <w:tbl>
      <w:tblPr>
        <w:tblW w:type="dxa" w:w="9412"/>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1867"/>
        <w:gridCol w:w="2075"/>
        <w:gridCol w:w="2905"/>
        <w:gridCol w:w="2565"/>
      </w:tblGrid>
      <w:tr>
        <w:trPr>
          <w:cantSplit/>
          <w:tblHeader/>
        </w:trPr>
        <w:tc>
          <w:tcPr>
            <w:tcW w:type="dxa" w:w="1867"/>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Rol</w:t>
            </w:r>
          </w:p>
        </w:tc>
        <w:tc>
          <w:tcPr>
            <w:tcW w:type="dxa" w:w="2075"/>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Quién</w:t>
            </w:r>
          </w:p>
        </w:tc>
        <w:tc>
          <w:tcPr>
            <w:tcW w:type="dxa" w:w="2905"/>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Responsabilidades</w:t>
            </w:r>
          </w:p>
        </w:tc>
        <w:tc>
          <w:tcPr>
            <w:tcW w:type="dxa" w:w="2565"/>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Rendición de cuentas</w:t>
            </w:r>
          </w:p>
        </w:tc>
      </w:tr>
      <w:tr>
        <w:trPr>
          <w:cantSplit w:val="false"/>
        </w:trPr>
        <w:tc>
          <w:tcPr>
            <w:tcW w:type="dxa" w:w="1867"/>
            <w:tcMar>
              <w:top w:type="dxa" w:w="60"/>
              <w:left w:type="dxa" w:w="80"/>
              <w:bottom w:type="dxa" w:w="60"/>
              <w:right w:type="dxa" w:w="80"/>
            </w:tcMar>
            <w:vAlign w:val="top"/>
          </w:tcPr>
          <w:p>
            <w:pPr>
              <w:spacing w:after="40" w:line="240"/>
              <w:jc w:val="left"/>
            </w:pPr>
            <w:r>
              <w:rPr>
                <w:b/>
                <w:bCs/>
                <w:sz w:val="13"/>
                <w:szCs w:val="13"/>
              </w:rPr>
              <w:t xml:space="preserve">Desarrolladores / científicos de datos</w:t>
            </w:r>
          </w:p>
        </w:tc>
        <w:tc>
          <w:tcPr>
            <w:tcW w:type="dxa" w:w="2075"/>
            <w:tcMar>
              <w:top w:type="dxa" w:w="60"/>
              <w:left w:type="dxa" w:w="80"/>
              <w:bottom w:type="dxa" w:w="60"/>
              <w:right w:type="dxa" w:w="80"/>
            </w:tcMar>
            <w:vAlign w:val="top"/>
          </w:tcPr>
          <w:p>
            <w:pPr>
              <w:spacing w:after="40" w:line="240"/>
              <w:jc w:val="left"/>
            </w:pPr>
            <w:r>
              <w:rPr>
                <w:sz w:val="13"/>
                <w:szCs w:val="13"/>
              </w:rPr>
              <w:t xml:space="preserve">J. Maldonado y M. Figallo (Grupo 9)</w:t>
            </w:r>
          </w:p>
        </w:tc>
        <w:tc>
          <w:tcPr>
            <w:tcW w:type="dxa" w:w="2905"/>
            <w:tcMar>
              <w:top w:type="dxa" w:w="60"/>
              <w:left w:type="dxa" w:w="80"/>
              <w:bottom w:type="dxa" w:w="60"/>
              <w:right w:type="dxa" w:w="80"/>
            </w:tcMar>
            <w:vAlign w:val="top"/>
          </w:tcPr>
          <w:p>
            <w:pPr>
              <w:spacing w:after="40" w:line="240"/>
              <w:jc w:val="left"/>
            </w:pPr>
            <w:r>
              <w:rPr>
                <w:sz w:val="13"/>
                <w:szCs w:val="13"/>
              </w:rPr>
              <w:t xml:space="preserve">Implementación correcta; calidad de datos; auditoría de equidad; documentación (model card, datasheet); reproducibilidad</w:t>
            </w:r>
          </w:p>
        </w:tc>
        <w:tc>
          <w:tcPr>
            <w:tcW w:type="dxa" w:w="2565"/>
            <w:tcMar>
              <w:top w:type="dxa" w:w="60"/>
              <w:left w:type="dxa" w:w="80"/>
              <w:bottom w:type="dxa" w:w="60"/>
              <w:right w:type="dxa" w:w="80"/>
            </w:tcMar>
            <w:vAlign w:val="top"/>
          </w:tcPr>
          <w:p>
            <w:pPr>
              <w:spacing w:after="40" w:line="240"/>
              <w:jc w:val="left"/>
            </w:pPr>
            <w:r>
              <w:rPr>
                <w:sz w:val="13"/>
                <w:szCs w:val="13"/>
              </w:rPr>
              <w:t xml:space="preserve">Repositorio público con historial de commits; pruebas unitarias; cuadernos ejecutados; auditoría por grupo en cada versión</w:t>
            </w:r>
          </w:p>
        </w:tc>
      </w:tr>
      <w:tr>
        <w:trPr>
          <w:cantSplit w:val="false"/>
        </w:trPr>
        <w:tc>
          <w:tcPr>
            <w:tcW w:type="dxa" w:w="1867"/>
            <w:shd w:fill="F3F1EE" w:color="auto" w:val="clear"/>
            <w:tcMar>
              <w:top w:type="dxa" w:w="60"/>
              <w:left w:type="dxa" w:w="80"/>
              <w:bottom w:type="dxa" w:w="60"/>
              <w:right w:type="dxa" w:w="80"/>
            </w:tcMar>
            <w:vAlign w:val="top"/>
          </w:tcPr>
          <w:p>
            <w:pPr>
              <w:spacing w:after="40" w:line="240"/>
              <w:jc w:val="left"/>
            </w:pPr>
            <w:r>
              <w:rPr>
                <w:b/>
                <w:bCs/>
                <w:sz w:val="13"/>
                <w:szCs w:val="13"/>
              </w:rPr>
              <w:t xml:space="preserve">Propietario del producto (observatorio)</w:t>
            </w:r>
          </w:p>
        </w:tc>
        <w:tc>
          <w:tcPr>
            <w:tcW w:type="dxa" w:w="2075"/>
            <w:shd w:fill="F3F1EE" w:color="auto" w:val="clear"/>
            <w:tcMar>
              <w:top w:type="dxa" w:w="60"/>
              <w:left w:type="dxa" w:w="80"/>
              <w:bottom w:type="dxa" w:w="60"/>
              <w:right w:type="dxa" w:w="80"/>
            </w:tcMar>
            <w:vAlign w:val="top"/>
          </w:tcPr>
          <w:p>
            <w:pPr>
              <w:spacing w:after="40" w:line="240"/>
              <w:jc w:val="left"/>
            </w:pPr>
            <w:r>
              <w:rPr>
                <w:sz w:val="13"/>
                <w:szCs w:val="13"/>
              </w:rPr>
              <w:t xml:space="preserve">Coordinación GENIAL (general: Université de Toulouse; Ecuador: Universidad de Cuenca)</w:t>
            </w:r>
          </w:p>
        </w:tc>
        <w:tc>
          <w:tcPr>
            <w:tcW w:type="dxa" w:w="2905"/>
            <w:shd w:fill="F3F1EE" w:color="auto" w:val="clear"/>
            <w:tcMar>
              <w:top w:type="dxa" w:w="60"/>
              <w:left w:type="dxa" w:w="80"/>
              <w:bottom w:type="dxa" w:w="60"/>
              <w:right w:type="dxa" w:w="80"/>
            </w:tcMar>
            <w:vAlign w:val="top"/>
          </w:tcPr>
          <w:p>
            <w:pPr>
              <w:spacing w:after="40" w:line="240"/>
              <w:jc w:val="left"/>
            </w:pPr>
            <w:r>
              <w:rPr>
                <w:sz w:val="13"/>
                <w:szCs w:val="13"/>
              </w:rPr>
              <w:t xml:space="preserve">Decidir cómo se usa el modelo (modo asistido), aprobar la regla de gobernanza, publicar el IMN con su incertidumbre, informar a codificadores</w:t>
            </w:r>
          </w:p>
        </w:tc>
        <w:tc>
          <w:tcPr>
            <w:tcW w:type="dxa" w:w="2565"/>
            <w:shd w:fill="F3F1EE" w:color="auto" w:val="clear"/>
            <w:tcMar>
              <w:top w:type="dxa" w:w="60"/>
              <w:left w:type="dxa" w:w="80"/>
              <w:bottom w:type="dxa" w:w="60"/>
              <w:right w:type="dxa" w:w="80"/>
            </w:tcMar>
            <w:vAlign w:val="top"/>
          </w:tcPr>
          <w:p>
            <w:pPr>
              <w:spacing w:after="40" w:line="240"/>
              <w:jc w:val="left"/>
            </w:pPr>
            <w:r>
              <w:rPr>
                <w:sz w:val="13"/>
                <w:szCs w:val="13"/>
              </w:rPr>
              <w:t xml:space="preserve">Acta de aprobación de la regla; nota metodológica pública del IMN; registro de correcciones</w:t>
            </w:r>
          </w:p>
        </w:tc>
      </w:tr>
      <w:tr>
        <w:trPr>
          <w:cantSplit w:val="false"/>
        </w:trPr>
        <w:tc>
          <w:tcPr>
            <w:tcW w:type="dxa" w:w="1867"/>
            <w:tcMar>
              <w:top w:type="dxa" w:w="60"/>
              <w:left w:type="dxa" w:w="80"/>
              <w:bottom w:type="dxa" w:w="60"/>
              <w:right w:type="dxa" w:w="80"/>
            </w:tcMar>
            <w:vAlign w:val="top"/>
          </w:tcPr>
          <w:p>
            <w:pPr>
              <w:spacing w:after="40" w:line="240"/>
              <w:jc w:val="left"/>
            </w:pPr>
            <w:r>
              <w:rPr>
                <w:b/>
                <w:bCs/>
                <w:sz w:val="13"/>
                <w:szCs w:val="13"/>
              </w:rPr>
              <w:t xml:space="preserve">Codificadores</w:t>
            </w:r>
          </w:p>
        </w:tc>
        <w:tc>
          <w:tcPr>
            <w:tcW w:type="dxa" w:w="2075"/>
            <w:tcMar>
              <w:top w:type="dxa" w:w="60"/>
              <w:left w:type="dxa" w:w="80"/>
              <w:bottom w:type="dxa" w:w="60"/>
              <w:right w:type="dxa" w:w="80"/>
            </w:tcMar>
            <w:vAlign w:val="top"/>
          </w:tcPr>
          <w:p>
            <w:pPr>
              <w:spacing w:after="40" w:line="240"/>
              <w:jc w:val="left"/>
            </w:pPr>
            <w:r>
              <w:rPr>
                <w:sz w:val="13"/>
                <w:szCs w:val="13"/>
              </w:rPr>
              <w:t xml:space="preserve">≈10 investigadores GENIAL</w:t>
            </w:r>
          </w:p>
        </w:tc>
        <w:tc>
          <w:tcPr>
            <w:tcW w:type="dxa" w:w="2905"/>
            <w:tcMar>
              <w:top w:type="dxa" w:w="60"/>
              <w:left w:type="dxa" w:w="80"/>
              <w:bottom w:type="dxa" w:w="60"/>
              <w:right w:type="dxa" w:w="80"/>
            </w:tcMar>
            <w:vAlign w:val="top"/>
          </w:tcPr>
          <w:p>
            <w:pPr>
              <w:spacing w:after="40" w:line="240"/>
              <w:jc w:val="left"/>
            </w:pPr>
            <w:r>
              <w:rPr>
                <w:sz w:val="13"/>
                <w:szCs w:val="13"/>
              </w:rPr>
              <w:t xml:space="preserve">Decisión final sobre cada norma; tipificar errores; señalar normas de frontera</w:t>
            </w:r>
          </w:p>
        </w:tc>
        <w:tc>
          <w:tcPr>
            <w:tcW w:type="dxa" w:w="2565"/>
            <w:tcMar>
              <w:top w:type="dxa" w:w="60"/>
              <w:left w:type="dxa" w:w="80"/>
              <w:bottom w:type="dxa" w:w="60"/>
              <w:right w:type="dxa" w:w="80"/>
            </w:tcMar>
            <w:vAlign w:val="top"/>
          </w:tcPr>
          <w:p>
            <w:pPr>
              <w:spacing w:after="40" w:line="240"/>
              <w:jc w:val="left"/>
            </w:pPr>
            <w:r>
              <w:rPr>
                <w:sz w:val="13"/>
                <w:szCs w:val="13"/>
              </w:rPr>
              <w:t xml:space="preserve">Hoja de tipificación; κ humano-humano; muestreo del 10 % de aceptaciones</w:t>
            </w:r>
          </w:p>
        </w:tc>
      </w:tr>
      <w:tr>
        <w:trPr>
          <w:cantSplit w:val="false"/>
        </w:trPr>
        <w:tc>
          <w:tcPr>
            <w:tcW w:type="dxa" w:w="1867"/>
            <w:shd w:fill="F3F1EE" w:color="auto" w:val="clear"/>
            <w:tcMar>
              <w:top w:type="dxa" w:w="60"/>
              <w:left w:type="dxa" w:w="80"/>
              <w:bottom w:type="dxa" w:w="60"/>
              <w:right w:type="dxa" w:w="80"/>
            </w:tcMar>
            <w:vAlign w:val="top"/>
          </w:tcPr>
          <w:p>
            <w:pPr>
              <w:spacing w:after="40" w:line="240"/>
              <w:jc w:val="left"/>
            </w:pPr>
            <w:r>
              <w:rPr>
                <w:b/>
                <w:bCs/>
                <w:sz w:val="13"/>
                <w:szCs w:val="13"/>
              </w:rPr>
              <w:t xml:space="preserve">Supervisión académica</w:t>
            </w:r>
          </w:p>
        </w:tc>
        <w:tc>
          <w:tcPr>
            <w:tcW w:type="dxa" w:w="2075"/>
            <w:shd w:fill="F3F1EE" w:color="auto" w:val="clear"/>
            <w:tcMar>
              <w:top w:type="dxa" w:w="60"/>
              <w:left w:type="dxa" w:w="80"/>
              <w:bottom w:type="dxa" w:w="60"/>
              <w:right w:type="dxa" w:w="80"/>
            </w:tcMar>
            <w:vAlign w:val="top"/>
          </w:tcPr>
          <w:p>
            <w:pPr>
              <w:spacing w:after="40" w:line="240"/>
              <w:jc w:val="left"/>
            </w:pPr>
            <w:r>
              <w:rPr>
                <w:sz w:val="13"/>
                <w:szCs w:val="13"/>
              </w:rPr>
              <w:t xml:space="preserve">Tutora del Proyecto Integrador (UEES)</w:t>
            </w:r>
          </w:p>
        </w:tc>
        <w:tc>
          <w:tcPr>
            <w:tcW w:type="dxa" w:w="2905"/>
            <w:shd w:fill="F3F1EE" w:color="auto" w:val="clear"/>
            <w:tcMar>
              <w:top w:type="dxa" w:w="60"/>
              <w:left w:type="dxa" w:w="80"/>
              <w:bottom w:type="dxa" w:w="60"/>
              <w:right w:type="dxa" w:w="80"/>
            </w:tcMar>
            <w:vAlign w:val="top"/>
          </w:tcPr>
          <w:p>
            <w:pPr>
              <w:spacing w:after="40" w:line="240"/>
              <w:jc w:val="left"/>
            </w:pPr>
            <w:r>
              <w:rPr>
                <w:sz w:val="13"/>
                <w:szCs w:val="13"/>
              </w:rPr>
              <w:t xml:space="preserve">Revisar rigor metodológico y ético de los entregables</w:t>
            </w:r>
          </w:p>
        </w:tc>
        <w:tc>
          <w:tcPr>
            <w:tcW w:type="dxa" w:w="2565"/>
            <w:shd w:fill="F3F1EE" w:color="auto" w:val="clear"/>
            <w:tcMar>
              <w:top w:type="dxa" w:w="60"/>
              <w:left w:type="dxa" w:w="80"/>
              <w:bottom w:type="dxa" w:w="60"/>
              <w:right w:type="dxa" w:w="80"/>
            </w:tcMar>
            <w:vAlign w:val="top"/>
          </w:tcPr>
          <w:p>
            <w:pPr>
              <w:spacing w:after="40" w:line="240"/>
              <w:jc w:val="left"/>
            </w:pPr>
            <w:r>
              <w:rPr>
                <w:sz w:val="13"/>
                <w:szCs w:val="13"/>
              </w:rPr>
              <w:t xml:space="preserve">Rúbricas y retroalimentación documentada</w:t>
            </w:r>
          </w:p>
        </w:tc>
      </w:tr>
      <w:tr>
        <w:trPr>
          <w:cantSplit w:val="false"/>
        </w:trPr>
        <w:tc>
          <w:tcPr>
            <w:tcW w:type="dxa" w:w="1867"/>
            <w:tcMar>
              <w:top w:type="dxa" w:w="60"/>
              <w:left w:type="dxa" w:w="80"/>
              <w:bottom w:type="dxa" w:w="60"/>
              <w:right w:type="dxa" w:w="80"/>
            </w:tcMar>
            <w:vAlign w:val="top"/>
          </w:tcPr>
          <w:p>
            <w:pPr>
              <w:spacing w:after="40" w:line="240"/>
              <w:jc w:val="left"/>
            </w:pPr>
            <w:r>
              <w:rPr>
                <w:b/>
                <w:bCs/>
                <w:sz w:val="13"/>
                <w:szCs w:val="13"/>
              </w:rPr>
              <w:t xml:space="preserve">Proveedor del LLM</w:t>
            </w:r>
          </w:p>
        </w:tc>
        <w:tc>
          <w:tcPr>
            <w:tcW w:type="dxa" w:w="2075"/>
            <w:tcMar>
              <w:top w:type="dxa" w:w="60"/>
              <w:left w:type="dxa" w:w="80"/>
              <w:bottom w:type="dxa" w:w="60"/>
              <w:right w:type="dxa" w:w="80"/>
            </w:tcMar>
            <w:vAlign w:val="top"/>
          </w:tcPr>
          <w:p>
            <w:pPr>
              <w:spacing w:after="40" w:line="240"/>
              <w:jc w:val="left"/>
            </w:pPr>
            <w:r>
              <w:rPr>
                <w:sz w:val="13"/>
                <w:szCs w:val="13"/>
              </w:rPr>
              <w:t xml:space="preserve">Empresa de la API (rama few-shot)</w:t>
            </w:r>
          </w:p>
        </w:tc>
        <w:tc>
          <w:tcPr>
            <w:tcW w:type="dxa" w:w="2905"/>
            <w:tcMar>
              <w:top w:type="dxa" w:w="60"/>
              <w:left w:type="dxa" w:w="80"/>
              <w:bottom w:type="dxa" w:w="60"/>
              <w:right w:type="dxa" w:w="80"/>
            </w:tcMar>
            <w:vAlign w:val="top"/>
          </w:tcPr>
          <w:p>
            <w:pPr>
              <w:spacing w:after="40" w:line="240"/>
              <w:jc w:val="left"/>
            </w:pPr>
            <w:r>
              <w:rPr>
                <w:sz w:val="13"/>
                <w:szCs w:val="13"/>
              </w:rPr>
              <w:t xml:space="preserve">Disponibilidad y versionado del modelo; términos de uso de datos</w:t>
            </w:r>
          </w:p>
        </w:tc>
        <w:tc>
          <w:tcPr>
            <w:tcW w:type="dxa" w:w="2565"/>
            <w:tcMar>
              <w:top w:type="dxa" w:w="60"/>
              <w:left w:type="dxa" w:w="80"/>
              <w:bottom w:type="dxa" w:w="60"/>
              <w:right w:type="dxa" w:w="80"/>
            </w:tcMar>
            <w:vAlign w:val="top"/>
          </w:tcPr>
          <w:p>
            <w:pPr>
              <w:spacing w:after="40" w:line="240"/>
              <w:jc w:val="left"/>
            </w:pPr>
            <w:r>
              <w:rPr>
                <w:sz w:val="13"/>
                <w:szCs w:val="13"/>
              </w:rPr>
              <w:t xml:space="preserve">Versión registrada en `pred_llm_runs.csv.meta.json`; alternativa con modelo abierto</w:t>
            </w:r>
          </w:p>
        </w:tc>
      </w:tr>
      <w:tr>
        <w:trPr>
          <w:cantSplit w:val="false"/>
        </w:trPr>
        <w:tc>
          <w:tcPr>
            <w:tcW w:type="dxa" w:w="1867"/>
            <w:shd w:fill="F3F1EE" w:color="auto" w:val="clear"/>
            <w:tcMar>
              <w:top w:type="dxa" w:w="60"/>
              <w:left w:type="dxa" w:w="80"/>
              <w:bottom w:type="dxa" w:w="60"/>
              <w:right w:type="dxa" w:w="80"/>
            </w:tcMar>
            <w:vAlign w:val="top"/>
          </w:tcPr>
          <w:p>
            <w:pPr>
              <w:spacing w:after="40" w:line="240"/>
              <w:jc w:val="left"/>
            </w:pPr>
            <w:r>
              <w:rPr>
                <w:b/>
                <w:bCs/>
                <w:sz w:val="13"/>
                <w:szCs w:val="13"/>
              </w:rPr>
              <w:t xml:space="preserve">Organización / financiador</w:t>
            </w:r>
          </w:p>
        </w:tc>
        <w:tc>
          <w:tcPr>
            <w:tcW w:type="dxa" w:w="2075"/>
            <w:shd w:fill="F3F1EE" w:color="auto" w:val="clear"/>
            <w:tcMar>
              <w:top w:type="dxa" w:w="60"/>
              <w:left w:type="dxa" w:w="80"/>
              <w:bottom w:type="dxa" w:w="60"/>
              <w:right w:type="dxa" w:w="80"/>
            </w:tcMar>
            <w:vAlign w:val="top"/>
          </w:tcPr>
          <w:p>
            <w:pPr>
              <w:spacing w:after="40" w:line="240"/>
              <w:jc w:val="left"/>
            </w:pPr>
            <w:r>
              <w:rPr>
                <w:sz w:val="13"/>
                <w:szCs w:val="13"/>
              </w:rPr>
              <w:t xml:space="preserve">Consorcio GENIAL · Erasmus+</w:t>
            </w:r>
          </w:p>
        </w:tc>
        <w:tc>
          <w:tcPr>
            <w:tcW w:type="dxa" w:w="2905"/>
            <w:shd w:fill="F3F1EE" w:color="auto" w:val="clear"/>
            <w:tcMar>
              <w:top w:type="dxa" w:w="60"/>
              <w:left w:type="dxa" w:w="80"/>
              <w:bottom w:type="dxa" w:w="60"/>
              <w:right w:type="dxa" w:w="80"/>
            </w:tcMar>
            <w:vAlign w:val="top"/>
          </w:tcPr>
          <w:p>
            <w:pPr>
              <w:spacing w:after="40" w:line="240"/>
              <w:jc w:val="left"/>
            </w:pPr>
            <w:r>
              <w:rPr>
                <w:sz w:val="13"/>
                <w:szCs w:val="13"/>
              </w:rPr>
              <w:t xml:space="preserve">Gobernanza de datos, recursos para revisión humana, ética de la investigación</w:t>
            </w:r>
          </w:p>
        </w:tc>
        <w:tc>
          <w:tcPr>
            <w:tcW w:type="dxa" w:w="2565"/>
            <w:shd w:fill="F3F1EE" w:color="auto" w:val="clear"/>
            <w:tcMar>
              <w:top w:type="dxa" w:w="60"/>
              <w:left w:type="dxa" w:w="80"/>
              <w:bottom w:type="dxa" w:w="60"/>
              <w:right w:type="dxa" w:w="80"/>
            </w:tcMar>
            <w:vAlign w:val="top"/>
          </w:tcPr>
          <w:p>
            <w:pPr>
              <w:spacing w:after="40" w:line="240"/>
              <w:jc w:val="left"/>
            </w:pPr>
            <w:r>
              <w:rPr>
                <w:sz w:val="13"/>
                <w:szCs w:val="13"/>
              </w:rPr>
              <w:t xml:space="preserve">Acuerdo de uso del corpus; gestión de datos del proyecto</w:t>
            </w:r>
          </w:p>
        </w:tc>
      </w:tr>
    </w:tbl>
    <w:p>
      <w:pPr>
        <w:pStyle w:val="Heading3"/>
        <w:keepNext/>
        <w:spacing w:after="80" w:before="200"/>
      </w:pPr>
      <w:r>
        <w:t xml:space="preserve">6.2 Mecanismos de accountability</w:t>
      </w:r>
    </w:p>
    <w:tbl>
      <w:tblPr>
        <w:tblW w:type="dxa" w:w="9412"/>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3527"/>
        <w:gridCol w:w="1349"/>
        <w:gridCol w:w="4536"/>
      </w:tblGrid>
      <w:tr>
        <w:trPr>
          <w:cantSplit/>
          <w:tblHeader/>
        </w:trPr>
        <w:tc>
          <w:tcPr>
            <w:tcW w:type="dxa" w:w="3527"/>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Mecanismo</w:t>
            </w:r>
          </w:p>
        </w:tc>
        <w:tc>
          <w:tcPr>
            <w:tcW w:type="dxa" w:w="1349"/>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Estado</w:t>
            </w:r>
          </w:p>
        </w:tc>
        <w:tc>
          <w:tcPr>
            <w:tcW w:type="dxa" w:w="4536"/>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Detalle</w:t>
            </w:r>
          </w:p>
        </w:tc>
      </w:tr>
      <w:tr>
        <w:trPr>
          <w:cantSplit w:val="false"/>
        </w:trPr>
        <w:tc>
          <w:tcPr>
            <w:tcW w:type="dxa" w:w="3527"/>
            <w:tcMar>
              <w:top w:type="dxa" w:w="60"/>
              <w:left w:type="dxa" w:w="80"/>
              <w:bottom w:type="dxa" w:w="60"/>
              <w:right w:type="dxa" w:w="80"/>
            </w:tcMar>
            <w:vAlign w:val="top"/>
          </w:tcPr>
          <w:p>
            <w:pPr>
              <w:spacing w:after="40" w:line="240"/>
              <w:jc w:val="left"/>
            </w:pPr>
            <w:r>
              <w:rPr>
                <w:sz w:val="13"/>
                <w:szCs w:val="13"/>
              </w:rPr>
              <w:t xml:space="preserve">Documentación · Model card</w:t>
            </w:r>
          </w:p>
        </w:tc>
        <w:tc>
          <w:tcPr>
            <w:tcW w:type="dxa" w:w="1349"/>
            <w:tcMar>
              <w:top w:type="dxa" w:w="60"/>
              <w:left w:type="dxa" w:w="80"/>
              <w:bottom w:type="dxa" w:w="60"/>
              <w:right w:type="dxa" w:w="80"/>
            </w:tcMar>
            <w:vAlign w:val="top"/>
          </w:tcPr>
          <w:p>
            <w:pPr>
              <w:spacing w:after="40" w:line="240"/>
              <w:jc w:val="left"/>
            </w:pPr>
            <w:r>
              <w:rPr>
                <w:sz w:val="13"/>
                <w:szCs w:val="13"/>
              </w:rPr>
              <w:t xml:space="preserve">☑ hecho</w:t>
            </w:r>
          </w:p>
        </w:tc>
        <w:tc>
          <w:tcPr>
            <w:tcW w:type="dxa" w:w="4536"/>
            <w:tcMar>
              <w:top w:type="dxa" w:w="60"/>
              <w:left w:type="dxa" w:w="80"/>
              <w:bottom w:type="dxa" w:w="60"/>
              <w:right w:type="dxa" w:w="80"/>
            </w:tcMar>
            <w:vAlign w:val="top"/>
          </w:tcPr>
          <w:p>
            <w:pPr>
              <w:spacing w:after="40" w:line="240"/>
              <w:jc w:val="left"/>
            </w:pPr>
            <w:r>
              <w:rPr>
                <w:sz w:val="13"/>
                <w:szCs w:val="13"/>
              </w:rPr>
              <w:t xml:space="preserve">Anexo A; `docs/model_card.md`</w:t>
            </w:r>
          </w:p>
        </w:tc>
      </w:tr>
      <w:tr>
        <w:trPr>
          <w:cantSplit w:val="false"/>
        </w:trPr>
        <w:tc>
          <w:tcPr>
            <w:tcW w:type="dxa" w:w="3527"/>
            <w:shd w:fill="F3F1EE" w:color="auto" w:val="clear"/>
            <w:tcMar>
              <w:top w:type="dxa" w:w="60"/>
              <w:left w:type="dxa" w:w="80"/>
              <w:bottom w:type="dxa" w:w="60"/>
              <w:right w:type="dxa" w:w="80"/>
            </w:tcMar>
            <w:vAlign w:val="top"/>
          </w:tcPr>
          <w:p>
            <w:pPr>
              <w:spacing w:after="40" w:line="240"/>
              <w:jc w:val="left"/>
            </w:pPr>
            <w:r>
              <w:rPr>
                <w:sz w:val="13"/>
                <w:szCs w:val="13"/>
              </w:rPr>
              <w:t xml:space="preserve">Documentación · Datasheet</w:t>
            </w:r>
          </w:p>
        </w:tc>
        <w:tc>
          <w:tcPr>
            <w:tcW w:type="dxa" w:w="1349"/>
            <w:shd w:fill="F3F1EE" w:color="auto" w:val="clear"/>
            <w:tcMar>
              <w:top w:type="dxa" w:w="60"/>
              <w:left w:type="dxa" w:w="80"/>
              <w:bottom w:type="dxa" w:w="60"/>
              <w:right w:type="dxa" w:w="80"/>
            </w:tcMar>
            <w:vAlign w:val="top"/>
          </w:tcPr>
          <w:p>
            <w:pPr>
              <w:spacing w:after="40" w:line="240"/>
              <w:jc w:val="left"/>
            </w:pPr>
            <w:r>
              <w:rPr>
                <w:sz w:val="13"/>
                <w:szCs w:val="13"/>
              </w:rPr>
              <w:t xml:space="preserve">☑ hecho</w:t>
            </w:r>
          </w:p>
        </w:tc>
        <w:tc>
          <w:tcPr>
            <w:tcW w:type="dxa" w:w="4536"/>
            <w:shd w:fill="F3F1EE" w:color="auto" w:val="clear"/>
            <w:tcMar>
              <w:top w:type="dxa" w:w="60"/>
              <w:left w:type="dxa" w:w="80"/>
              <w:bottom w:type="dxa" w:w="60"/>
              <w:right w:type="dxa" w:w="80"/>
            </w:tcMar>
            <w:vAlign w:val="top"/>
          </w:tcPr>
          <w:p>
            <w:pPr>
              <w:spacing w:after="40" w:line="240"/>
              <w:jc w:val="left"/>
            </w:pPr>
            <w:r>
              <w:rPr>
                <w:sz w:val="13"/>
                <w:szCs w:val="13"/>
              </w:rPr>
              <w:t xml:space="preserve">Anexo B; `docs/datasheet_corpus.md`</w:t>
            </w:r>
          </w:p>
        </w:tc>
      </w:tr>
      <w:tr>
        <w:trPr>
          <w:cantSplit w:val="false"/>
        </w:trPr>
        <w:tc>
          <w:tcPr>
            <w:tcW w:type="dxa" w:w="3527"/>
            <w:tcMar>
              <w:top w:type="dxa" w:w="60"/>
              <w:left w:type="dxa" w:w="80"/>
              <w:bottom w:type="dxa" w:w="60"/>
              <w:right w:type="dxa" w:w="80"/>
            </w:tcMar>
            <w:vAlign w:val="top"/>
          </w:tcPr>
          <w:p>
            <w:pPr>
              <w:spacing w:after="40" w:line="240"/>
              <w:jc w:val="left"/>
            </w:pPr>
            <w:r>
              <w:rPr>
                <w:sz w:val="13"/>
                <w:szCs w:val="13"/>
              </w:rPr>
              <w:t xml:space="preserve">Documentación · Ethics statement con análisis de riesgos</w:t>
            </w:r>
          </w:p>
        </w:tc>
        <w:tc>
          <w:tcPr>
            <w:tcW w:type="dxa" w:w="1349"/>
            <w:tcMar>
              <w:top w:type="dxa" w:w="60"/>
              <w:left w:type="dxa" w:w="80"/>
              <w:bottom w:type="dxa" w:w="60"/>
              <w:right w:type="dxa" w:w="80"/>
            </w:tcMar>
            <w:vAlign w:val="top"/>
          </w:tcPr>
          <w:p>
            <w:pPr>
              <w:spacing w:after="40" w:line="240"/>
              <w:jc w:val="left"/>
            </w:pPr>
            <w:r>
              <w:rPr>
                <w:sz w:val="13"/>
                <w:szCs w:val="13"/>
              </w:rPr>
              <w:t xml:space="preserve">☑ hecho</w:t>
            </w:r>
          </w:p>
        </w:tc>
        <w:tc>
          <w:tcPr>
            <w:tcW w:type="dxa" w:w="4536"/>
            <w:tcMar>
              <w:top w:type="dxa" w:w="60"/>
              <w:left w:type="dxa" w:w="80"/>
              <w:bottom w:type="dxa" w:w="60"/>
              <w:right w:type="dxa" w:w="80"/>
            </w:tcMar>
            <w:vAlign w:val="top"/>
          </w:tcPr>
          <w:p>
            <w:pPr>
              <w:spacing w:after="40" w:line="240"/>
              <w:jc w:val="left"/>
            </w:pPr>
            <w:r>
              <w:rPr>
                <w:sz w:val="13"/>
                <w:szCs w:val="13"/>
              </w:rPr>
              <w:t xml:space="preserve">Este documento (`docs/semana4/`)</w:t>
            </w:r>
          </w:p>
        </w:tc>
      </w:tr>
      <w:tr>
        <w:trPr>
          <w:cantSplit w:val="false"/>
        </w:trPr>
        <w:tc>
          <w:tcPr>
            <w:tcW w:type="dxa" w:w="3527"/>
            <w:shd w:fill="F3F1EE" w:color="auto" w:val="clear"/>
            <w:tcMar>
              <w:top w:type="dxa" w:w="60"/>
              <w:left w:type="dxa" w:w="80"/>
              <w:bottom w:type="dxa" w:w="60"/>
              <w:right w:type="dxa" w:w="80"/>
            </w:tcMar>
            <w:vAlign w:val="top"/>
          </w:tcPr>
          <w:p>
            <w:pPr>
              <w:spacing w:after="40" w:line="240"/>
              <w:jc w:val="left"/>
            </w:pPr>
            <w:r>
              <w:rPr>
                <w:sz w:val="13"/>
                <w:szCs w:val="13"/>
              </w:rPr>
              <w:t xml:space="preserve">Supervisión · Revisión humana en decisiones críticas</w:t>
            </w:r>
          </w:p>
        </w:tc>
        <w:tc>
          <w:tcPr>
            <w:tcW w:type="dxa" w:w="1349"/>
            <w:shd w:fill="F3F1EE" w:color="auto" w:val="clear"/>
            <w:tcMar>
              <w:top w:type="dxa" w:w="60"/>
              <w:left w:type="dxa" w:w="80"/>
              <w:bottom w:type="dxa" w:w="60"/>
              <w:right w:type="dxa" w:w="80"/>
            </w:tcMar>
            <w:vAlign w:val="top"/>
          </w:tcPr>
          <w:p>
            <w:pPr>
              <w:spacing w:after="40" w:line="240"/>
              <w:jc w:val="left"/>
            </w:pPr>
            <w:r>
              <w:rPr>
                <w:sz w:val="13"/>
                <w:szCs w:val="13"/>
              </w:rPr>
              <w:t xml:space="preserve">☑ hecho</w:t>
            </w:r>
          </w:p>
        </w:tc>
        <w:tc>
          <w:tcPr>
            <w:tcW w:type="dxa" w:w="4536"/>
            <w:shd w:fill="F3F1EE" w:color="auto" w:val="clear"/>
            <w:tcMar>
              <w:top w:type="dxa" w:w="60"/>
              <w:left w:type="dxa" w:w="80"/>
              <w:bottom w:type="dxa" w:w="60"/>
              <w:right w:type="dxa" w:w="80"/>
            </w:tcMar>
            <w:vAlign w:val="top"/>
          </w:tcPr>
          <w:p>
            <w:pPr>
              <w:spacing w:after="40" w:line="240"/>
              <w:jc w:val="left"/>
            </w:pPr>
            <w:r>
              <w:rPr>
                <w:sz w:val="13"/>
                <w:szCs w:val="13"/>
              </w:rPr>
              <w:t xml:space="preserve">Regla de gobernanza: confianza &lt; 0.50, países &lt; 20 normas, idiomas pt/en/fr</w:t>
            </w:r>
          </w:p>
        </w:tc>
      </w:tr>
      <w:tr>
        <w:trPr>
          <w:cantSplit w:val="false"/>
        </w:trPr>
        <w:tc>
          <w:tcPr>
            <w:tcW w:type="dxa" w:w="3527"/>
            <w:tcMar>
              <w:top w:type="dxa" w:w="60"/>
              <w:left w:type="dxa" w:w="80"/>
              <w:bottom w:type="dxa" w:w="60"/>
              <w:right w:type="dxa" w:w="80"/>
            </w:tcMar>
            <w:vAlign w:val="top"/>
          </w:tcPr>
          <w:p>
            <w:pPr>
              <w:spacing w:after="40" w:line="240"/>
              <w:jc w:val="left"/>
            </w:pPr>
            <w:r>
              <w:rPr>
                <w:sz w:val="13"/>
                <w:szCs w:val="13"/>
              </w:rPr>
              <w:t xml:space="preserve">Supervisión · Proceso de apelación</w:t>
            </w:r>
          </w:p>
        </w:tc>
        <w:tc>
          <w:tcPr>
            <w:tcW w:type="dxa" w:w="1349"/>
            <w:tcMar>
              <w:top w:type="dxa" w:w="60"/>
              <w:left w:type="dxa" w:w="80"/>
              <w:bottom w:type="dxa" w:w="60"/>
              <w:right w:type="dxa" w:w="80"/>
            </w:tcMar>
            <w:vAlign w:val="top"/>
          </w:tcPr>
          <w:p>
            <w:pPr>
              <w:spacing w:after="40" w:line="240"/>
              <w:jc w:val="left"/>
            </w:pPr>
            <w:r>
              <w:rPr>
                <w:sz w:val="13"/>
                <w:szCs w:val="13"/>
              </w:rPr>
              <w:t xml:space="preserve">☐ pendiente</w:t>
            </w:r>
          </w:p>
        </w:tc>
        <w:tc>
          <w:tcPr>
            <w:tcW w:type="dxa" w:w="4536"/>
            <w:tcMar>
              <w:top w:type="dxa" w:w="60"/>
              <w:left w:type="dxa" w:w="80"/>
              <w:bottom w:type="dxa" w:w="60"/>
              <w:right w:type="dxa" w:w="80"/>
            </w:tcMar>
            <w:vAlign w:val="top"/>
          </w:tcPr>
          <w:p>
            <w:pPr>
              <w:spacing w:after="40" w:line="240"/>
              <w:jc w:val="left"/>
            </w:pPr>
            <w:r>
              <w:rPr>
                <w:sz w:val="13"/>
                <w:szCs w:val="13"/>
              </w:rPr>
              <w:t xml:space="preserve">Canal para países/IES y hoja de tipificación interna (E6)</w:t>
            </w:r>
          </w:p>
        </w:tc>
      </w:tr>
      <w:tr>
        <w:trPr>
          <w:cantSplit w:val="false"/>
        </w:trPr>
        <w:tc>
          <w:tcPr>
            <w:tcW w:type="dxa" w:w="3527"/>
            <w:shd w:fill="F3F1EE" w:color="auto" w:val="clear"/>
            <w:tcMar>
              <w:top w:type="dxa" w:w="60"/>
              <w:left w:type="dxa" w:w="80"/>
              <w:bottom w:type="dxa" w:w="60"/>
              <w:right w:type="dxa" w:w="80"/>
            </w:tcMar>
            <w:vAlign w:val="top"/>
          </w:tcPr>
          <w:p>
            <w:pPr>
              <w:spacing w:after="40" w:line="240"/>
              <w:jc w:val="left"/>
            </w:pPr>
            <w:r>
              <w:rPr>
                <w:sz w:val="13"/>
                <w:szCs w:val="13"/>
              </w:rPr>
              <w:t xml:space="preserve">Supervisión · Auditoría periódica</w:t>
            </w:r>
          </w:p>
        </w:tc>
        <w:tc>
          <w:tcPr>
            <w:tcW w:type="dxa" w:w="1349"/>
            <w:shd w:fill="F3F1EE" w:color="auto" w:val="clear"/>
            <w:tcMar>
              <w:top w:type="dxa" w:w="60"/>
              <w:left w:type="dxa" w:w="80"/>
              <w:bottom w:type="dxa" w:w="60"/>
              <w:right w:type="dxa" w:w="80"/>
            </w:tcMar>
            <w:vAlign w:val="top"/>
          </w:tcPr>
          <w:p>
            <w:pPr>
              <w:spacing w:after="40" w:line="240"/>
              <w:jc w:val="left"/>
            </w:pPr>
            <w:r>
              <w:rPr>
                <w:sz w:val="13"/>
                <w:szCs w:val="13"/>
              </w:rPr>
              <w:t xml:space="preserve">☑ definido</w:t>
            </w:r>
          </w:p>
        </w:tc>
        <w:tc>
          <w:tcPr>
            <w:tcW w:type="dxa" w:w="4536"/>
            <w:shd w:fill="F3F1EE" w:color="auto" w:val="clear"/>
            <w:tcMar>
              <w:top w:type="dxa" w:w="60"/>
              <w:left w:type="dxa" w:w="80"/>
              <w:bottom w:type="dxa" w:w="60"/>
              <w:right w:type="dxa" w:w="80"/>
            </w:tcMar>
            <w:vAlign w:val="top"/>
          </w:tcPr>
          <w:p>
            <w:pPr>
              <w:spacing w:after="40" w:line="240"/>
              <w:jc w:val="left"/>
            </w:pPr>
            <w:r>
              <w:rPr>
                <w:sz w:val="13"/>
                <w:szCs w:val="13"/>
              </w:rPr>
              <w:t xml:space="preserve">Frecuencia: en cada actualización del corpus y al menos anual (`fairness_grupos.py`)</w:t>
            </w:r>
          </w:p>
        </w:tc>
      </w:tr>
      <w:tr>
        <w:trPr>
          <w:cantSplit w:val="false"/>
        </w:trPr>
        <w:tc>
          <w:tcPr>
            <w:tcW w:type="dxa" w:w="3527"/>
            <w:tcMar>
              <w:top w:type="dxa" w:w="60"/>
              <w:left w:type="dxa" w:w="80"/>
              <w:bottom w:type="dxa" w:w="60"/>
              <w:right w:type="dxa" w:w="80"/>
            </w:tcMar>
            <w:vAlign w:val="top"/>
          </w:tcPr>
          <w:p>
            <w:pPr>
              <w:spacing w:after="40" w:line="240"/>
              <w:jc w:val="left"/>
            </w:pPr>
            <w:r>
              <w:rPr>
                <w:sz w:val="13"/>
                <w:szCs w:val="13"/>
              </w:rPr>
              <w:t xml:space="preserve">Monitoreo · Métricas de fairness trackeadas</w:t>
            </w:r>
          </w:p>
        </w:tc>
        <w:tc>
          <w:tcPr>
            <w:tcW w:type="dxa" w:w="1349"/>
            <w:tcMar>
              <w:top w:type="dxa" w:w="60"/>
              <w:left w:type="dxa" w:w="80"/>
              <w:bottom w:type="dxa" w:w="60"/>
              <w:right w:type="dxa" w:w="80"/>
            </w:tcMar>
            <w:vAlign w:val="top"/>
          </w:tcPr>
          <w:p>
            <w:pPr>
              <w:spacing w:after="40" w:line="240"/>
              <w:jc w:val="left"/>
            </w:pPr>
            <w:r>
              <w:rPr>
                <w:sz w:val="13"/>
                <w:szCs w:val="13"/>
              </w:rPr>
              <w:t xml:space="preserve">☑ hecho</w:t>
            </w:r>
          </w:p>
        </w:tc>
        <w:tc>
          <w:tcPr>
            <w:tcW w:type="dxa" w:w="4536"/>
            <w:tcMar>
              <w:top w:type="dxa" w:w="60"/>
              <w:left w:type="dxa" w:w="80"/>
              <w:bottom w:type="dxa" w:w="60"/>
              <w:right w:type="dxa" w:w="80"/>
            </w:tcMar>
            <w:vAlign w:val="top"/>
          </w:tcPr>
          <w:p>
            <w:pPr>
              <w:spacing w:after="40" w:line="240"/>
              <w:jc w:val="left"/>
            </w:pPr>
            <w:r>
              <w:rPr>
                <w:sz w:val="13"/>
                <w:szCs w:val="13"/>
              </w:rPr>
              <w:t xml:space="preserve">`results/fairness/fairness_grupos.csv` por versión</w:t>
            </w:r>
          </w:p>
        </w:tc>
      </w:tr>
      <w:tr>
        <w:trPr>
          <w:cantSplit w:val="false"/>
        </w:trPr>
        <w:tc>
          <w:tcPr>
            <w:tcW w:type="dxa" w:w="3527"/>
            <w:shd w:fill="F3F1EE" w:color="auto" w:val="clear"/>
            <w:tcMar>
              <w:top w:type="dxa" w:w="60"/>
              <w:left w:type="dxa" w:w="80"/>
              <w:bottom w:type="dxa" w:w="60"/>
              <w:right w:type="dxa" w:w="80"/>
            </w:tcMar>
            <w:vAlign w:val="top"/>
          </w:tcPr>
          <w:p>
            <w:pPr>
              <w:spacing w:after="40" w:line="240"/>
              <w:jc w:val="left"/>
            </w:pPr>
            <w:r>
              <w:rPr>
                <w:sz w:val="13"/>
                <w:szCs w:val="13"/>
              </w:rPr>
              <w:t xml:space="preserve">Monitoreo · Alertas por deriva o anomalías</w:t>
            </w:r>
          </w:p>
        </w:tc>
        <w:tc>
          <w:tcPr>
            <w:tcW w:type="dxa" w:w="1349"/>
            <w:shd w:fill="F3F1EE" w:color="auto" w:val="clear"/>
            <w:tcMar>
              <w:top w:type="dxa" w:w="60"/>
              <w:left w:type="dxa" w:w="80"/>
              <w:bottom w:type="dxa" w:w="60"/>
              <w:right w:type="dxa" w:w="80"/>
            </w:tcMar>
            <w:vAlign w:val="top"/>
          </w:tcPr>
          <w:p>
            <w:pPr>
              <w:spacing w:after="40" w:line="240"/>
              <w:jc w:val="left"/>
            </w:pPr>
            <w:r>
              <w:rPr>
                <w:sz w:val="13"/>
                <w:szCs w:val="13"/>
              </w:rPr>
              <w:t xml:space="preserve">☐ pendiente</w:t>
            </w:r>
          </w:p>
        </w:tc>
        <w:tc>
          <w:tcPr>
            <w:tcW w:type="dxa" w:w="4536"/>
            <w:shd w:fill="F3F1EE" w:color="auto" w:val="clear"/>
            <w:tcMar>
              <w:top w:type="dxa" w:w="60"/>
              <w:left w:type="dxa" w:w="80"/>
              <w:bottom w:type="dxa" w:w="60"/>
              <w:right w:type="dxa" w:w="80"/>
            </w:tcMar>
            <w:vAlign w:val="top"/>
          </w:tcPr>
          <w:p>
            <w:pPr>
              <w:spacing w:after="40" w:line="240"/>
              <w:jc w:val="left"/>
            </w:pPr>
            <w:r>
              <w:rPr>
                <w:sz w:val="13"/>
                <w:szCs w:val="13"/>
              </w:rPr>
              <w:t xml:space="preserve">Comparación de distribuciones entre versiones (E5)</w:t>
            </w:r>
          </w:p>
        </w:tc>
      </w:tr>
      <w:tr>
        <w:trPr>
          <w:cantSplit w:val="false"/>
        </w:trPr>
        <w:tc>
          <w:tcPr>
            <w:tcW w:type="dxa" w:w="3527"/>
            <w:tcMar>
              <w:top w:type="dxa" w:w="60"/>
              <w:left w:type="dxa" w:w="80"/>
              <w:bottom w:type="dxa" w:w="60"/>
              <w:right w:type="dxa" w:w="80"/>
            </w:tcMar>
            <w:vAlign w:val="top"/>
          </w:tcPr>
          <w:p>
            <w:pPr>
              <w:spacing w:after="40" w:line="240"/>
              <w:jc w:val="left"/>
            </w:pPr>
            <w:r>
              <w:rPr>
                <w:sz w:val="13"/>
                <w:szCs w:val="13"/>
              </w:rPr>
              <w:t xml:space="preserve">Monitoreo · Reportes de incidentes</w:t>
            </w:r>
          </w:p>
        </w:tc>
        <w:tc>
          <w:tcPr>
            <w:tcW w:type="dxa" w:w="1349"/>
            <w:tcMar>
              <w:top w:type="dxa" w:w="60"/>
              <w:left w:type="dxa" w:w="80"/>
              <w:bottom w:type="dxa" w:w="60"/>
              <w:right w:type="dxa" w:w="80"/>
            </w:tcMar>
            <w:vAlign w:val="top"/>
          </w:tcPr>
          <w:p>
            <w:pPr>
              <w:spacing w:after="40" w:line="240"/>
              <w:jc w:val="left"/>
            </w:pPr>
            <w:r>
              <w:rPr>
                <w:sz w:val="13"/>
                <w:szCs w:val="13"/>
              </w:rPr>
              <w:t xml:space="preserve">☐ pendiente</w:t>
            </w:r>
          </w:p>
        </w:tc>
        <w:tc>
          <w:tcPr>
            <w:tcW w:type="dxa" w:w="4536"/>
            <w:tcMar>
              <w:top w:type="dxa" w:w="60"/>
              <w:left w:type="dxa" w:w="80"/>
              <w:bottom w:type="dxa" w:w="60"/>
              <w:right w:type="dxa" w:w="80"/>
            </w:tcMar>
            <w:vAlign w:val="top"/>
          </w:tcPr>
          <w:p>
            <w:pPr>
              <w:spacing w:after="40" w:line="240"/>
              <w:jc w:val="left"/>
            </w:pPr>
            <w:r>
              <w:rPr>
                <w:sz w:val="13"/>
                <w:szCs w:val="13"/>
              </w:rPr>
              <w:t xml:space="preserve">Registro público de correcciones del IMN</w:t>
            </w:r>
          </w:p>
        </w:tc>
      </w:tr>
      <w:tr>
        <w:trPr>
          <w:cantSplit w:val="false"/>
        </w:trPr>
        <w:tc>
          <w:tcPr>
            <w:tcW w:type="dxa" w:w="3527"/>
            <w:shd w:fill="F3F1EE" w:color="auto" w:val="clear"/>
            <w:tcMar>
              <w:top w:type="dxa" w:w="60"/>
              <w:left w:type="dxa" w:w="80"/>
              <w:bottom w:type="dxa" w:w="60"/>
              <w:right w:type="dxa" w:w="80"/>
            </w:tcMar>
            <w:vAlign w:val="top"/>
          </w:tcPr>
          <w:p>
            <w:pPr>
              <w:spacing w:after="40" w:line="240"/>
              <w:jc w:val="left"/>
            </w:pPr>
            <w:r>
              <w:rPr>
                <w:sz w:val="13"/>
                <w:szCs w:val="13"/>
              </w:rPr>
              <w:t xml:space="preserve">Transparencia · Información clara sobre uso de IA</w:t>
            </w:r>
          </w:p>
        </w:tc>
        <w:tc>
          <w:tcPr>
            <w:tcW w:type="dxa" w:w="1349"/>
            <w:shd w:fill="F3F1EE" w:color="auto" w:val="clear"/>
            <w:tcMar>
              <w:top w:type="dxa" w:w="60"/>
              <w:left w:type="dxa" w:w="80"/>
              <w:bottom w:type="dxa" w:w="60"/>
              <w:right w:type="dxa" w:w="80"/>
            </w:tcMar>
            <w:vAlign w:val="top"/>
          </w:tcPr>
          <w:p>
            <w:pPr>
              <w:spacing w:after="40" w:line="240"/>
              <w:jc w:val="left"/>
            </w:pPr>
            <w:r>
              <w:rPr>
                <w:sz w:val="13"/>
                <w:szCs w:val="13"/>
              </w:rPr>
              <w:t xml:space="preserve">☑ hecho</w:t>
            </w:r>
          </w:p>
        </w:tc>
        <w:tc>
          <w:tcPr>
            <w:tcW w:type="dxa" w:w="4536"/>
            <w:shd w:fill="F3F1EE" w:color="auto" w:val="clear"/>
            <w:tcMar>
              <w:top w:type="dxa" w:w="60"/>
              <w:left w:type="dxa" w:w="80"/>
              <w:bottom w:type="dxa" w:w="60"/>
              <w:right w:type="dxa" w:w="80"/>
            </w:tcMar>
            <w:vAlign w:val="top"/>
          </w:tcPr>
          <w:p>
            <w:pPr>
              <w:spacing w:after="40" w:line="240"/>
              <w:jc w:val="left"/>
            </w:pPr>
            <w:r>
              <w:rPr>
                <w:sz w:val="13"/>
                <w:szCs w:val="13"/>
              </w:rPr>
              <w:t xml:space="preserve">README, documento técnico, nota «codificadas por modelo» en el IMN</w:t>
            </w:r>
          </w:p>
        </w:tc>
      </w:tr>
      <w:tr>
        <w:trPr>
          <w:cantSplit w:val="false"/>
        </w:trPr>
        <w:tc>
          <w:tcPr>
            <w:tcW w:type="dxa" w:w="3527"/>
            <w:tcMar>
              <w:top w:type="dxa" w:w="60"/>
              <w:left w:type="dxa" w:w="80"/>
              <w:bottom w:type="dxa" w:w="60"/>
              <w:right w:type="dxa" w:w="80"/>
            </w:tcMar>
            <w:vAlign w:val="top"/>
          </w:tcPr>
          <w:p>
            <w:pPr>
              <w:spacing w:after="40" w:line="240"/>
              <w:jc w:val="left"/>
            </w:pPr>
            <w:r>
              <w:rPr>
                <w:sz w:val="13"/>
                <w:szCs w:val="13"/>
              </w:rPr>
              <w:t xml:space="preserve">Transparencia · Comunicación de limitaciones</w:t>
            </w:r>
          </w:p>
        </w:tc>
        <w:tc>
          <w:tcPr>
            <w:tcW w:type="dxa" w:w="1349"/>
            <w:tcMar>
              <w:top w:type="dxa" w:w="60"/>
              <w:left w:type="dxa" w:w="80"/>
              <w:bottom w:type="dxa" w:w="60"/>
              <w:right w:type="dxa" w:w="80"/>
            </w:tcMar>
            <w:vAlign w:val="top"/>
          </w:tcPr>
          <w:p>
            <w:pPr>
              <w:spacing w:after="40" w:line="240"/>
              <w:jc w:val="left"/>
            </w:pPr>
            <w:r>
              <w:rPr>
                <w:sz w:val="13"/>
                <w:szCs w:val="13"/>
              </w:rPr>
              <w:t xml:space="preserve">☑ hecho</w:t>
            </w:r>
          </w:p>
        </w:tc>
        <w:tc>
          <w:tcPr>
            <w:tcW w:type="dxa" w:w="4536"/>
            <w:tcMar>
              <w:top w:type="dxa" w:w="60"/>
              <w:left w:type="dxa" w:w="80"/>
              <w:bottom w:type="dxa" w:w="60"/>
              <w:right w:type="dxa" w:w="80"/>
            </w:tcMar>
            <w:vAlign w:val="top"/>
          </w:tcPr>
          <w:p>
            <w:pPr>
              <w:spacing w:after="40" w:line="240"/>
              <w:jc w:val="left"/>
            </w:pPr>
            <w:r>
              <w:rPr>
                <w:sz w:val="13"/>
                <w:szCs w:val="13"/>
              </w:rPr>
              <w:t xml:space="preserve">Semáforo de umbrales no alcanzados; model card §9</w:t>
            </w:r>
          </w:p>
        </w:tc>
      </w:tr>
      <w:tr>
        <w:trPr>
          <w:cantSplit w:val="false"/>
        </w:trPr>
        <w:tc>
          <w:tcPr>
            <w:tcW w:type="dxa" w:w="3527"/>
            <w:shd w:fill="F3F1EE" w:color="auto" w:val="clear"/>
            <w:tcMar>
              <w:top w:type="dxa" w:w="60"/>
              <w:left w:type="dxa" w:w="80"/>
              <w:bottom w:type="dxa" w:w="60"/>
              <w:right w:type="dxa" w:w="80"/>
            </w:tcMar>
            <w:vAlign w:val="top"/>
          </w:tcPr>
          <w:p>
            <w:pPr>
              <w:spacing w:after="40" w:line="240"/>
              <w:jc w:val="left"/>
            </w:pPr>
            <w:r>
              <w:rPr>
                <w:sz w:val="13"/>
                <w:szCs w:val="13"/>
              </w:rPr>
              <w:t xml:space="preserve">Transparencia · Acceso a explicaciones</w:t>
            </w:r>
          </w:p>
        </w:tc>
        <w:tc>
          <w:tcPr>
            <w:tcW w:type="dxa" w:w="1349"/>
            <w:shd w:fill="F3F1EE" w:color="auto" w:val="clear"/>
            <w:tcMar>
              <w:top w:type="dxa" w:w="60"/>
              <w:left w:type="dxa" w:w="80"/>
              <w:bottom w:type="dxa" w:w="60"/>
              <w:right w:type="dxa" w:w="80"/>
            </w:tcMar>
            <w:vAlign w:val="top"/>
          </w:tcPr>
          <w:p>
            <w:pPr>
              <w:spacing w:after="40" w:line="240"/>
              <w:jc w:val="left"/>
            </w:pPr>
            <w:r>
              <w:rPr>
                <w:sz w:val="13"/>
                <w:szCs w:val="13"/>
              </w:rPr>
              <w:t xml:space="preserve">☑ hecho</w:t>
            </w:r>
          </w:p>
        </w:tc>
        <w:tc>
          <w:tcPr>
            <w:tcW w:type="dxa" w:w="4536"/>
            <w:shd w:fill="F3F1EE" w:color="auto" w:val="clear"/>
            <w:tcMar>
              <w:top w:type="dxa" w:w="60"/>
              <w:left w:type="dxa" w:w="80"/>
              <w:bottom w:type="dxa" w:w="60"/>
              <w:right w:type="dxa" w:w="80"/>
            </w:tcMar>
            <w:vAlign w:val="top"/>
          </w:tcPr>
          <w:p>
            <w:pPr>
              <w:spacing w:after="40" w:line="240"/>
              <w:jc w:val="left"/>
            </w:pPr>
            <w:r>
              <w:rPr>
                <w:sz w:val="13"/>
                <w:szCs w:val="13"/>
              </w:rPr>
              <w:t xml:space="preserve">Términos por dimensión, probabilidad y segunda candidata por norma</w:t>
            </w:r>
          </w:p>
        </w:tc>
      </w:tr>
    </w:tbl>
    <w:p>
      <w:pPr>
        <w:pStyle w:val="Heading3"/>
        <w:keepNext/>
        <w:spacing w:after="80" w:before="200"/>
      </w:pPr>
      <w:r>
        <w:t xml:space="preserve">6.3 Plan de respuesta a incidentes</w:t>
      </w:r>
    </w:p>
    <w:p>
      <w:pPr>
        <w:pStyle w:val="ListParagraph"/>
        <w:numPr>
          <w:ilvl w:val="0"/>
          <w:numId w:val="3"/>
        </w:numPr>
        <w:spacing w:after="60" w:line="264"/>
        <w:jc w:val="both"/>
      </w:pPr>
      <w:r>
        <w:rPr>
          <w:b/>
          <w:bCs/>
        </w:rPr>
        <w:t xml:space="preserve">Detección.</w:t>
      </w:r>
      <w:r>
        <w:t xml:space="preserve"> Auditoría por grupo en cada versión (razón &lt; 0.8 dispara alerta); muestreo del 10 % de aceptaciones; reclamaciones por el canal de apelación; discrepancia entre κ humano-humano y κ modelo-humano.</w:t>
      </w:r>
    </w:p>
    <w:p>
      <w:pPr>
        <w:pStyle w:val="ListParagraph"/>
        <w:numPr>
          <w:ilvl w:val="0"/>
          <w:numId w:val="3"/>
        </w:numPr>
        <w:spacing w:after="60" w:line="264"/>
        <w:jc w:val="both"/>
      </w:pPr>
      <w:r>
        <w:rPr>
          <w:b/>
          <w:bCs/>
        </w:rPr>
        <w:t xml:space="preserve">Respuesta inmediata.</w:t>
      </w:r>
      <w:r>
        <w:t xml:space="preserve"> Congelar la publicación del IMN para la jurisdicción o dimensión afectada; marcar las normas implicadas como «pendientes de revisión humana»; comunicar a la coordinación en 48 horas.</w:t>
      </w:r>
    </w:p>
    <w:p>
      <w:pPr>
        <w:pStyle w:val="ListParagraph"/>
        <w:numPr>
          <w:ilvl w:val="0"/>
          <w:numId w:val="3"/>
        </w:numPr>
        <w:spacing w:after="60" w:line="264"/>
        <w:jc w:val="both"/>
      </w:pPr>
      <w:r>
        <w:rPr>
          <w:b/>
          <w:bCs/>
        </w:rPr>
        <w:t xml:space="preserve">Investigación.</w:t>
      </w:r>
      <w:r>
        <w:t xml:space="preserve"> Reproducir el resultado con el hash y la versión registrados; localizar el origen (datos, etiqueta, modelo, versión del LLM, deriva) con la hoja de tipificación y los historiales del tracker.</w:t>
      </w:r>
    </w:p>
    <w:p>
      <w:pPr>
        <w:pStyle w:val="ListParagraph"/>
        <w:numPr>
          <w:ilvl w:val="0"/>
          <w:numId w:val="3"/>
        </w:numPr>
        <w:spacing w:after="60" w:line="264"/>
        <w:jc w:val="both"/>
      </w:pPr>
      <w:r>
        <w:rPr>
          <w:b/>
          <w:bCs/>
        </w:rPr>
        <w:t xml:space="preserve">Corrección.</w:t>
      </w:r>
      <w:r>
        <w:t xml:space="preserve"> Recodificación humana de las normas afectadas; reentrenamiento si el origen es el modelo; publicación de la corrección con fecha y alcance en el registro de incidentes.</w:t>
      </w:r>
    </w:p>
    <w:p>
      <w:pPr>
        <w:pStyle w:val="ListParagraph"/>
        <w:numPr>
          <w:ilvl w:val="0"/>
          <w:numId w:val="3"/>
        </w:numPr>
        <w:spacing w:after="60" w:line="264"/>
        <w:jc w:val="both"/>
      </w:pPr>
      <w:r>
        <w:rPr>
          <w:b/>
          <w:bCs/>
        </w:rPr>
        <w:t xml:space="preserve">Prevención.</w:t>
      </w:r>
      <w:r>
        <w:t xml:space="preserve"> Añadir el caso como prueba de regresión; ajustar la regla de gobernanza o el umbral; actualizar model card y datasheet; revisar el protocolo con los codificadores.</w:t>
      </w:r>
    </w:p>
    <w:p>
      <w:pPr>
        <w:pStyle w:val="Heading2"/>
        <w:keepNext/>
        <w:spacing w:after="120" w:before="280"/>
      </w:pPr>
      <w:r>
        <w:t xml:space="preserve">Parte 7. Consideraciones de compliance</w:t>
      </w:r>
    </w:p>
    <w:p>
      <w:pPr>
        <w:keepNext/>
        <w:spacing w:after="80" w:before="160"/>
        <w:jc w:val="left"/>
      </w:pPr>
      <w:r>
        <w:rPr>
          <w:b/>
          <w:bCs/>
          <w:color w:val="6E6862"/>
          <w:sz w:val="18"/>
          <w:szCs w:val="18"/>
        </w:rPr>
        <w:t xml:space="preserve">Tabla 5.</w:t>
      </w:r>
      <w:r>
        <w:rPr>
          <w:color w:val="6E6862"/>
          <w:sz w:val="18"/>
          <w:szCs w:val="18"/>
        </w:rPr>
        <w:t xml:space="preserve"> Regulaciones aplicables, requisitos, cumplimiento y cambios necesarios.</w:t>
      </w:r>
    </w:p>
    <w:tbl>
      <w:tblPr>
        <w:tblW w:type="dxa" w:w="9412"/>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1971"/>
        <w:gridCol w:w="2179"/>
        <w:gridCol w:w="1971"/>
        <w:gridCol w:w="1556"/>
        <w:gridCol w:w="1735"/>
      </w:tblGrid>
      <w:tr>
        <w:trPr>
          <w:cantSplit/>
          <w:tblHeader/>
        </w:trPr>
        <w:tc>
          <w:tcPr>
            <w:tcW w:type="dxa" w:w="1971"/>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Regulación</w:t>
            </w:r>
          </w:p>
        </w:tc>
        <w:tc>
          <w:tcPr>
            <w:tcW w:type="dxa" w:w="2179"/>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¿Aplica?</w:t>
            </w:r>
          </w:p>
        </w:tc>
        <w:tc>
          <w:tcPr>
            <w:tcW w:type="dxa" w:w="1971"/>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Qué requiere</w:t>
            </w:r>
          </w:p>
        </w:tc>
        <w:tc>
          <w:tcPr>
            <w:tcW w:type="dxa" w:w="1556"/>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¿Cumple?</w:t>
            </w:r>
          </w:p>
        </w:tc>
        <w:tc>
          <w:tcPr>
            <w:tcW w:type="dxa" w:w="1735"/>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Cambios necesarios</w:t>
            </w:r>
          </w:p>
        </w:tc>
      </w:tr>
      <w:tr>
        <w:trPr>
          <w:cantSplit w:val="false"/>
        </w:trPr>
        <w:tc>
          <w:tcPr>
            <w:tcW w:type="dxa" w:w="1971"/>
            <w:tcMar>
              <w:top w:type="dxa" w:w="60"/>
              <w:left w:type="dxa" w:w="80"/>
              <w:bottom w:type="dxa" w:w="60"/>
              <w:right w:type="dxa" w:w="80"/>
            </w:tcMar>
            <w:vAlign w:val="top"/>
          </w:tcPr>
          <w:p>
            <w:pPr>
              <w:spacing w:after="40" w:line="240"/>
              <w:jc w:val="left"/>
            </w:pPr>
            <w:r>
              <w:rPr>
                <w:b/>
                <w:bCs/>
                <w:sz w:val="13"/>
                <w:szCs w:val="13"/>
              </w:rPr>
              <w:t xml:space="preserve">RGPD (UE) [10]</w:t>
            </w:r>
          </w:p>
        </w:tc>
        <w:tc>
          <w:tcPr>
            <w:tcW w:type="dxa" w:w="2179"/>
            <w:tcMar>
              <w:top w:type="dxa" w:w="60"/>
              <w:left w:type="dxa" w:w="80"/>
              <w:bottom w:type="dxa" w:w="60"/>
              <w:right w:type="dxa" w:w="80"/>
            </w:tcMar>
            <w:vAlign w:val="top"/>
          </w:tcPr>
          <w:p>
            <w:pPr>
              <w:spacing w:after="40" w:line="240"/>
              <w:jc w:val="left"/>
            </w:pPr>
            <w:r>
              <w:rPr>
                <w:sz w:val="13"/>
                <w:szCs w:val="13"/>
              </w:rPr>
              <w:t xml:space="preserve">Parcialmente: la coordinación general está en Francia y el corpus contiene nombres de codificadores (datos personales de identificables, algunos ciudadanos UE)</w:t>
            </w:r>
          </w:p>
        </w:tc>
        <w:tc>
          <w:tcPr>
            <w:tcW w:type="dxa" w:w="1971"/>
            <w:tcMar>
              <w:top w:type="dxa" w:w="60"/>
              <w:left w:type="dxa" w:w="80"/>
              <w:bottom w:type="dxa" w:w="60"/>
              <w:right w:type="dxa" w:w="80"/>
            </w:tcMar>
            <w:vAlign w:val="top"/>
          </w:tcPr>
          <w:p>
            <w:pPr>
              <w:spacing w:after="40" w:line="240"/>
              <w:jc w:val="left"/>
            </w:pPr>
            <w:r>
              <w:rPr>
                <w:sz w:val="13"/>
                <w:szCs w:val="13"/>
              </w:rPr>
              <w:t xml:space="preserve">Base jurídica, minimización, información al interesado, seguridad; no hay decisiones automatizadas sobre personas (art. 22 no aplica) [11]</w:t>
            </w:r>
          </w:p>
        </w:tc>
        <w:tc>
          <w:tcPr>
            <w:tcW w:type="dxa" w:w="1556"/>
            <w:tcMar>
              <w:top w:type="dxa" w:w="60"/>
              <w:left w:type="dxa" w:w="80"/>
              <w:bottom w:type="dxa" w:w="60"/>
              <w:right w:type="dxa" w:w="80"/>
            </w:tcMar>
            <w:vAlign w:val="top"/>
          </w:tcPr>
          <w:p>
            <w:pPr>
              <w:spacing w:after="40" w:line="240"/>
              <w:jc w:val="left"/>
            </w:pPr>
            <w:r>
              <w:rPr>
                <w:sz w:val="13"/>
                <w:szCs w:val="13"/>
              </w:rPr>
              <w:t xml:space="preserve">En gran parte: nombres excluidos del modelo y de publicaciones; corpus no redistribuido</w:t>
            </w:r>
          </w:p>
        </w:tc>
        <w:tc>
          <w:tcPr>
            <w:tcW w:type="dxa" w:w="1735"/>
            <w:tcMar>
              <w:top w:type="dxa" w:w="60"/>
              <w:left w:type="dxa" w:w="80"/>
              <w:bottom w:type="dxa" w:w="60"/>
              <w:right w:type="dxa" w:w="80"/>
            </w:tcMar>
            <w:vAlign w:val="top"/>
          </w:tcPr>
          <w:p>
            <w:pPr>
              <w:spacing w:after="40" w:line="240"/>
              <w:jc w:val="left"/>
            </w:pPr>
            <w:r>
              <w:rPr>
                <w:sz w:val="13"/>
                <w:szCs w:val="13"/>
              </w:rPr>
              <w:t xml:space="preserve">Nota informativa a los codificadores sobre el uso en la tesis; confirmar con la coordinación la base jurídica del tratamiento</w:t>
            </w:r>
          </w:p>
        </w:tc>
      </w:tr>
      <w:tr>
        <w:trPr>
          <w:cantSplit w:val="false"/>
        </w:trPr>
        <w:tc>
          <w:tcPr>
            <w:tcW w:type="dxa" w:w="1971"/>
            <w:shd w:fill="F3F1EE" w:color="auto" w:val="clear"/>
            <w:tcMar>
              <w:top w:type="dxa" w:w="60"/>
              <w:left w:type="dxa" w:w="80"/>
              <w:bottom w:type="dxa" w:w="60"/>
              <w:right w:type="dxa" w:w="80"/>
            </w:tcMar>
            <w:vAlign w:val="top"/>
          </w:tcPr>
          <w:p>
            <w:pPr>
              <w:spacing w:after="40" w:line="240"/>
              <w:jc w:val="left"/>
            </w:pPr>
            <w:r>
              <w:rPr>
                <w:b/>
                <w:bCs/>
                <w:sz w:val="13"/>
                <w:szCs w:val="13"/>
              </w:rPr>
              <w:t xml:space="preserve">LOPDP Ecuador (2021) [12]</w:t>
            </w:r>
          </w:p>
        </w:tc>
        <w:tc>
          <w:tcPr>
            <w:tcW w:type="dxa" w:w="2179"/>
            <w:shd w:fill="F3F1EE" w:color="auto" w:val="clear"/>
            <w:tcMar>
              <w:top w:type="dxa" w:w="60"/>
              <w:left w:type="dxa" w:w="80"/>
              <w:bottom w:type="dxa" w:w="60"/>
              <w:right w:type="dxa" w:w="80"/>
            </w:tcMar>
            <w:vAlign w:val="top"/>
          </w:tcPr>
          <w:p>
            <w:pPr>
              <w:spacing w:after="40" w:line="240"/>
              <w:jc w:val="left"/>
            </w:pPr>
            <w:r>
              <w:rPr>
                <w:sz w:val="13"/>
                <w:szCs w:val="13"/>
              </w:rPr>
              <w:t xml:space="preserve">Sí: el coordinador nacional y parte de los codificadores están en Ecuador</w:t>
            </w:r>
          </w:p>
        </w:tc>
        <w:tc>
          <w:tcPr>
            <w:tcW w:type="dxa" w:w="1971"/>
            <w:shd w:fill="F3F1EE" w:color="auto" w:val="clear"/>
            <w:tcMar>
              <w:top w:type="dxa" w:w="60"/>
              <w:left w:type="dxa" w:w="80"/>
              <w:bottom w:type="dxa" w:w="60"/>
              <w:right w:type="dxa" w:w="80"/>
            </w:tcMar>
            <w:vAlign w:val="top"/>
          </w:tcPr>
          <w:p>
            <w:pPr>
              <w:spacing w:after="40" w:line="240"/>
              <w:jc w:val="left"/>
            </w:pPr>
            <w:r>
              <w:rPr>
                <w:sz w:val="13"/>
                <w:szCs w:val="13"/>
              </w:rPr>
              <w:t xml:space="preserve">Principios de finalidad, minimización y seguridad; derechos ARCO de los titulares</w:t>
            </w:r>
          </w:p>
        </w:tc>
        <w:tc>
          <w:tcPr>
            <w:tcW w:type="dxa" w:w="1556"/>
            <w:shd w:fill="F3F1EE" w:color="auto" w:val="clear"/>
            <w:tcMar>
              <w:top w:type="dxa" w:w="60"/>
              <w:left w:type="dxa" w:w="80"/>
              <w:bottom w:type="dxa" w:w="60"/>
              <w:right w:type="dxa" w:w="80"/>
            </w:tcMar>
            <w:vAlign w:val="top"/>
          </w:tcPr>
          <w:p>
            <w:pPr>
              <w:spacing w:after="40" w:line="240"/>
              <w:jc w:val="left"/>
            </w:pPr>
            <w:r>
              <w:rPr>
                <w:sz w:val="13"/>
                <w:szCs w:val="13"/>
              </w:rPr>
              <w:t xml:space="preserve">Sí en lo esencial</w:t>
            </w:r>
          </w:p>
        </w:tc>
        <w:tc>
          <w:tcPr>
            <w:tcW w:type="dxa" w:w="1735"/>
            <w:shd w:fill="F3F1EE" w:color="auto" w:val="clear"/>
            <w:tcMar>
              <w:top w:type="dxa" w:w="60"/>
              <w:left w:type="dxa" w:w="80"/>
              <w:bottom w:type="dxa" w:w="60"/>
              <w:right w:type="dxa" w:w="80"/>
            </w:tcMar>
            <w:vAlign w:val="top"/>
          </w:tcPr>
          <w:p>
            <w:pPr>
              <w:spacing w:after="40" w:line="240"/>
              <w:jc w:val="left"/>
            </w:pPr>
            <w:r>
              <w:rPr>
                <w:sz w:val="13"/>
                <w:szCs w:val="13"/>
              </w:rPr>
              <w:t xml:space="preserve">Documentar el tratamiento de la columna `Investigador` en la gestión de datos del proyecto</w:t>
            </w:r>
          </w:p>
        </w:tc>
      </w:tr>
      <w:tr>
        <w:trPr>
          <w:cantSplit w:val="false"/>
        </w:trPr>
        <w:tc>
          <w:tcPr>
            <w:tcW w:type="dxa" w:w="1971"/>
            <w:tcMar>
              <w:top w:type="dxa" w:w="60"/>
              <w:left w:type="dxa" w:w="80"/>
              <w:bottom w:type="dxa" w:w="60"/>
              <w:right w:type="dxa" w:w="80"/>
            </w:tcMar>
            <w:vAlign w:val="top"/>
          </w:tcPr>
          <w:p>
            <w:pPr>
              <w:spacing w:after="40" w:line="240"/>
              <w:jc w:val="left"/>
            </w:pPr>
            <w:r>
              <w:rPr>
                <w:b/>
                <w:bCs/>
                <w:sz w:val="13"/>
                <w:szCs w:val="13"/>
              </w:rPr>
              <w:t xml:space="preserve">LGPD Brasil (2018) [13]</w:t>
            </w:r>
          </w:p>
        </w:tc>
        <w:tc>
          <w:tcPr>
            <w:tcW w:type="dxa" w:w="2179"/>
            <w:tcMar>
              <w:top w:type="dxa" w:w="60"/>
              <w:left w:type="dxa" w:w="80"/>
              <w:bottom w:type="dxa" w:w="60"/>
              <w:right w:type="dxa" w:w="80"/>
            </w:tcMar>
            <w:vAlign w:val="top"/>
          </w:tcPr>
          <w:p>
            <w:pPr>
              <w:spacing w:after="40" w:line="240"/>
              <w:jc w:val="left"/>
            </w:pPr>
            <w:r>
              <w:rPr>
                <w:sz w:val="13"/>
                <w:szCs w:val="13"/>
              </w:rPr>
              <w:t xml:space="preserve">Marginal: posibles codificadores brasileños</w:t>
            </w:r>
          </w:p>
        </w:tc>
        <w:tc>
          <w:tcPr>
            <w:tcW w:type="dxa" w:w="1971"/>
            <w:tcMar>
              <w:top w:type="dxa" w:w="60"/>
              <w:left w:type="dxa" w:w="80"/>
              <w:bottom w:type="dxa" w:w="60"/>
              <w:right w:type="dxa" w:w="80"/>
            </w:tcMar>
            <w:vAlign w:val="top"/>
          </w:tcPr>
          <w:p>
            <w:pPr>
              <w:spacing w:after="40" w:line="240"/>
              <w:jc w:val="left"/>
            </w:pPr>
            <w:r>
              <w:rPr>
                <w:sz w:val="13"/>
                <w:szCs w:val="13"/>
              </w:rPr>
              <w:t xml:space="preserve">Análogo a RGPD</w:t>
            </w:r>
          </w:p>
        </w:tc>
        <w:tc>
          <w:tcPr>
            <w:tcW w:type="dxa" w:w="1556"/>
            <w:tcMar>
              <w:top w:type="dxa" w:w="60"/>
              <w:left w:type="dxa" w:w="80"/>
              <w:bottom w:type="dxa" w:w="60"/>
              <w:right w:type="dxa" w:w="80"/>
            </w:tcMar>
            <w:vAlign w:val="top"/>
          </w:tcPr>
          <w:p>
            <w:pPr>
              <w:spacing w:after="40" w:line="240"/>
              <w:jc w:val="left"/>
            </w:pPr>
            <w:r>
              <w:rPr>
                <w:sz w:val="13"/>
                <w:szCs w:val="13"/>
              </w:rPr>
              <w:t xml:space="preserve">Sí</w:t>
            </w:r>
          </w:p>
        </w:tc>
        <w:tc>
          <w:tcPr>
            <w:tcW w:type="dxa" w:w="1735"/>
            <w:tcMar>
              <w:top w:type="dxa" w:w="60"/>
              <w:left w:type="dxa" w:w="80"/>
              <w:bottom w:type="dxa" w:w="60"/>
              <w:right w:type="dxa" w:w="80"/>
            </w:tcMar>
            <w:vAlign w:val="top"/>
          </w:tcPr>
          <w:p>
            <w:pPr>
              <w:spacing w:after="40" w:line="240"/>
              <w:jc w:val="left"/>
            </w:pPr>
            <w:r>
              <w:rPr>
                <w:sz w:val="13"/>
                <w:szCs w:val="13"/>
              </w:rPr>
              <w:t xml:space="preserve">Ninguno adicional</w:t>
            </w:r>
          </w:p>
        </w:tc>
      </w:tr>
      <w:tr>
        <w:trPr>
          <w:cantSplit w:val="false"/>
        </w:trPr>
        <w:tc>
          <w:tcPr>
            <w:tcW w:type="dxa" w:w="1971"/>
            <w:shd w:fill="F3F1EE" w:color="auto" w:val="clear"/>
            <w:tcMar>
              <w:top w:type="dxa" w:w="60"/>
              <w:left w:type="dxa" w:w="80"/>
              <w:bottom w:type="dxa" w:w="60"/>
              <w:right w:type="dxa" w:w="80"/>
            </w:tcMar>
            <w:vAlign w:val="top"/>
          </w:tcPr>
          <w:p>
            <w:pPr>
              <w:spacing w:after="40" w:line="240"/>
              <w:jc w:val="left"/>
            </w:pPr>
            <w:r>
              <w:rPr>
                <w:b/>
                <w:bCs/>
                <w:sz w:val="13"/>
                <w:szCs w:val="13"/>
              </w:rPr>
              <w:t xml:space="preserve">Ley de IA de la UE (Reg. 2024/1689) [14]</w:t>
            </w:r>
          </w:p>
        </w:tc>
        <w:tc>
          <w:tcPr>
            <w:tcW w:type="dxa" w:w="2179"/>
            <w:shd w:fill="F3F1EE" w:color="auto" w:val="clear"/>
            <w:tcMar>
              <w:top w:type="dxa" w:w="60"/>
              <w:left w:type="dxa" w:w="80"/>
              <w:bottom w:type="dxa" w:w="60"/>
              <w:right w:type="dxa" w:w="80"/>
            </w:tcMar>
            <w:vAlign w:val="top"/>
          </w:tcPr>
          <w:p>
            <w:pPr>
              <w:spacing w:after="40" w:line="240"/>
              <w:jc w:val="left"/>
            </w:pPr>
            <w:r>
              <w:rPr>
                <w:sz w:val="13"/>
                <w:szCs w:val="13"/>
              </w:rPr>
              <w:t xml:space="preserve">Clasificación de riesgo: el sistema </w:t>
            </w:r>
            <w:r>
              <w:rPr>
                <w:sz w:val="13"/>
                <w:szCs w:val="13"/>
              </w:rPr>
              <w:t xml:space="preserve">no</w:t>
            </w:r>
            <w:r>
              <w:rPr>
                <w:sz w:val="13"/>
                <w:szCs w:val="13"/>
              </w:rPr>
              <w:t xml:space="preserve"> está en los casos prohibidos ni en los de alto riesgo del Anexo III (no evalúa personas, no decide acceso a educación, empleo o servicios); es un clasificador documental de apoyo a la investigación → </w:t>
            </w:r>
            <w:r>
              <w:rPr>
                <w:sz w:val="13"/>
                <w:szCs w:val="13"/>
              </w:rPr>
              <w:t xml:space="preserve">riesgo mínimo</w:t>
            </w:r>
            <w:r>
              <w:rPr>
                <w:sz w:val="13"/>
                <w:szCs w:val="13"/>
              </w:rPr>
              <w:t xml:space="preserve">. Las obligaciones de modelos de propósito general recaen en el proveedor del LLM</w:t>
            </w:r>
          </w:p>
        </w:tc>
        <w:tc>
          <w:tcPr>
            <w:tcW w:type="dxa" w:w="1971"/>
            <w:shd w:fill="F3F1EE" w:color="auto" w:val="clear"/>
            <w:tcMar>
              <w:top w:type="dxa" w:w="60"/>
              <w:left w:type="dxa" w:w="80"/>
              <w:bottom w:type="dxa" w:w="60"/>
              <w:right w:type="dxa" w:w="80"/>
            </w:tcMar>
            <w:vAlign w:val="top"/>
          </w:tcPr>
          <w:p>
            <w:pPr>
              <w:spacing w:after="40" w:line="240"/>
              <w:jc w:val="left"/>
            </w:pPr>
            <w:r>
              <w:rPr>
                <w:sz w:val="13"/>
                <w:szCs w:val="13"/>
              </w:rPr>
              <w:t xml:space="preserve">Para riesgo mínimo: ninguna obligación vinculante; se recomiendan códigos de conducta voluntarios (transparencia, documentación)</w:t>
            </w:r>
          </w:p>
        </w:tc>
        <w:tc>
          <w:tcPr>
            <w:tcW w:type="dxa" w:w="1556"/>
            <w:shd w:fill="F3F1EE" w:color="auto" w:val="clear"/>
            <w:tcMar>
              <w:top w:type="dxa" w:w="60"/>
              <w:left w:type="dxa" w:w="80"/>
              <w:bottom w:type="dxa" w:w="60"/>
              <w:right w:type="dxa" w:w="80"/>
            </w:tcMar>
            <w:vAlign w:val="top"/>
          </w:tcPr>
          <w:p>
            <w:pPr>
              <w:spacing w:after="40" w:line="240"/>
              <w:jc w:val="left"/>
            </w:pPr>
            <w:r>
              <w:rPr>
                <w:sz w:val="13"/>
                <w:szCs w:val="13"/>
              </w:rPr>
              <w:t xml:space="preserve">Sí; además adopta voluntariamente documentación tipo alto riesgo (model card, datasheet, supervisión humana, registro)</w:t>
            </w:r>
          </w:p>
        </w:tc>
        <w:tc>
          <w:tcPr>
            <w:tcW w:type="dxa" w:w="1735"/>
            <w:shd w:fill="F3F1EE" w:color="auto" w:val="clear"/>
            <w:tcMar>
              <w:top w:type="dxa" w:w="60"/>
              <w:left w:type="dxa" w:w="80"/>
              <w:bottom w:type="dxa" w:w="60"/>
              <w:right w:type="dxa" w:w="80"/>
            </w:tcMar>
            <w:vAlign w:val="top"/>
          </w:tcPr>
          <w:p>
            <w:pPr>
              <w:spacing w:after="40" w:line="240"/>
              <w:jc w:val="left"/>
            </w:pPr>
            <w:r>
              <w:rPr>
                <w:sz w:val="13"/>
                <w:szCs w:val="13"/>
              </w:rPr>
              <w:t xml:space="preserve">Revisar la clasificación si el IMN pasara a condicionar financiamiento o acreditación de IES</w:t>
            </w:r>
          </w:p>
        </w:tc>
      </w:tr>
      <w:tr>
        <w:trPr>
          <w:cantSplit w:val="false"/>
        </w:trPr>
        <w:tc>
          <w:tcPr>
            <w:tcW w:type="dxa" w:w="1971"/>
            <w:tcMar>
              <w:top w:type="dxa" w:w="60"/>
              <w:left w:type="dxa" w:w="80"/>
              <w:bottom w:type="dxa" w:w="60"/>
              <w:right w:type="dxa" w:w="80"/>
            </w:tcMar>
            <w:vAlign w:val="top"/>
          </w:tcPr>
          <w:p>
            <w:pPr>
              <w:spacing w:after="40" w:line="240"/>
              <w:jc w:val="left"/>
            </w:pPr>
            <w:r>
              <w:rPr>
                <w:b/>
                <w:bCs/>
                <w:sz w:val="13"/>
                <w:szCs w:val="13"/>
              </w:rPr>
              <w:t xml:space="preserve">Leyes antidiscriminación</w:t>
            </w:r>
          </w:p>
        </w:tc>
        <w:tc>
          <w:tcPr>
            <w:tcW w:type="dxa" w:w="2179"/>
            <w:tcMar>
              <w:top w:type="dxa" w:w="60"/>
              <w:left w:type="dxa" w:w="80"/>
              <w:bottom w:type="dxa" w:w="60"/>
              <w:right w:type="dxa" w:w="80"/>
            </w:tcMar>
            <w:vAlign w:val="top"/>
          </w:tcPr>
          <w:p>
            <w:pPr>
              <w:spacing w:after="40" w:line="240"/>
              <w:jc w:val="left"/>
            </w:pPr>
            <w:r>
              <w:rPr>
                <w:sz w:val="13"/>
                <w:szCs w:val="13"/>
              </w:rPr>
              <w:t xml:space="preserve">No aplican en sentido estricto: no hay decisiones sobre personas ni atributos protegidos</w:t>
            </w:r>
          </w:p>
        </w:tc>
        <w:tc>
          <w:tcPr>
            <w:tcW w:type="dxa" w:w="1971"/>
            <w:tcMar>
              <w:top w:type="dxa" w:w="60"/>
              <w:left w:type="dxa" w:w="80"/>
              <w:bottom w:type="dxa" w:w="60"/>
              <w:right w:type="dxa" w:w="80"/>
            </w:tcMar>
            <w:vAlign w:val="top"/>
          </w:tcPr>
          <w:p>
            <w:pPr>
              <w:spacing w:after="40" w:line="240"/>
              <w:jc w:val="left"/>
            </w:pPr>
            <w:r>
              <w:rPr>
                <w:sz w:val="13"/>
                <w:szCs w:val="13"/>
              </w:rPr>
              <w:t xml:space="preserve">—</w:t>
            </w:r>
          </w:p>
        </w:tc>
        <w:tc>
          <w:tcPr>
            <w:tcW w:type="dxa" w:w="1556"/>
            <w:tcMar>
              <w:top w:type="dxa" w:w="60"/>
              <w:left w:type="dxa" w:w="80"/>
              <w:bottom w:type="dxa" w:w="60"/>
              <w:right w:type="dxa" w:w="80"/>
            </w:tcMar>
            <w:vAlign w:val="top"/>
          </w:tcPr>
          <w:p>
            <w:pPr>
              <w:spacing w:after="40" w:line="240"/>
              <w:jc w:val="left"/>
            </w:pPr>
            <w:r>
              <w:rPr>
                <w:sz w:val="13"/>
                <w:szCs w:val="13"/>
              </w:rPr>
              <w:t xml:space="preserve">—</w:t>
            </w:r>
          </w:p>
        </w:tc>
        <w:tc>
          <w:tcPr>
            <w:tcW w:type="dxa" w:w="1735"/>
            <w:tcMar>
              <w:top w:type="dxa" w:w="60"/>
              <w:left w:type="dxa" w:w="80"/>
              <w:bottom w:type="dxa" w:w="60"/>
              <w:right w:type="dxa" w:w="80"/>
            </w:tcMar>
            <w:vAlign w:val="top"/>
          </w:tcPr>
          <w:p>
            <w:pPr>
              <w:spacing w:after="40" w:line="240"/>
              <w:jc w:val="left"/>
            </w:pPr>
            <w:r>
              <w:rPr>
                <w:sz w:val="13"/>
                <w:szCs w:val="13"/>
              </w:rPr>
              <w:t xml:space="preserve">Se aplica por analogía la equidad entre jurisdicciones (Parte 3.3)</w:t>
            </w:r>
          </w:p>
        </w:tc>
      </w:tr>
      <w:tr>
        <w:trPr>
          <w:cantSplit w:val="false"/>
        </w:trPr>
        <w:tc>
          <w:tcPr>
            <w:tcW w:type="dxa" w:w="1971"/>
            <w:shd w:fill="F3F1EE" w:color="auto" w:val="clear"/>
            <w:tcMar>
              <w:top w:type="dxa" w:w="60"/>
              <w:left w:type="dxa" w:w="80"/>
              <w:bottom w:type="dxa" w:w="60"/>
              <w:right w:type="dxa" w:w="80"/>
            </w:tcMar>
            <w:vAlign w:val="top"/>
          </w:tcPr>
          <w:p>
            <w:pPr>
              <w:spacing w:after="40" w:line="240"/>
              <w:jc w:val="left"/>
            </w:pPr>
            <w:r>
              <w:rPr>
                <w:b/>
                <w:bCs/>
                <w:sz w:val="13"/>
                <w:szCs w:val="13"/>
              </w:rPr>
              <w:t xml:space="preserve">Recomendación UNESCO sobre ética de la IA (2021) y Principios OCDE [15], [16]</w:t>
            </w:r>
          </w:p>
        </w:tc>
        <w:tc>
          <w:tcPr>
            <w:tcW w:type="dxa" w:w="2179"/>
            <w:shd w:fill="F3F1EE" w:color="auto" w:val="clear"/>
            <w:tcMar>
              <w:top w:type="dxa" w:w="60"/>
              <w:left w:type="dxa" w:w="80"/>
              <w:bottom w:type="dxa" w:w="60"/>
              <w:right w:type="dxa" w:w="80"/>
            </w:tcMar>
            <w:vAlign w:val="top"/>
          </w:tcPr>
          <w:p>
            <w:pPr>
              <w:spacing w:after="40" w:line="240"/>
              <w:jc w:val="left"/>
            </w:pPr>
            <w:r>
              <w:rPr>
                <w:sz w:val="13"/>
                <w:szCs w:val="13"/>
              </w:rPr>
              <w:t xml:space="preserve">Sí (soft law; además, el propio observatorio mide alineación con estos marcos)</w:t>
            </w:r>
          </w:p>
        </w:tc>
        <w:tc>
          <w:tcPr>
            <w:tcW w:type="dxa" w:w="1971"/>
            <w:shd w:fill="F3F1EE" w:color="auto" w:val="clear"/>
            <w:tcMar>
              <w:top w:type="dxa" w:w="60"/>
              <w:left w:type="dxa" w:w="80"/>
              <w:bottom w:type="dxa" w:w="60"/>
              <w:right w:type="dxa" w:w="80"/>
            </w:tcMar>
            <w:vAlign w:val="top"/>
          </w:tcPr>
          <w:p>
            <w:pPr>
              <w:spacing w:after="40" w:line="240"/>
              <w:jc w:val="left"/>
            </w:pPr>
            <w:r>
              <w:rPr>
                <w:sz w:val="13"/>
                <w:szCs w:val="13"/>
              </w:rPr>
              <w:t xml:space="preserve">Proporcionalidad, equidad, transparencia, supervisión humana, rendición de cuentas</w:t>
            </w:r>
          </w:p>
        </w:tc>
        <w:tc>
          <w:tcPr>
            <w:tcW w:type="dxa" w:w="1556"/>
            <w:shd w:fill="F3F1EE" w:color="auto" w:val="clear"/>
            <w:tcMar>
              <w:top w:type="dxa" w:w="60"/>
              <w:left w:type="dxa" w:w="80"/>
              <w:bottom w:type="dxa" w:w="60"/>
              <w:right w:type="dxa" w:w="80"/>
            </w:tcMar>
            <w:vAlign w:val="top"/>
          </w:tcPr>
          <w:p>
            <w:pPr>
              <w:spacing w:after="40" w:line="240"/>
              <w:jc w:val="left"/>
            </w:pPr>
            <w:r>
              <w:rPr>
                <w:sz w:val="13"/>
                <w:szCs w:val="13"/>
              </w:rPr>
              <w:t xml:space="preserve">Sí: los mecanismos de la Parte 6 responden a cada principio</w:t>
            </w:r>
          </w:p>
        </w:tc>
        <w:tc>
          <w:tcPr>
            <w:tcW w:type="dxa" w:w="1735"/>
            <w:shd w:fill="F3F1EE" w:color="auto" w:val="clear"/>
            <w:tcMar>
              <w:top w:type="dxa" w:w="60"/>
              <w:left w:type="dxa" w:w="80"/>
              <w:bottom w:type="dxa" w:w="60"/>
              <w:right w:type="dxa" w:w="80"/>
            </w:tcMar>
            <w:vAlign w:val="top"/>
          </w:tcPr>
          <w:p>
            <w:pPr>
              <w:spacing w:after="40" w:line="240"/>
              <w:jc w:val="left"/>
            </w:pPr>
            <w:r>
              <w:rPr>
                <w:sz w:val="13"/>
                <w:szCs w:val="13"/>
              </w:rPr>
              <w:t xml:space="preserve">Citar explícitamente estos marcos en la nota metodológica del IMN</w:t>
            </w:r>
          </w:p>
        </w:tc>
      </w:tr>
      <w:tr>
        <w:trPr>
          <w:cantSplit w:val="false"/>
        </w:trPr>
        <w:tc>
          <w:tcPr>
            <w:tcW w:type="dxa" w:w="1971"/>
            <w:tcMar>
              <w:top w:type="dxa" w:w="60"/>
              <w:left w:type="dxa" w:w="80"/>
              <w:bottom w:type="dxa" w:w="60"/>
              <w:right w:type="dxa" w:w="80"/>
            </w:tcMar>
            <w:vAlign w:val="top"/>
          </w:tcPr>
          <w:p>
            <w:pPr>
              <w:spacing w:after="40" w:line="240"/>
              <w:jc w:val="left"/>
            </w:pPr>
            <w:r>
              <w:rPr>
                <w:b/>
                <w:bCs/>
                <w:sz w:val="13"/>
                <w:szCs w:val="13"/>
              </w:rPr>
              <w:t xml:space="preserve">Otros: acuerdo de uso del corpus GENIAL; licencias (MIT, muestra con atribución); términos de uso del proveedor de LLM; normativa de integridad académica UEES</w:t>
            </w:r>
          </w:p>
        </w:tc>
        <w:tc>
          <w:tcPr>
            <w:tcW w:type="dxa" w:w="2179"/>
            <w:tcMar>
              <w:top w:type="dxa" w:w="60"/>
              <w:left w:type="dxa" w:w="80"/>
              <w:bottom w:type="dxa" w:w="60"/>
              <w:right w:type="dxa" w:w="80"/>
            </w:tcMar>
            <w:vAlign w:val="top"/>
          </w:tcPr>
          <w:p>
            <w:pPr>
              <w:spacing w:after="40" w:line="240"/>
              <w:jc w:val="left"/>
            </w:pPr>
            <w:r>
              <w:rPr>
                <w:sz w:val="13"/>
                <w:szCs w:val="13"/>
              </w:rPr>
              <w:t xml:space="preserve">Sí</w:t>
            </w:r>
          </w:p>
        </w:tc>
        <w:tc>
          <w:tcPr>
            <w:tcW w:type="dxa" w:w="1971"/>
            <w:tcMar>
              <w:top w:type="dxa" w:w="60"/>
              <w:left w:type="dxa" w:w="80"/>
              <w:bottom w:type="dxa" w:w="60"/>
              <w:right w:type="dxa" w:w="80"/>
            </w:tcMar>
            <w:vAlign w:val="top"/>
          </w:tcPr>
          <w:p>
            <w:pPr>
              <w:spacing w:after="40" w:line="240"/>
              <w:jc w:val="left"/>
            </w:pPr>
            <w:r>
              <w:rPr>
                <w:sz w:val="13"/>
                <w:szCs w:val="13"/>
              </w:rPr>
              <w:t xml:space="preserve">No redistribuir el corpus; atribución; uso de la API conforme a sus términos; autoría y originalidad</w:t>
            </w:r>
          </w:p>
        </w:tc>
        <w:tc>
          <w:tcPr>
            <w:tcW w:type="dxa" w:w="1556"/>
            <w:tcMar>
              <w:top w:type="dxa" w:w="60"/>
              <w:left w:type="dxa" w:w="80"/>
              <w:bottom w:type="dxa" w:w="60"/>
              <w:right w:type="dxa" w:w="80"/>
            </w:tcMar>
            <w:vAlign w:val="top"/>
          </w:tcPr>
          <w:p>
            <w:pPr>
              <w:spacing w:after="40" w:line="240"/>
              <w:jc w:val="left"/>
            </w:pPr>
            <w:r>
              <w:rPr>
                <w:sz w:val="13"/>
                <w:szCs w:val="13"/>
              </w:rPr>
              <w:t xml:space="preserve">Sí (`DATA_LICENSE.md`, `LICENSE`, `CITATION.cff`)</w:t>
            </w:r>
          </w:p>
        </w:tc>
        <w:tc>
          <w:tcPr>
            <w:tcW w:type="dxa" w:w="1735"/>
            <w:tcMar>
              <w:top w:type="dxa" w:w="60"/>
              <w:left w:type="dxa" w:w="80"/>
              <w:bottom w:type="dxa" w:w="60"/>
              <w:right w:type="dxa" w:w="80"/>
            </w:tcMar>
            <w:vAlign w:val="top"/>
          </w:tcPr>
          <w:p>
            <w:pPr>
              <w:spacing w:after="40" w:line="240"/>
              <w:jc w:val="left"/>
            </w:pPr>
            <w:r>
              <w:rPr>
                <w:sz w:val="13"/>
                <w:szCs w:val="13"/>
              </w:rPr>
              <w:t xml:space="preserve">Verificar con la coordinación si el envío de textos del corpus a una API externa requiere autorización expresa</w:t>
            </w:r>
          </w:p>
        </w:tc>
      </w:tr>
    </w:tbl>
    <w:p>
      <w:pPr>
        <w:spacing w:after="90" w:before="0" w:line="259"/>
        <w:jc w:val="both"/>
      </w:pPr>
      <w:r>
        <w:rPr>
          <w:b/>
          <w:bCs/>
        </w:rPr>
        <w:t xml:space="preserve">¿Se necesitaría asesoría legal para una implementación real?</w:t>
      </w:r>
      <w:r>
        <w:t xml:space="preserve"> Sí, en dos puntos: la base jurídica del tratamiento de los nombres de los codificadores bajo RGPD/LOPDP en un proyecto multinacional, y los términos de uso de datos del proveedor de LLM respecto a un corpus con autorización restringida. Ninguno bloquea el prototipo académico; ambos deben resolverse antes de operar el flujo en el observatorio.</w:t>
      </w:r>
    </w:p>
    <w:p>
      <w:pPr>
        <w:pStyle w:val="Heading2"/>
        <w:keepNext/>
        <w:spacing w:after="120" w:before="280"/>
      </w:pPr>
      <w:r>
        <w:t xml:space="preserve">Parte 8. Reflexión y compromiso</w:t>
      </w:r>
    </w:p>
    <w:p>
      <w:pPr>
        <w:pStyle w:val="Heading3"/>
        <w:keepNext/>
        <w:spacing w:after="80" w:before="200"/>
      </w:pPr>
      <w:r>
        <w:t xml:space="preserve">8.1 Reflexión</w:t>
      </w:r>
    </w:p>
    <w:p>
      <w:pPr>
        <w:spacing w:after="90" w:before="0" w:line="259"/>
        <w:jc w:val="both"/>
      </w:pPr>
      <w:r>
        <w:rPr>
          <w:b/>
          <w:bCs/>
        </w:rPr>
        <w:t xml:space="preserve">El dilema ético más difícil: escalar sin invisibilizar.</w:t>
      </w:r>
      <w:r>
        <w:t xml:space="preserve"> El observatorio necesita automatizar para sostenerse y cubrir la región; pero el modelo rinde peor precisamente en las jurisdicciones que un índice regional debería hacer visibles (Caribe, Brasil, países pequeños). Entran en conflicto la </w:t>
      </w:r>
      <w:r>
        <w:rPr>
          <w:i/>
          <w:iCs/>
        </w:rPr>
        <w:t xml:space="preserve">beneficencia</w:t>
      </w:r>
      <w:r>
        <w:t xml:space="preserve"> (un observatorio sostenible beneficia a todos) con la </w:t>
      </w:r>
      <w:r>
        <w:rPr>
          <w:i/>
          <w:iCs/>
        </w:rPr>
        <w:t xml:space="preserve">justicia</w:t>
      </w:r>
      <w:r>
        <w:t xml:space="preserve"> (que el beneficio no se concentre en los países ya bien representados) y la </w:t>
      </w:r>
      <w:r>
        <w:rPr>
          <w:i/>
          <w:iCs/>
        </w:rPr>
        <w:t xml:space="preserve">autonomía</w:t>
      </w:r>
      <w:r>
        <w:t xml:space="preserve"> de los codificadores (que la herramienta no sustituya su criterio). También hay un dilema de </w:t>
      </w:r>
      <w:r>
        <w:rPr>
          <w:i/>
          <w:iCs/>
        </w:rPr>
        <w:t xml:space="preserve">transparencia frente a utilidad</w:t>
      </w:r>
      <w:r>
        <w:t xml:space="preserve">: publicar un IMN con márgenes amplios es menos atractivo para los decisores que un ranking nítido, pero es lo honesto. Lo resolvemos con una regla asimétrica: automatizar solo donde hay evidencia de calidad y revisar el 100 % donde no la hay, trasladando el costo al presupuesto del observatorio y no a los países; y publicando el índice únicamente con su incertidumbre y su proporción de respaldo humano. Si GENIAL no pudiera financiar esa revisión, nuestra recomendación sería no publicar el IMN de las jurisdicciones afectadas antes que publicarlo distorsionado [17], [18].</w:t>
      </w:r>
    </w:p>
    <w:p>
      <w:pPr>
        <w:spacing w:after="90" w:before="0" w:line="259"/>
        <w:jc w:val="both"/>
      </w:pPr>
      <w:r>
        <w:rPr>
          <w:b/>
          <w:bCs/>
        </w:rPr>
        <w:t xml:space="preserve">Qué aprendimos que no habíamos considerado.</w:t>
      </w:r>
      <w:r>
        <w:t xml:space="preserve"> Tres cosas. Que el principal «atributo protegido» de nuestro sistema no es una característica de personas sino de jurisdicciones, y que las herramientas estándar de fairness no estaban pensadas para eso: tuvimos que adaptar su lógica. Que el efecto del codificador está confundido con el país (un codificador por país), de modo que el modelo podría estar aprendiendo estilos de redacción de las observaciones y no propiedades de las normas, y que cualquier tabla por país re-identifica a una persona. Y que la regla de gobernanza que creíamos protectora dejaba fuera a Brasil: la auditoría de esta semana lo mostró y la corregimos.</w:t>
      </w:r>
    </w:p>
    <w:p>
      <w:pPr>
        <w:spacing w:after="90" w:before="0" w:line="259"/>
        <w:jc w:val="both"/>
      </w:pPr>
      <w:r>
        <w:rPr>
          <w:b/>
          <w:bCs/>
        </w:rPr>
        <w:t xml:space="preserve">Qué cambiaríamos en el diseño.</w:t>
      </w:r>
      <w:r>
        <w:t xml:space="preserve"> (i) La regla de revisión obligatoria incluye ahora el portugués. (ii) El IMN pasa a publicarse con margen y porcentaje de respaldo humano como parte del formato, no como nota al pie. (iii) La columna `Investigador` se seudonimiza en origen antes de que el corpus llegue al equipo técnico. (iv) La interfaz de codificación asistida exigirá decisión activa y justificación en los casos de confianza media. (v) Propondremos a GENIAL una doble codificación dirigida a Caribe, Brasil y a las dimensiones Técnico y Administrativo. (vi) Incorporaremos a representantes de los países comparados en la validación del IMN antes de su publicación, porque hoy son el stakeholder con menos voz.</w:t>
      </w:r>
    </w:p>
    <w:p>
      <w:pPr>
        <w:pStyle w:val="Heading3"/>
        <w:keepNext/>
        <w:spacing w:after="80" w:before="200"/>
      </w:pPr>
      <w:r>
        <w:t xml:space="preserve">8.2 Compromiso ético</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7A1F3D" w:sz="18"/>
              <w:bottom w:val="none" w:color="FFFFFF" w:sz="0"/>
              <w:right w:val="none" w:color="FFFFFF" w:sz="0"/>
            </w:tcBorders>
            <w:shd w:fill="F1E3E8" w:color="auto" w:val="clear"/>
            <w:tcMar>
              <w:top w:type="dxa" w:w="120"/>
              <w:left w:type="dxa" w:w="160"/>
              <w:bottom w:type="dxa" w:w="120"/>
              <w:right w:type="dxa" w:w="160"/>
            </w:tcMar>
          </w:tcPr>
          <w:p>
            <w:pPr>
              <w:spacing w:after="60"/>
            </w:pPr>
            <w:r>
              <w:rPr>
                <w:b/>
                <w:bCs/>
                <w:color w:val="7A1F3D"/>
                <w:sz w:val="19"/>
                <w:szCs w:val="19"/>
              </w:rPr>
              <w:t xml:space="preserve">Declaración de compromiso</w:t>
            </w:r>
          </w:p>
          <w:p>
            <w:pPr>
              <w:spacing w:after="60" w:line="264"/>
              <w:jc w:val="both"/>
            </w:pPr>
            <w:r>
              <w:rPr>
                <w:sz w:val="19"/>
                <w:szCs w:val="19"/>
              </w:rPr>
              <w:t xml:space="preserve">«Como creadores de este sistema de IA, nos comprometemos a: (1) ejecutar y publicar la auditoría de equidad por idioma, región y tamaño de país en cada versión del modelo y del corpus, y no publicar ningún valor del IMN cuyo grupo no pase la revisión humana obligatoria; (2) acompañar cada cifra del Índice de Madurez Normativa con el porcentaje de normas con respaldo humano y su margen de incertidumbre, y mantener actualizadas la model card y la datasheet con cada versión; (3) no usar el modelo ni sus métricas para evaluar el trabajo de codificadores individuales y proteger su identidad en todo artefacto público; (4) actuar responsablemente si se identifican daños, congelando la publicación afectada y corrigiendo con registro público; (5) priorizar el bienestar de usuarios y grupos vulnerables, en particular de las jurisdicciones pequeñas y no hispanohablantes; y (6) mantener transparencia sobre las limitaciones del sistema, incluidos los umbrales que no alcanza.»
Firma / fecha: Jorge Javier Maldonado Mahauad · Melissa Figallo · Guayaquil/Cuenca, 3 de octubre de 2026.</w:t>
            </w:r>
          </w:p>
        </w:tc>
      </w:tr>
    </w:tbl>
    <w:p>
      <w:pPr>
        <w:pStyle w:val="Heading2"/>
        <w:keepNext/>
        <w:spacing w:after="120" w:before="280"/>
      </w:pPr>
      <w:r>
        <w:t xml:space="preserve">Integración en la presentación final</w:t>
      </w:r>
    </w:p>
    <w:p>
      <w:pPr>
        <w:spacing w:after="90" w:before="0" w:line="259"/>
        <w:jc w:val="both"/>
      </w:pPr>
      <w:r>
        <w:t xml:space="preserve">Siguiendo la pauta de la Semana 4 (la reflexión ética integrada en la narrativa, no como apéndice), la presentación final de 18 diapositivas incorpora: en la introducción, el dilema «escalar sin invisibilizar» (diapositiva 3); en metodología, la decisión de excluir `Investigador` y la CV por grupo como decisiones éticas sobre datos (6-7); en resultados, la auditoría de equidad por jurisdicción (Figura 1) junto a la desagregación por idioma (11); en la reflexión, la regla de gobernanza, el framework de responsabilidad y las limitaciones (15-16); y en el cierre, los tres compromisos específicos (17). Se añade una diapositiva «Impacto social y responsabilidad» con la Figura 1 y la tabla de stakeholders resumida, y el guion del video incorpora un bloque de 60 segundos sobre el dilema y los compromisos.</w:t>
      </w:r>
    </w:p>
    <w:p>
      <w:pPr>
        <w:pStyle w:val="Heading2"/>
        <w:keepNext/>
        <w:spacing w:after="120" w:before="280"/>
      </w:pPr>
      <w:r>
        <w:t xml:space="preserve">Referencias</w:t>
      </w:r>
    </w:p>
    <w:p>
      <w:pPr>
        <w:tabs>
          <w:tab w:val="left" w:pos="720"/>
        </w:tabs>
        <w:spacing w:after="80" w:line="250"/>
        <w:ind w:left="720" w:hanging="720"/>
        <w:jc w:val="left"/>
      </w:pPr>
      <w:r>
        <w:rPr>
          <w:sz w:val="18"/>
          <w:szCs w:val="18"/>
        </w:rPr>
        <w:t xml:space="preserve">[1]</w:t>
      </w:r>
      <w:r>
        <w:rPr>
          <w:sz w:val="18"/>
          <w:szCs w:val="18"/>
        </w:rPr>
        <w:t xml:space="preserve">	Proyecto GENIAL (Erasmus+), “Corpus consolidado de normativa sobre inteligencia artificial en educación superior de América Latina y el Caribe (consolidado_limpio.xlsx, versión congelada de septiembre de 2026),” conjunto de datos de investigación, no publicado, 2026. Uso autorizado por la coordinación del consorcio.</w:t>
      </w:r>
    </w:p>
    <w:p>
      <w:pPr>
        <w:tabs>
          <w:tab w:val="left" w:pos="720"/>
        </w:tabs>
        <w:spacing w:after="80" w:line="250"/>
        <w:ind w:left="720" w:hanging="720"/>
        <w:jc w:val="left"/>
      </w:pPr>
      <w:r>
        <w:rPr>
          <w:sz w:val="18"/>
          <w:szCs w:val="18"/>
        </w:rPr>
        <w:t xml:space="preserve">[2]</w:t>
      </w:r>
      <w:r>
        <w:rPr>
          <w:sz w:val="18"/>
          <w:szCs w:val="18"/>
        </w:rPr>
        <w:t xml:space="preserve">	M. Mitchell et al., “Model cards for model reporting,” in Proc. Conf. on Fairness, Accountability, and Transparency (FAT*), Atlanta, GA, USA, 2019, pp. 220–229, doi: 10.1145/3287560.3287596.</w:t>
      </w:r>
    </w:p>
    <w:p>
      <w:pPr>
        <w:tabs>
          <w:tab w:val="left" w:pos="720"/>
        </w:tabs>
        <w:spacing w:after="80" w:line="250"/>
        <w:ind w:left="720" w:hanging="720"/>
        <w:jc w:val="left"/>
      </w:pPr>
      <w:r>
        <w:rPr>
          <w:sz w:val="18"/>
          <w:szCs w:val="18"/>
        </w:rPr>
        <w:t xml:space="preserve">[3]</w:t>
      </w:r>
      <w:r>
        <w:rPr>
          <w:sz w:val="18"/>
          <w:szCs w:val="18"/>
        </w:rPr>
        <w:t xml:space="preserve">	T. Gebru et al., “Datasheets for datasets,” Communications of the ACM, vol. 64, no. 12, pp. 86–92, 2021, doi: 10.1145/3458723.</w:t>
      </w:r>
    </w:p>
    <w:p>
      <w:pPr>
        <w:tabs>
          <w:tab w:val="left" w:pos="720"/>
        </w:tabs>
        <w:spacing w:after="80" w:line="250"/>
        <w:ind w:left="720" w:hanging="720"/>
        <w:jc w:val="left"/>
      </w:pPr>
      <w:r>
        <w:rPr>
          <w:sz w:val="18"/>
          <w:szCs w:val="18"/>
        </w:rPr>
        <w:t xml:space="preserve">[4]</w:t>
      </w:r>
      <w:r>
        <w:rPr>
          <w:sz w:val="18"/>
          <w:szCs w:val="18"/>
        </w:rPr>
        <w:t xml:space="preserve">	CEPAL and CENIA, “Índice Latinoamericano de Inteligencia Artificial (ILIA) 2025: Hallazgos principales, IA aplicada y talento humano,” Comisión Económica para América Latina y el Caribe, Santiago, Chile, Rep. LC/TS.2026/1, 2026. [Online]. Available: https://repositorio.cepal.org/handle/11362/86007</w:t>
      </w:r>
    </w:p>
    <w:p>
      <w:pPr>
        <w:tabs>
          <w:tab w:val="left" w:pos="720"/>
        </w:tabs>
        <w:spacing w:after="80" w:line="250"/>
        <w:ind w:left="720" w:hanging="720"/>
        <w:jc w:val="left"/>
      </w:pPr>
      <w:r>
        <w:rPr>
          <w:sz w:val="18"/>
          <w:szCs w:val="18"/>
        </w:rPr>
        <w:t xml:space="preserve">[5]</w:t>
      </w:r>
      <w:r>
        <w:rPr>
          <w:sz w:val="18"/>
          <w:szCs w:val="18"/>
        </w:rPr>
        <w:t xml:space="preserve">	L. J. Skitka, K. L. Mosier, and M. Burdick, “Does automation bias decision-making?,” International Journal of Human-Computer Studies, vol. 51, no. 5, pp. 991–1006, 1999, doi: 10.1006/ijhc.1999.0252.</w:t>
      </w:r>
    </w:p>
    <w:p>
      <w:pPr>
        <w:tabs>
          <w:tab w:val="left" w:pos="720"/>
        </w:tabs>
        <w:spacing w:after="80" w:line="250"/>
        <w:ind w:left="720" w:hanging="720"/>
        <w:jc w:val="left"/>
      </w:pPr>
      <w:r>
        <w:rPr>
          <w:sz w:val="18"/>
          <w:szCs w:val="18"/>
        </w:rPr>
        <w:t xml:space="preserve">[6]</w:t>
      </w:r>
      <w:r>
        <w:rPr>
          <w:sz w:val="18"/>
          <w:szCs w:val="18"/>
        </w:rPr>
        <w:t xml:space="preserve">	U.S. Equal Employment Opportunity Commission et al., “Uniform Guidelines on Employee Selection Procedures,” 29 C.F.R. § 1607.4(D), 1978 (regla de los cuatro quintos).</w:t>
      </w:r>
    </w:p>
    <w:p>
      <w:pPr>
        <w:tabs>
          <w:tab w:val="left" w:pos="720"/>
        </w:tabs>
        <w:spacing w:after="80" w:line="250"/>
        <w:ind w:left="720" w:hanging="720"/>
        <w:jc w:val="left"/>
      </w:pPr>
      <w:r>
        <w:rPr>
          <w:sz w:val="18"/>
          <w:szCs w:val="18"/>
        </w:rPr>
        <w:t xml:space="preserve">[7]</w:t>
      </w:r>
      <w:r>
        <w:rPr>
          <w:sz w:val="18"/>
          <w:szCs w:val="18"/>
        </w:rPr>
        <w:t xml:space="preserve">	S. Barocas, M. Hardt, and A. Narayanan, Fairness and Machine Learning: Limitations and Opportunities. Cambridge, MA, USA: MIT Press, 2023.</w:t>
      </w:r>
    </w:p>
    <w:p>
      <w:pPr>
        <w:tabs>
          <w:tab w:val="left" w:pos="720"/>
        </w:tabs>
        <w:spacing w:after="80" w:line="250"/>
        <w:ind w:left="720" w:hanging="720"/>
        <w:jc w:val="left"/>
      </w:pPr>
      <w:r>
        <w:rPr>
          <w:sz w:val="18"/>
          <w:szCs w:val="18"/>
        </w:rPr>
        <w:t xml:space="preserve">[8]</w:t>
      </w:r>
      <w:r>
        <w:rPr>
          <w:sz w:val="18"/>
          <w:szCs w:val="18"/>
        </w:rPr>
        <w:t xml:space="preserve">	N. Mehrabi, F. Morstatter, N. Saxena, K. Lerman, and A. Galstyan, “A survey on bias and fairness in machine learning,” ACM Computing Surveys, vol. 54, no. 6, art. 115, 2021, doi: 10.1145/3457607.</w:t>
      </w:r>
    </w:p>
    <w:p>
      <w:pPr>
        <w:tabs>
          <w:tab w:val="left" w:pos="720"/>
        </w:tabs>
        <w:spacing w:after="80" w:line="250"/>
        <w:ind w:left="720" w:hanging="720"/>
        <w:jc w:val="left"/>
      </w:pPr>
      <w:r>
        <w:rPr>
          <w:sz w:val="18"/>
          <w:szCs w:val="18"/>
        </w:rPr>
        <w:t xml:space="preserve">[9]</w:t>
      </w:r>
      <w:r>
        <w:rPr>
          <w:sz w:val="18"/>
          <w:szCs w:val="18"/>
        </w:rPr>
        <w:t xml:space="preserve">	I. D. Raji et al., “Closing the AI accountability gap: Defining an end-to-end framework for internal algorithmic auditing,” in Proc. Conf. on Fairness, Accountability, and Transparency (FAT*), Barcelona, Spain, 2020, pp. 33–44, doi: 10.1145/3351095.3372873.</w:t>
      </w:r>
    </w:p>
    <w:p>
      <w:pPr>
        <w:tabs>
          <w:tab w:val="left" w:pos="720"/>
        </w:tabs>
        <w:spacing w:after="80" w:line="250"/>
        <w:ind w:left="720" w:hanging="720"/>
        <w:jc w:val="left"/>
      </w:pPr>
      <w:r>
        <w:rPr>
          <w:sz w:val="18"/>
          <w:szCs w:val="18"/>
        </w:rPr>
        <w:t xml:space="preserve">[10]</w:t>
      </w:r>
      <w:r>
        <w:rPr>
          <w:sz w:val="18"/>
          <w:szCs w:val="18"/>
        </w:rPr>
        <w:t xml:space="preserve">	Parlamento Europeo y Consejo de la Unión Europea, “Reglamento (UE) 2016/679 relativo a la protección de las personas físicas en lo que respecta al tratamiento de datos personales (RGPD),” Diario Oficial de la Unión Europea, L 119, 4 may. 2016.</w:t>
      </w:r>
    </w:p>
    <w:p>
      <w:pPr>
        <w:tabs>
          <w:tab w:val="left" w:pos="720"/>
        </w:tabs>
        <w:spacing w:after="80" w:line="250"/>
        <w:ind w:left="720" w:hanging="720"/>
        <w:jc w:val="left"/>
      </w:pPr>
      <w:r>
        <w:rPr>
          <w:sz w:val="18"/>
          <w:szCs w:val="18"/>
        </w:rPr>
        <w:t xml:space="preserve">[11]</w:t>
      </w:r>
      <w:r>
        <w:rPr>
          <w:sz w:val="18"/>
          <w:szCs w:val="18"/>
        </w:rPr>
        <w:t xml:space="preserve">	S. Wachter, B. Mittelstadt, and L. Floridi, “Why a right to explanation of automated decision-making does not exist in the General Data Protection Regulation,” International Data Privacy Law, vol. 7, no. 2, pp. 76–99, 2017, doi: 10.1093/idpl/ipx005.</w:t>
      </w:r>
    </w:p>
    <w:p>
      <w:pPr>
        <w:tabs>
          <w:tab w:val="left" w:pos="720"/>
        </w:tabs>
        <w:spacing w:after="80" w:line="250"/>
        <w:ind w:left="720" w:hanging="720"/>
        <w:jc w:val="left"/>
      </w:pPr>
      <w:r>
        <w:rPr>
          <w:sz w:val="18"/>
          <w:szCs w:val="18"/>
        </w:rPr>
        <w:t xml:space="preserve">[12]</w:t>
      </w:r>
      <w:r>
        <w:rPr>
          <w:sz w:val="18"/>
          <w:szCs w:val="18"/>
        </w:rPr>
        <w:t xml:space="preserve">	Asamblea Nacional de la República del Ecuador, “Ley Orgánica de Protección de Datos Personales,” Registro Oficial Suplemento 459, 26 may. 2021.</w:t>
      </w:r>
    </w:p>
    <w:p>
      <w:pPr>
        <w:tabs>
          <w:tab w:val="left" w:pos="720"/>
        </w:tabs>
        <w:spacing w:after="80" w:line="250"/>
        <w:ind w:left="720" w:hanging="720"/>
        <w:jc w:val="left"/>
      </w:pPr>
      <w:r>
        <w:rPr>
          <w:sz w:val="18"/>
          <w:szCs w:val="18"/>
        </w:rPr>
        <w:t xml:space="preserve">[13]</w:t>
      </w:r>
      <w:r>
        <w:rPr>
          <w:sz w:val="18"/>
          <w:szCs w:val="18"/>
        </w:rPr>
        <w:t xml:space="preserve">	Brasil, “Lei n.º 13.709, de 14 de agosto de 2018 — Lei Geral de Proteção de Dados Pessoais (LGPD),” Diário Oficial da União, 2018.</w:t>
      </w:r>
    </w:p>
    <w:p>
      <w:pPr>
        <w:tabs>
          <w:tab w:val="left" w:pos="720"/>
        </w:tabs>
        <w:spacing w:after="80" w:line="250"/>
        <w:ind w:left="720" w:hanging="720"/>
        <w:jc w:val="left"/>
      </w:pPr>
      <w:r>
        <w:rPr>
          <w:sz w:val="18"/>
          <w:szCs w:val="18"/>
        </w:rPr>
        <w:t xml:space="preserve">[14]</w:t>
      </w:r>
      <w:r>
        <w:rPr>
          <w:sz w:val="18"/>
          <w:szCs w:val="18"/>
        </w:rPr>
        <w:t xml:space="preserve">	Parlamento Europeo y Consejo de la Unión Europea, “Reglamento (UE) 2024/1689 por el que se establecen normas armonizadas en materia de inteligencia artificial (Ley de IA),” Diario Oficial de la Unión Europea, L, 12 jul. 2024.</w:t>
      </w:r>
    </w:p>
    <w:p>
      <w:pPr>
        <w:tabs>
          <w:tab w:val="left" w:pos="720"/>
        </w:tabs>
        <w:spacing w:after="80" w:line="250"/>
        <w:ind w:left="720" w:hanging="720"/>
        <w:jc w:val="left"/>
      </w:pPr>
      <w:r>
        <w:rPr>
          <w:sz w:val="18"/>
          <w:szCs w:val="18"/>
        </w:rPr>
        <w:t xml:space="preserve">[15]</w:t>
      </w:r>
      <w:r>
        <w:rPr>
          <w:sz w:val="18"/>
          <w:szCs w:val="18"/>
        </w:rPr>
        <w:t xml:space="preserve">	UNESCO, Recomendación sobre la ética de la inteligencia artificial. París, Francia: UNESCO, 2021 (SHS/BIO/PI/2021/1).</w:t>
      </w:r>
    </w:p>
    <w:p>
      <w:pPr>
        <w:tabs>
          <w:tab w:val="left" w:pos="720"/>
        </w:tabs>
        <w:spacing w:after="80" w:line="250"/>
        <w:ind w:left="720" w:hanging="720"/>
        <w:jc w:val="left"/>
      </w:pPr>
      <w:r>
        <w:rPr>
          <w:sz w:val="18"/>
          <w:szCs w:val="18"/>
        </w:rPr>
        <w:t xml:space="preserve">[16]</w:t>
      </w:r>
      <w:r>
        <w:rPr>
          <w:sz w:val="18"/>
          <w:szCs w:val="18"/>
        </w:rPr>
        <w:t xml:space="preserve">	OECD, “Recommendation of the Council on Artificial Intelligence,” OECD/LEGAL/0449, adoptada en 2019 y enmendada el 3 may. 2024.</w:t>
      </w:r>
    </w:p>
    <w:p>
      <w:pPr>
        <w:tabs>
          <w:tab w:val="left" w:pos="720"/>
        </w:tabs>
        <w:spacing w:after="80" w:line="250"/>
        <w:ind w:left="720" w:hanging="720"/>
        <w:jc w:val="left"/>
      </w:pPr>
      <w:r>
        <w:rPr>
          <w:sz w:val="18"/>
          <w:szCs w:val="18"/>
        </w:rPr>
        <w:t xml:space="preserve">[17]</w:t>
      </w:r>
      <w:r>
        <w:rPr>
          <w:sz w:val="18"/>
          <w:szCs w:val="18"/>
        </w:rPr>
        <w:t xml:space="preserve">	A. D. Selbst, d. boyd, S. A. Friedler, S. Venkatasubramanian, and J. Vertesi, “Fairness and abstraction in sociotechnical systems,” in Proc. Conf. on Fairness, Accountability, and Transparency (FAT*), Atlanta, GA, USA, 2019, pp. 59–68, doi: 10.1145/3287560.3287598.</w:t>
      </w:r>
    </w:p>
    <w:p>
      <w:pPr>
        <w:tabs>
          <w:tab w:val="left" w:pos="720"/>
        </w:tabs>
        <w:spacing w:after="80" w:line="250"/>
        <w:ind w:left="720" w:hanging="720"/>
        <w:jc w:val="left"/>
      </w:pPr>
      <w:r>
        <w:rPr>
          <w:sz w:val="18"/>
          <w:szCs w:val="18"/>
        </w:rPr>
        <w:t xml:space="preserve">[18]</w:t>
      </w:r>
      <w:r>
        <w:rPr>
          <w:sz w:val="18"/>
          <w:szCs w:val="18"/>
        </w:rPr>
        <w:t xml:space="preserve">	L. Floridi et al., “AI4People — An ethical framework for a good AI society: Opportunities, risks, principles, and recommendations,” Minds and Machines, vol. 28, pp. 689–707, 2018, doi: 10.1007/s11023-018-9482-5.</w:t>
      </w:r>
    </w:p>
    <w:p>
      <w:r>
        <w:br w:type="page"/>
      </w:r>
    </w:p>
    <w:p>
      <w:pPr>
        <w:pStyle w:val="Heading2"/>
        <w:keepNext/>
        <w:spacing w:after="120" w:before="280"/>
      </w:pPr>
      <w:r>
        <w:t xml:space="preserve">Anexo A. Model card del clasificador (v0.3)</w:t>
      </w:r>
    </w:p>
    <w:p>
      <w:pPr>
        <w:spacing w:after="90" w:before="0" w:line="259"/>
        <w:jc w:val="both"/>
      </w:pPr>
      <w:r>
        <w:t xml:space="preserve">Formato basado en Mitchell et al. (2019). Cifras tomadas de results/sintesis_resultados.json, results/overfitting/sintesis_overfitting.json y results/fairness/fairness_grupos.csv.</w:t>
      </w:r>
    </w:p>
    <w:p>
      <w:pPr>
        <w:pStyle w:val="Heading3"/>
        <w:keepNext/>
        <w:spacing w:after="80" w:before="200"/>
      </w:pPr>
      <w:r>
        <w:t xml:space="preserve">1. Detalles del modelo</w:t>
      </w:r>
    </w:p>
    <w:p>
      <w:pPr>
        <w:pStyle w:val="ListParagraph"/>
        <w:numPr>
          <w:ilvl w:val="0"/>
          <w:numId w:val="4"/>
        </w:numPr>
        <w:spacing w:after="60" w:line="264"/>
        <w:jc w:val="both"/>
      </w:pPr>
      <w:r>
        <w:t xml:space="preserve">*</w:t>
      </w:r>
      <w:r>
        <w:rPr>
          <w:i/>
          <w:iCs/>
        </w:rPr>
        <w:t xml:space="preserve">Desarrolladores://* Jorge Javier Maldonado Mahauad y Melissa Figallo (Grupo 9, Maestría en IA, UEES), en colaboración con el proyecto GENIAL (Erasmus+). Tutora académica: Gladys María Villegas Rugel.</w:t>
      </w:r>
    </w:p>
    <w:p>
      <w:pPr>
        <w:pStyle w:val="ListParagraph"/>
        <w:numPr>
          <w:ilvl w:val="0"/>
          <w:numId w:val="4"/>
        </w:numPr>
        <w:spacing w:after="60" w:line="264"/>
        <w:jc w:val="both"/>
      </w:pPr>
      <w:r>
        <w:t xml:space="preserve">*</w:t>
      </w:r>
      <w:r>
        <w:rPr>
          <w:i/>
          <w:iCs/>
        </w:rPr>
        <w:t xml:space="preserve">Tipo:/</w:t>
      </w:r>
      <w:r>
        <w:t xml:space="preserve">/ clasificador lineal multiclase (regresión logística, L2, class_weight='balanced') sobre TF-IDF de 1-2 gramas (5 000 características; configuración regularizada recomendada tras la Semana 3: C ≤ 0.1, 2 000 características, min_df = 2). Rama de comparación: LLM </w:t>
      </w:r>
      <w:r>
        <w:rPr>
          <w:i/>
          <w:iCs/>
        </w:rPr>
        <w:t xml:space="preserve">few-shot* (15 ejemplos, temperatura 0), pendiente de ejecución.</w:t>
      </w:r>
    </w:p>
    <w:p>
      <w:pPr>
        <w:pStyle w:val="ListParagraph"/>
        <w:numPr>
          <w:ilvl w:val="0"/>
          <w:numId w:val="4"/>
        </w:numPr>
        <w:spacing w:after="60" w:line="264"/>
        <w:jc w:val="both"/>
      </w:pPr>
      <w:r>
        <w:t xml:space="preserve">*</w:t>
      </w:r>
      <w:r>
        <w:rPr>
          <w:i/>
          <w:iCs/>
        </w:rPr>
        <w:t xml:space="preserve">Versión / fecha://* v0.3, octubre de 2026. Repositorio: github.com/jorgemaldonadom-cmd/genial-clasificador-normativa. Licencia del código: MIT.</w:t>
      </w:r>
    </w:p>
    <w:p>
      <w:pPr>
        <w:pStyle w:val="ListParagraph"/>
        <w:numPr>
          <w:ilvl w:val="0"/>
          <w:numId w:val="4"/>
        </w:numPr>
        <w:spacing w:after="60" w:line="264"/>
        <w:jc w:val="both"/>
      </w:pPr>
      <w:r>
        <w:t xml:space="preserve">*</w:t>
      </w:r>
      <w:r>
        <w:rPr>
          <w:i/>
          <w:iCs/>
        </w:rPr>
        <w:t xml:space="preserve">Entrada:/</w:t>
      </w:r>
      <w:r>
        <w:t xml:space="preserve">/ texto UTF-8 «título de la norma. observaciones del codificador» (mediana 44 palabras). </w:t>
      </w:r>
      <w:r>
        <w:t xml:space="preserve">Salida://* dimensión predicha, segunda dimensión (top-2) y probabilidad máxima.</w:t>
      </w:r>
    </w:p>
    <w:p>
      <w:pPr>
        <w:pStyle w:val="Heading3"/>
        <w:keepNext/>
        <w:spacing w:after="80" w:before="200"/>
      </w:pPr>
      <w:r>
        <w:t xml:space="preserve">2. Uso previsto</w:t>
      </w:r>
    </w:p>
    <w:p>
      <w:pPr>
        <w:pStyle w:val="ListParagraph"/>
        <w:numPr>
          <w:ilvl w:val="0"/>
          <w:numId w:val="4"/>
        </w:numPr>
        <w:spacing w:after="60" w:line="264"/>
        <w:jc w:val="both"/>
      </w:pPr>
      <w:r>
        <w:t xml:space="preserve">*</w:t>
      </w:r>
      <w:r>
        <w:rPr>
          <w:i/>
          <w:iCs/>
        </w:rPr>
        <w:t xml:space="preserve">Uso principal://* asistir a los codificadores del observatorio GENIAL proponiendo dos dimensiones candidatas con su probabilidad para cada norma sobre IA en educación superior de América Latina y el Caribe. La decisión final es humana (codificación asistida).</w:t>
      </w:r>
    </w:p>
    <w:p>
      <w:pPr>
        <w:pStyle w:val="ListParagraph"/>
        <w:numPr>
          <w:ilvl w:val="0"/>
          <w:numId w:val="4"/>
        </w:numPr>
        <w:spacing w:after="60" w:line="264"/>
        <w:jc w:val="both"/>
      </w:pPr>
      <w:r>
        <w:t xml:space="preserve">*</w:t>
      </w:r>
      <w:r>
        <w:rPr>
          <w:i/>
          <w:iCs/>
        </w:rPr>
        <w:t xml:space="preserve">Usuarios previstos://* investigadores codificadores de GENIAL; coordinación del observatorio para estimar carga de trabajo.</w:t>
      </w:r>
    </w:p>
    <w:p>
      <w:pPr>
        <w:pStyle w:val="ListParagraph"/>
        <w:numPr>
          <w:ilvl w:val="0"/>
          <w:numId w:val="4"/>
        </w:numPr>
        <w:spacing w:after="60" w:line="264"/>
        <w:jc w:val="both"/>
      </w:pPr>
      <w:r>
        <w:t xml:space="preserve">*</w:t>
      </w:r>
      <w:r>
        <w:rPr>
          <w:i/>
          <w:iCs/>
        </w:rPr>
        <w:t xml:space="preserve">Usos fuera de alcance://* publicar valores del Índice de Madurez Normativa (IMN) calculados solo con etiquetas automáticas; clasificar normas de otros dominios o idiomas sin reentrenar; tomar decisiones sobre personas; comparar o sancionar países sin revisión humana ni margen de incertidumbre.</w:t>
      </w:r>
    </w:p>
    <w:p>
      <w:pPr>
        <w:pStyle w:val="Heading3"/>
        <w:keepNext/>
        <w:spacing w:after="80" w:before="200"/>
      </w:pPr>
      <w:r>
        <w:t xml:space="preserve">3. Factores relevantes</w:t>
      </w:r>
    </w:p>
    <w:p>
      <w:pPr>
        <w:pStyle w:val="ListParagraph"/>
        <w:numPr>
          <w:ilvl w:val="0"/>
          <w:numId w:val="4"/>
        </w:numPr>
        <w:spacing w:after="60" w:line="264"/>
        <w:jc w:val="both"/>
      </w:pPr>
      <w:r>
        <w:t xml:space="preserve">*</w:t>
      </w:r>
      <w:r>
        <w:rPr>
          <w:i/>
          <w:iCs/>
        </w:rPr>
        <w:t xml:space="preserve">Idioma del título</w:t>
      </w:r>
      <w:r>
        <w:rPr>
          <w:i/>
          <w:iCs/>
        </w:rPr>
        <w:t xml:space="preserve"> (es / pt / en), </w:t>
      </w:r>
      <w:r>
        <w:rPr>
          <w:i/>
          <w:iCs/>
        </w:rPr>
        <w:t xml:space="preserve">región</w:t>
      </w:r>
      <w:r>
        <w:rPr>
          <w:i/>
          <w:iCs/>
        </w:rPr>
        <w:t xml:space="preserve"> (Hispanoamérica continental / Brasil / Caribe), </w:t>
      </w:r>
      <w:r>
        <w:rPr>
          <w:i/>
          <w:iCs/>
        </w:rPr>
        <w:t xml:space="preserve">tamaño del país en el corpus</w:t>
      </w:r>
      <w:r>
        <w:rPr>
          <w:i/>
          <w:iCs/>
        </w:rPr>
        <w:t xml:space="preserve">, </w:t>
      </w:r>
      <w:r>
        <w:rPr>
          <w:i/>
          <w:iCs/>
        </w:rPr>
        <w:t xml:space="preserve">ámbito</w:t>
      </w:r>
      <w:r>
        <w:rPr>
          <w:i/>
          <w:iCs/>
        </w:rPr>
        <w:t xml:space="preserve"> (nacional / institucional), </w:t>
      </w:r>
      <w:r>
        <w:rPr>
          <w:i/>
          <w:iCs/>
        </w:rPr>
        <w:t xml:space="preserve">dimensión</w:t>
      </w:r>
      <w:r>
        <w:rPr>
          <w:i/>
          <w:iCs/>
        </w:rPr>
        <w:t xml:space="preserve"> (cinco clases desbalanceadas 4.7:1), </w:t>
      </w:r>
      <w:r>
        <w:rPr>
          <w:i/>
          <w:iCs/>
        </w:rPr>
        <w:t xml:space="preserve">codificador original</w:t>
      </w:r>
      <w:r>
        <w:t xml:space="preserve">* (confundido con el país: V de Cramér 0.99).</w:t>
      </w:r>
    </w:p>
    <w:p>
      <w:pPr>
        <w:pStyle w:val="Heading3"/>
        <w:keepNext/>
        <w:spacing w:after="80" w:before="200"/>
      </w:pPr>
      <w:r>
        <w:t xml:space="preserve">4. Métricas</w:t>
      </w:r>
    </w:p>
    <w:p>
      <w:pPr>
        <w:pStyle w:val="ListParagraph"/>
        <w:numPr>
          <w:ilvl w:val="0"/>
          <w:numId w:val="4"/>
        </w:numPr>
        <w:spacing w:after="60" w:line="264"/>
        <w:jc w:val="both"/>
      </w:pPr>
      <w:r>
        <w:t xml:space="preserve">F1 macro (principal, por el desbalance), exactitud, top-2, κ de Cohen frente a la etiqueta de referencia; intervalos de confianza de Wilson y </w:t>
      </w:r>
      <w:r>
        <w:rPr>
          <w:i/>
          <w:iCs/>
        </w:rPr>
        <w:t xml:space="preserve">bootstrap</w:t>
      </w:r>
      <w:r>
        <w:t xml:space="preserve">; McNemar frente a líneas base; desagregación por factor.</w:t>
      </w:r>
    </w:p>
    <w:p>
      <w:pPr>
        <w:pStyle w:val="Heading3"/>
        <w:keepNext/>
        <w:spacing w:after="80" w:before="200"/>
      </w:pPr>
      <w:r>
        <w:t xml:space="preserve">5. Datos de evaluación</w:t>
      </w:r>
    </w:p>
    <w:p>
      <w:pPr>
        <w:pStyle w:val="ListParagraph"/>
        <w:numPr>
          <w:ilvl w:val="0"/>
          <w:numId w:val="4"/>
        </w:numPr>
        <w:spacing w:after="60" w:line="264"/>
        <w:jc w:val="both"/>
      </w:pPr>
      <w:r>
        <w:t xml:space="preserve">Validación cruzada de 5 pliegues estratificada por dimensión y por grupo de URL (n = 813). Conjunto ciego: las 125 normas leídas por un investigador de GENIAL con el instrumento de codificación ciega; etiquetas leídas una sola vez.</w:t>
      </w:r>
    </w:p>
    <w:p>
      <w:pPr>
        <w:pStyle w:val="Heading3"/>
        <w:keepNext/>
        <w:spacing w:after="80" w:before="200"/>
      </w:pPr>
      <w:r>
        <w:t xml:space="preserve">6. Datos de entrenamiento</w:t>
      </w:r>
    </w:p>
    <w:p>
      <w:pPr>
        <w:pStyle w:val="ListParagraph"/>
        <w:numPr>
          <w:ilvl w:val="0"/>
          <w:numId w:val="4"/>
        </w:numPr>
        <w:spacing w:after="60" w:line="264"/>
        <w:jc w:val="both"/>
      </w:pPr>
      <w:r>
        <w:t xml:space="preserve">Corpus consolidado GENIAL, versión congelada (SHA-256 f9797147…3f33), 813 normas de 28 jurisdicciones; véase docs/datasheet_corpus.md.</w:t>
      </w:r>
    </w:p>
    <w:p>
      <w:pPr>
        <w:pStyle w:val="Heading3"/>
        <w:keepNext/>
        <w:spacing w:after="80" w:before="200"/>
      </w:pPr>
      <w:r>
        <w:t xml:space="preserve">7. Resultados cuantitativos</w:t>
      </w:r>
    </w:p>
    <w:tbl>
      <w:tblPr>
        <w:tblW w:type="dxa" w:w="9411"/>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3137"/>
        <w:gridCol w:w="3137"/>
        <w:gridCol w:w="3137"/>
      </w:tblGrid>
      <w:tr>
        <w:trPr>
          <w:cantSplit/>
          <w:tblHeader/>
        </w:trPr>
        <w:tc>
          <w:tcPr>
            <w:tcW w:type="dxa" w:w="3137"/>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Métrica</w:t>
            </w:r>
          </w:p>
        </w:tc>
        <w:tc>
          <w:tcPr>
            <w:tcW w:type="dxa" w:w="3137"/>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CV por grupo (n = 813)</w:t>
            </w:r>
          </w:p>
        </w:tc>
        <w:tc>
          <w:tcPr>
            <w:tcW w:type="dxa" w:w="3137"/>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Ciego (n = 125)</w:t>
            </w:r>
          </w:p>
        </w:tc>
      </w:tr>
      <w:tr>
        <w:trPr>
          <w:cantSplit w:val="false"/>
        </w:trPr>
        <w:tc>
          <w:tcPr>
            <w:tcW w:type="dxa" w:w="3137"/>
            <w:tcMar>
              <w:top w:type="dxa" w:w="60"/>
              <w:left w:type="dxa" w:w="80"/>
              <w:bottom w:type="dxa" w:w="60"/>
              <w:right w:type="dxa" w:w="80"/>
            </w:tcMar>
            <w:vAlign w:val="top"/>
          </w:tcPr>
          <w:p>
            <w:pPr>
              <w:spacing w:after="40" w:line="240"/>
              <w:jc w:val="left"/>
            </w:pPr>
            <w:r>
              <w:rPr>
                <w:sz w:val="13"/>
                <w:szCs w:val="13"/>
              </w:rPr>
              <w:t xml:space="preserve">F1 macro</w:t>
            </w:r>
          </w:p>
        </w:tc>
        <w:tc>
          <w:tcPr>
            <w:tcW w:type="dxa" w:w="3137"/>
            <w:tcMar>
              <w:top w:type="dxa" w:w="60"/>
              <w:left w:type="dxa" w:w="80"/>
              <w:bottom w:type="dxa" w:w="60"/>
              <w:right w:type="dxa" w:w="80"/>
            </w:tcMar>
            <w:vAlign w:val="top"/>
          </w:tcPr>
          <w:p>
            <w:pPr>
              <w:spacing w:after="40" w:line="240"/>
              <w:jc w:val="left"/>
            </w:pPr>
            <w:r>
              <w:rPr>
                <w:sz w:val="13"/>
                <w:szCs w:val="13"/>
              </w:rPr>
              <w:t xml:space="preserve">0.587 [0.549, 0.623]</w:t>
            </w:r>
          </w:p>
        </w:tc>
        <w:tc>
          <w:tcPr>
            <w:tcW w:type="dxa" w:w="3137"/>
            <w:tcMar>
              <w:top w:type="dxa" w:w="60"/>
              <w:left w:type="dxa" w:w="80"/>
              <w:bottom w:type="dxa" w:w="60"/>
              <w:right w:type="dxa" w:w="80"/>
            </w:tcMar>
            <w:vAlign w:val="top"/>
          </w:tcPr>
          <w:p>
            <w:pPr>
              <w:spacing w:after="40" w:line="240"/>
              <w:jc w:val="left"/>
            </w:pPr>
            <w:r>
              <w:rPr>
                <w:sz w:val="13"/>
                <w:szCs w:val="13"/>
              </w:rPr>
              <w:t xml:space="preserve">0.617 [0.505, 0.712]</w:t>
            </w:r>
          </w:p>
        </w:tc>
      </w:tr>
      <w:tr>
        <w:trPr>
          <w:cantSplit w:val="false"/>
        </w:trPr>
        <w:tc>
          <w:tcPr>
            <w:tcW w:type="dxa" w:w="3137"/>
            <w:shd w:fill="F3F1EE" w:color="auto" w:val="clear"/>
            <w:tcMar>
              <w:top w:type="dxa" w:w="60"/>
              <w:left w:type="dxa" w:w="80"/>
              <w:bottom w:type="dxa" w:w="60"/>
              <w:right w:type="dxa" w:w="80"/>
            </w:tcMar>
            <w:vAlign w:val="top"/>
          </w:tcPr>
          <w:p>
            <w:pPr>
              <w:spacing w:after="40" w:line="240"/>
              <w:jc w:val="left"/>
            </w:pPr>
            <w:r>
              <w:rPr>
                <w:sz w:val="13"/>
                <w:szCs w:val="13"/>
              </w:rPr>
              <w:t xml:space="preserve">Exactitud</w:t>
            </w:r>
          </w:p>
        </w:tc>
        <w:tc>
          <w:tcPr>
            <w:tcW w:type="dxa" w:w="3137"/>
            <w:shd w:fill="F3F1EE" w:color="auto" w:val="clear"/>
            <w:tcMar>
              <w:top w:type="dxa" w:w="60"/>
              <w:left w:type="dxa" w:w="80"/>
              <w:bottom w:type="dxa" w:w="60"/>
              <w:right w:type="dxa" w:w="80"/>
            </w:tcMar>
            <w:vAlign w:val="top"/>
          </w:tcPr>
          <w:p>
            <w:pPr>
              <w:spacing w:after="40" w:line="240"/>
              <w:jc w:val="left"/>
            </w:pPr>
            <w:r>
              <w:rPr>
                <w:sz w:val="13"/>
                <w:szCs w:val="13"/>
              </w:rPr>
              <w:t xml:space="preserve">0.635 [0.601, 0.667]</w:t>
            </w:r>
          </w:p>
        </w:tc>
        <w:tc>
          <w:tcPr>
            <w:tcW w:type="dxa" w:w="3137"/>
            <w:shd w:fill="F3F1EE" w:color="auto" w:val="clear"/>
            <w:tcMar>
              <w:top w:type="dxa" w:w="60"/>
              <w:left w:type="dxa" w:w="80"/>
              <w:bottom w:type="dxa" w:w="60"/>
              <w:right w:type="dxa" w:w="80"/>
            </w:tcMar>
            <w:vAlign w:val="top"/>
          </w:tcPr>
          <w:p>
            <w:pPr>
              <w:spacing w:after="40" w:line="240"/>
              <w:jc w:val="left"/>
            </w:pPr>
            <w:r>
              <w:rPr>
                <w:sz w:val="13"/>
                <w:szCs w:val="13"/>
              </w:rPr>
              <w:t xml:space="preserve">0.688 [0.602, 0.763]</w:t>
            </w:r>
          </w:p>
        </w:tc>
      </w:tr>
      <w:tr>
        <w:trPr>
          <w:cantSplit w:val="false"/>
        </w:trPr>
        <w:tc>
          <w:tcPr>
            <w:tcW w:type="dxa" w:w="3137"/>
            <w:tcMar>
              <w:top w:type="dxa" w:w="60"/>
              <w:left w:type="dxa" w:w="80"/>
              <w:bottom w:type="dxa" w:w="60"/>
              <w:right w:type="dxa" w:w="80"/>
            </w:tcMar>
            <w:vAlign w:val="top"/>
          </w:tcPr>
          <w:p>
            <w:pPr>
              <w:spacing w:after="40" w:line="240"/>
              <w:jc w:val="left"/>
            </w:pPr>
            <w:r>
              <w:rPr>
                <w:sz w:val="13"/>
                <w:szCs w:val="13"/>
              </w:rPr>
              <w:t xml:space="preserve">Top-2</w:t>
            </w:r>
          </w:p>
        </w:tc>
        <w:tc>
          <w:tcPr>
            <w:tcW w:type="dxa" w:w="3137"/>
            <w:tcMar>
              <w:top w:type="dxa" w:w="60"/>
              <w:left w:type="dxa" w:w="80"/>
              <w:bottom w:type="dxa" w:w="60"/>
              <w:right w:type="dxa" w:w="80"/>
            </w:tcMar>
            <w:vAlign w:val="top"/>
          </w:tcPr>
          <w:p>
            <w:pPr>
              <w:spacing w:after="40" w:line="240"/>
              <w:jc w:val="left"/>
            </w:pPr>
            <w:r>
              <w:rPr>
                <w:sz w:val="13"/>
                <w:szCs w:val="13"/>
              </w:rPr>
              <w:t xml:space="preserve">0.852</w:t>
            </w:r>
          </w:p>
        </w:tc>
        <w:tc>
          <w:tcPr>
            <w:tcW w:type="dxa" w:w="3137"/>
            <w:tcMar>
              <w:top w:type="dxa" w:w="60"/>
              <w:left w:type="dxa" w:w="80"/>
              <w:bottom w:type="dxa" w:w="60"/>
              <w:right w:type="dxa" w:w="80"/>
            </w:tcMar>
            <w:vAlign w:val="top"/>
          </w:tcPr>
          <w:p>
            <w:pPr>
              <w:spacing w:after="40" w:line="240"/>
              <w:jc w:val="left"/>
            </w:pPr>
            <w:r>
              <w:rPr>
                <w:sz w:val="13"/>
                <w:szCs w:val="13"/>
              </w:rPr>
              <w:t xml:space="preserve">0.872</w:t>
            </w:r>
          </w:p>
        </w:tc>
      </w:tr>
      <w:tr>
        <w:trPr>
          <w:cantSplit w:val="false"/>
        </w:trPr>
        <w:tc>
          <w:tcPr>
            <w:tcW w:type="dxa" w:w="3137"/>
            <w:shd w:fill="F3F1EE" w:color="auto" w:val="clear"/>
            <w:tcMar>
              <w:top w:type="dxa" w:w="60"/>
              <w:left w:type="dxa" w:w="80"/>
              <w:bottom w:type="dxa" w:w="60"/>
              <w:right w:type="dxa" w:w="80"/>
            </w:tcMar>
            <w:vAlign w:val="top"/>
          </w:tcPr>
          <w:p>
            <w:pPr>
              <w:spacing w:after="40" w:line="240"/>
              <w:jc w:val="left"/>
            </w:pPr>
            <w:r>
              <w:rPr>
                <w:sz w:val="13"/>
                <w:szCs w:val="13"/>
              </w:rPr>
              <w:t xml:space="preserve">κ vs referencia</w:t>
            </w:r>
          </w:p>
        </w:tc>
        <w:tc>
          <w:tcPr>
            <w:tcW w:type="dxa" w:w="3137"/>
            <w:shd w:fill="F3F1EE" w:color="auto" w:val="clear"/>
            <w:tcMar>
              <w:top w:type="dxa" w:w="60"/>
              <w:left w:type="dxa" w:w="80"/>
              <w:bottom w:type="dxa" w:w="60"/>
              <w:right w:type="dxa" w:w="80"/>
            </w:tcMar>
            <w:vAlign w:val="top"/>
          </w:tcPr>
          <w:p>
            <w:pPr>
              <w:spacing w:after="40" w:line="240"/>
              <w:jc w:val="left"/>
            </w:pPr>
            <w:r>
              <w:rPr>
                <w:sz w:val="13"/>
                <w:szCs w:val="13"/>
              </w:rPr>
              <w:t xml:space="preserve">0.50</w:t>
            </w:r>
          </w:p>
        </w:tc>
        <w:tc>
          <w:tcPr>
            <w:tcW w:type="dxa" w:w="3137"/>
            <w:shd w:fill="F3F1EE" w:color="auto" w:val="clear"/>
            <w:tcMar>
              <w:top w:type="dxa" w:w="60"/>
              <w:left w:type="dxa" w:w="80"/>
              <w:bottom w:type="dxa" w:w="60"/>
              <w:right w:type="dxa" w:w="80"/>
            </w:tcMar>
            <w:vAlign w:val="top"/>
          </w:tcPr>
          <w:p>
            <w:pPr>
              <w:spacing w:after="40" w:line="240"/>
              <w:jc w:val="left"/>
            </w:pPr>
            <w:r>
              <w:rPr>
                <w:sz w:val="13"/>
                <w:szCs w:val="13"/>
              </w:rPr>
              <w:t xml:space="preserve">0.56</w:t>
            </w:r>
          </w:p>
        </w:tc>
      </w:tr>
      <w:tr>
        <w:trPr>
          <w:cantSplit w:val="false"/>
        </w:trPr>
        <w:tc>
          <w:tcPr>
            <w:tcW w:type="dxa" w:w="3137"/>
            <w:tcMar>
              <w:top w:type="dxa" w:w="60"/>
              <w:left w:type="dxa" w:w="80"/>
              <w:bottom w:type="dxa" w:w="60"/>
              <w:right w:type="dxa" w:w="80"/>
            </w:tcMar>
            <w:vAlign w:val="top"/>
          </w:tcPr>
          <w:p>
            <w:pPr>
              <w:spacing w:after="40" w:line="240"/>
              <w:jc w:val="left"/>
            </w:pPr>
            <w:r>
              <w:rPr>
                <w:sz w:val="13"/>
                <w:szCs w:val="13"/>
              </w:rPr>
              <w:t xml:space="preserve">F1 por clase</w:t>
            </w:r>
          </w:p>
        </w:tc>
        <w:tc>
          <w:tcPr>
            <w:tcW w:type="dxa" w:w="3137"/>
            <w:tcMar>
              <w:top w:type="dxa" w:w="60"/>
              <w:left w:type="dxa" w:w="80"/>
              <w:bottom w:type="dxa" w:w="60"/>
              <w:right w:type="dxa" w:w="80"/>
            </w:tcMar>
            <w:vAlign w:val="top"/>
          </w:tcPr>
          <w:p>
            <w:pPr>
              <w:spacing w:after="40" w:line="240"/>
              <w:jc w:val="left"/>
            </w:pPr>
            <w:r>
              <w:rPr>
                <w:sz w:val="13"/>
                <w:szCs w:val="13"/>
              </w:rPr>
              <w:t xml:space="preserve">Ped 0.71 · Ética 0.67 · Adm 0.41 · PD 0.80 · Téc 0.35</w:t>
            </w:r>
          </w:p>
        </w:tc>
        <w:tc>
          <w:tcPr>
            <w:tcW w:type="dxa" w:w="3137"/>
            <w:tcMar>
              <w:top w:type="dxa" w:w="60"/>
              <w:left w:type="dxa" w:w="80"/>
              <w:bottom w:type="dxa" w:w="60"/>
              <w:right w:type="dxa" w:w="80"/>
            </w:tcMar>
            <w:vAlign w:val="top"/>
          </w:tcPr>
          <w:p>
            <w:pPr>
              <w:spacing w:after="40" w:line="240"/>
              <w:jc w:val="left"/>
            </w:pPr>
            <w:r>
              <w:rPr>
                <w:sz w:val="13"/>
                <w:szCs w:val="13"/>
              </w:rPr>
              <w:t xml:space="preserve">—</w:t>
            </w:r>
          </w:p>
        </w:tc>
      </w:tr>
    </w:tbl>
    <w:p>
      <w:pPr>
        <w:spacing w:after="90" w:before="0" w:line="259"/>
        <w:jc w:val="both"/>
      </w:pPr>
      <w:r>
        <w:t xml:space="preserve">Desagregado (exactitud, CV): es 0.66 · pt 0.47 · en 0.36; Hispanoamérica continental 0.67 · Brasil 0.47 · Caribe 0.38; institucional 0.67 · nacional 0.55; países &lt; 20 normas 0.56. Normas nuevas del Caribe (n = 23, fuera de la versión congelada): 0.39.</w:t>
      </w:r>
    </w:p>
    <w:p>
      <w:pPr>
        <w:pStyle w:val="Heading3"/>
        <w:keepNext/>
        <w:spacing w:after="80" w:before="200"/>
      </w:pPr>
      <w:r>
        <w:t xml:space="preserve">8. Consideraciones éticas</w:t>
      </w:r>
    </w:p>
    <w:p>
      <w:pPr>
        <w:pStyle w:val="ListParagraph"/>
        <w:numPr>
          <w:ilvl w:val="0"/>
          <w:numId w:val="4"/>
        </w:numPr>
        <w:spacing w:after="60" w:line="264"/>
        <w:jc w:val="both"/>
      </w:pPr>
      <w:r>
        <w:t xml:space="preserve">El modelo rinde peor en normas en portugués e inglés y en el Caribe: sin salvaguardas, el IMN de esas jurisdicciones quedaría sistemáticamente distorsionado. Regla de gobernanza: revisión humana obligatoria para países con &lt; 20 normas e idiomas distintos del español (incluido el portugués desde v0.3) y para toda predicción con probabilidad &lt; 0.50.</w:t>
      </w:r>
    </w:p>
    <w:p>
      <w:pPr>
        <w:pStyle w:val="ListParagraph"/>
        <w:numPr>
          <w:ilvl w:val="0"/>
          <w:numId w:val="4"/>
        </w:numPr>
        <w:spacing w:after="60" w:line="264"/>
        <w:jc w:val="both"/>
      </w:pPr>
      <w:r>
        <w:t xml:space="preserve">Los errores se concentran en normas que el codificador humano marcó como multidimensionales o de confianza media: la etiqueta única es una simplificación del framework y el modelo la hereda.</w:t>
      </w:r>
    </w:p>
    <w:p>
      <w:pPr>
        <w:pStyle w:val="ListParagraph"/>
        <w:numPr>
          <w:ilvl w:val="0"/>
          <w:numId w:val="4"/>
        </w:numPr>
        <w:spacing w:after="60" w:line="264"/>
        <w:jc w:val="both"/>
      </w:pPr>
      <w:r>
        <w:t xml:space="preserve">El corpus contiene el nombre del codificador de cada norma (dato personal): se excluye del modelo, se anonimiza en toda publicación y no se envía al proveedor de LLM.</w:t>
      </w:r>
    </w:p>
    <w:p>
      <w:pPr>
        <w:pStyle w:val="Heading3"/>
        <w:keepNext/>
        <w:spacing w:after="80" w:before="200"/>
      </w:pPr>
      <w:r>
        <w:t xml:space="preserve">9. Advertencias y recomendaciones</w:t>
      </w:r>
    </w:p>
    <w:p>
      <w:pPr>
        <w:pStyle w:val="ListParagraph"/>
        <w:numPr>
          <w:ilvl w:val="0"/>
          <w:numId w:val="4"/>
        </w:numPr>
        <w:spacing w:after="60" w:line="264"/>
        <w:jc w:val="both"/>
      </w:pPr>
      <w:r>
        <w:t xml:space="preserve">No usar como sustituto del codificador: la automatización con ≥ 85 % de exactitud exigiría revisar ~84 % de las normas.</w:t>
      </w:r>
    </w:p>
    <w:p>
      <w:pPr>
        <w:pStyle w:val="ListParagraph"/>
        <w:numPr>
          <w:ilvl w:val="0"/>
          <w:numId w:val="4"/>
        </w:numPr>
        <w:spacing w:after="60" w:line="264"/>
        <w:jc w:val="both"/>
      </w:pPr>
      <w:r>
        <w:t xml:space="preserve">Reentrenar y volver a auditar por grupo en cada actualización del corpus; publicar esta tarjeta actualizada con cada versión.</w:t>
      </w:r>
    </w:p>
    <w:p>
      <w:pPr>
        <w:pStyle w:val="ListParagraph"/>
        <w:numPr>
          <w:ilvl w:val="0"/>
          <w:numId w:val="4"/>
        </w:numPr>
        <w:spacing w:after="60" w:line="264"/>
        <w:jc w:val="both"/>
      </w:pPr>
      <w:r>
        <w:t xml:space="preserve">Toda cifra del IMN debe acompañarse del porcentaje de normas con respaldo humano y de un margen de incertidumbre.</w:t>
      </w:r>
    </w:p>
    <w:p>
      <w:pPr>
        <w:pStyle w:val="Heading2"/>
        <w:keepNext/>
        <w:spacing w:after="120" w:before="280"/>
      </w:pPr>
      <w:r>
        <w:t xml:space="preserve">Anexo B. Datasheet del corpus GENIAL (versión congelada)</w:t>
      </w:r>
    </w:p>
    <w:p>
      <w:pPr>
        <w:spacing w:after="90" w:before="0" w:line="259"/>
        <w:jc w:val="both"/>
      </w:pPr>
      <w:r>
        <w:t xml:space="preserve">Formato basado en Gebru et al. (2021). Complementa data/README.md y DATA_LICENSE.md.</w:t>
      </w:r>
    </w:p>
    <w:p>
      <w:pPr>
        <w:pStyle w:val="Heading3"/>
        <w:keepNext/>
        <w:spacing w:after="80" w:before="200"/>
      </w:pPr>
      <w:r>
        <w:t xml:space="preserve">Motivación</w:t>
      </w:r>
    </w:p>
    <w:p>
      <w:pPr>
        <w:pStyle w:val="ListParagraph"/>
        <w:numPr>
          <w:ilvl w:val="0"/>
          <w:numId w:val="4"/>
        </w:numPr>
        <w:spacing w:after="60" w:line="264"/>
        <w:jc w:val="both"/>
      </w:pPr>
      <w:r>
        <w:t xml:space="preserve">*</w:t>
      </w:r>
      <w:r>
        <w:rPr>
          <w:i/>
          <w:iCs/>
        </w:rPr>
        <w:t xml:space="preserve">¿Para qué se creó?</w:t>
      </w:r>
      <w:r>
        <w:t xml:space="preserve">* Para el observatorio regional del proyecto GENIAL (Erasmus+): inventariar y caracterizar la normativa sobre inteligencia artificial en la educación superior de América Latina y el Caribe y alimentar un Índice de Madurez Normativa (IMN) por país.</w:t>
      </w:r>
    </w:p>
    <w:p>
      <w:pPr>
        <w:pStyle w:val="ListParagraph"/>
        <w:numPr>
          <w:ilvl w:val="0"/>
          <w:numId w:val="4"/>
        </w:numPr>
        <w:spacing w:after="60" w:line="264"/>
        <w:jc w:val="both"/>
      </w:pPr>
      <w:r>
        <w:t xml:space="preserve">*</w:t>
      </w:r>
      <w:r>
        <w:rPr>
          <w:i/>
          <w:iCs/>
        </w:rPr>
        <w:t xml:space="preserve">¿Quién lo creó y financió?</w:t>
      </w:r>
      <w:r>
        <w:t xml:space="preserve">* Diez investigadores del consorcio GENIAL, coordinados desde la Universidad de Cuenca para Ecuador y desde la Université de Toulouse a nivel general; financiación Erasmus+ (Unión Europea).</w:t>
      </w:r>
    </w:p>
    <w:p>
      <w:pPr>
        <w:pStyle w:val="Heading3"/>
        <w:keepNext/>
        <w:spacing w:after="80" w:before="200"/>
      </w:pPr>
      <w:r>
        <w:t xml:space="preserve">Composición</w:t>
      </w:r>
    </w:p>
    <w:p>
      <w:pPr>
        <w:pStyle w:val="ListParagraph"/>
        <w:numPr>
          <w:ilvl w:val="0"/>
          <w:numId w:val="4"/>
        </w:numPr>
        <w:spacing w:after="60" w:line="264"/>
        <w:jc w:val="both"/>
      </w:pPr>
      <w:r>
        <w:t xml:space="preserve">813 registros; cada uno es un instrumento normativo (ley, estrategia nacional, reglamento, política institucional, guía) de 28 jurisdicciones (27 países y Puerto Rico). Cinco países concentran el 66 % (México 179, Chile 105, Argentina 100, Brasil 81, Ecuador 81); 12 jurisdicciones tienen menos de 20 normas.</w:t>
      </w:r>
    </w:p>
    <w:p>
      <w:pPr>
        <w:pStyle w:val="ListParagraph"/>
        <w:numPr>
          <w:ilvl w:val="0"/>
          <w:numId w:val="4"/>
        </w:numPr>
        <w:spacing w:after="60" w:line="264"/>
        <w:jc w:val="both"/>
      </w:pPr>
      <w:r>
        <w:t xml:space="preserve">13 columnas: Investigador, País, Título de la Norma, Tipo de norma, Estado, Organismo Emisor/Universidad, Dominio (variable objetivo: Pedagógico 294, Ética 265, Administrativo 120, Protección de Datos 71, Técnico 63), Vínculo con Educación, Dedicación del Texto, Ámbito, Fecha de Publicación, Observaciones, URL Oficial.</w:t>
      </w:r>
    </w:p>
    <w:p>
      <w:pPr>
        <w:pStyle w:val="ListParagraph"/>
        <w:numPr>
          <w:ilvl w:val="0"/>
          <w:numId w:val="4"/>
        </w:numPr>
        <w:spacing w:after="60" w:line="264"/>
        <w:jc w:val="both"/>
      </w:pPr>
      <w:r>
        <w:t xml:space="preserve">*</w:t>
      </w:r>
      <w:r>
        <w:rPr>
          <w:i/>
          <w:iCs/>
        </w:rPr>
        <w:t xml:space="preserve">Datos personales://* la columna Investigador contiene el nombre del codificador (dato personal de 10 personas identificables); el resto describe documentos públicos. No hay datos de estudiantes ni de docentes.</w:t>
      </w:r>
    </w:p>
    <w:p>
      <w:pPr>
        <w:pStyle w:val="ListParagraph"/>
        <w:numPr>
          <w:ilvl w:val="0"/>
          <w:numId w:val="4"/>
        </w:numPr>
        <w:spacing w:after="60" w:line="264"/>
        <w:jc w:val="both"/>
      </w:pPr>
      <w:r>
        <w:t xml:space="preserve">*</w:t>
      </w:r>
      <w:r>
        <w:rPr>
          <w:i/>
          <w:iCs/>
        </w:rPr>
        <w:t xml:space="preserve">Errores y ruido conocidos://* 1 valor faltante de Dominio (corregido con criterio experto documentado); 14 grupos de URL repetida (30 normas, 8 con dimensiones distintas); 42 % de fechas no interpretables; Tipo de norma con 14 variantes que se normalizan a 11; textos muy cortos (10 con menos de 12 palabras).</w:t>
      </w:r>
    </w:p>
    <w:p>
      <w:pPr>
        <w:pStyle w:val="ListParagraph"/>
        <w:numPr>
          <w:ilvl w:val="0"/>
          <w:numId w:val="4"/>
        </w:numPr>
        <w:spacing w:after="60" w:line="264"/>
        <w:jc w:val="both"/>
      </w:pPr>
      <w:r>
        <w:t xml:space="preserve">*</w:t>
      </w:r>
      <w:r>
        <w:rPr>
          <w:i/>
          <w:iCs/>
        </w:rPr>
        <w:t xml:space="preserve">Etiqueta://* una sola dimensión por norma asignada por un único codificador; fiabilidad intercodificador no medida (κ humano-humano pendiente). El 84 % de las normas releídas por un segundo investigador recibieron etiquetas secundarias: la etiqueta única es una simplificación.</w:t>
      </w:r>
    </w:p>
    <w:p>
      <w:pPr>
        <w:pStyle w:val="Heading3"/>
        <w:keepNext/>
        <w:spacing w:after="80" w:before="200"/>
      </w:pPr>
      <w:r>
        <w:t xml:space="preserve">Proceso de recolección</w:t>
      </w:r>
    </w:p>
    <w:p>
      <w:pPr>
        <w:pStyle w:val="ListParagraph"/>
        <w:numPr>
          <w:ilvl w:val="0"/>
          <w:numId w:val="4"/>
        </w:numPr>
        <w:spacing w:after="60" w:line="264"/>
        <w:jc w:val="both"/>
      </w:pPr>
      <w:r>
        <w:t xml:space="preserve">Búsqueda documental por país (fuentes oficiales, portales legislativos, sitios institucionales), 2025-2026. Cada norma fue leída y codificada por un investigador; las Observaciones son resúmenes redactados por el codificador en español, incluso para normas en portugués o inglés. Cada país fue cubierto por un solo investigador: codificador y país están confundidos (V de Cramér 0.99).</w:t>
      </w:r>
    </w:p>
    <w:p>
      <w:pPr>
        <w:pStyle w:val="ListParagraph"/>
        <w:numPr>
          <w:ilvl w:val="0"/>
          <w:numId w:val="4"/>
        </w:numPr>
        <w:spacing w:after="60" w:line="264"/>
        <w:jc w:val="both"/>
      </w:pPr>
      <w:r>
        <w:t xml:space="preserve">La versión usada en este proyecto está congelada con hash SHA-256 f9797147e7026f796d453fa84d09c4bf32c48ae75c3744912806a72db3ff7f33; GENIAL ha incorporado normas posteriores (p. ej., 23 del Caribe) que no están en ella.</w:t>
      </w:r>
    </w:p>
    <w:p>
      <w:pPr>
        <w:pStyle w:val="Heading3"/>
        <w:keepNext/>
        <w:spacing w:after="80" w:before="200"/>
      </w:pPr>
      <w:r>
        <w:t xml:space="preserve">Preprocesamiento</w:t>
      </w:r>
    </w:p>
    <w:p>
      <w:pPr>
        <w:pStyle w:val="ListParagraph"/>
        <w:numPr>
          <w:ilvl w:val="0"/>
          <w:numId w:val="4"/>
        </w:numPr>
        <w:spacing w:after="60" w:line="264"/>
        <w:jc w:val="both"/>
      </w:pPr>
      <w:r>
        <w:t xml:space="preserve">Normalización de Tipo de norma, texto = título + observaciones, detección de idioma sobre el título, marcado de duplicados por URL, identificador id_norma. Tipo de norma, Investigador y Fecha se excluyen como predictores por diseño.</w:t>
      </w:r>
    </w:p>
    <w:p>
      <w:pPr>
        <w:pStyle w:val="Heading3"/>
        <w:keepNext/>
        <w:spacing w:after="80" w:before="200"/>
      </w:pPr>
      <w:r>
        <w:t xml:space="preserve">Usos</w:t>
      </w:r>
    </w:p>
    <w:p>
      <w:pPr>
        <w:pStyle w:val="ListParagraph"/>
        <w:numPr>
          <w:ilvl w:val="0"/>
          <w:numId w:val="4"/>
        </w:numPr>
        <w:spacing w:after="60" w:line="264"/>
        <w:jc w:val="both"/>
      </w:pPr>
      <w:r>
        <w:t xml:space="preserve">Uso actual: entrenar y evaluar el clasificador de dimensión y el flujo asistido del observatorio; análisis exploratorio; auditoría de equidad por jurisdicción.</w:t>
      </w:r>
    </w:p>
    <w:p>
      <w:pPr>
        <w:pStyle w:val="ListParagraph"/>
        <w:numPr>
          <w:ilvl w:val="0"/>
          <w:numId w:val="4"/>
        </w:numPr>
        <w:spacing w:after="60" w:line="264"/>
        <w:jc w:val="both"/>
      </w:pPr>
      <w:r>
        <w:t xml:space="preserve">*</w:t>
      </w:r>
      <w:r>
        <w:rPr>
          <w:i/>
          <w:iCs/>
        </w:rPr>
        <w:t xml:space="preserve">Usos que deben evitarse://* inferir calidad o rendimiento de los codificadores a partir del modelo (el efecto codificador está confundido con el país); publicar el corpus completo; usar el conteo por dimensión como medida de «calidad» de la política pública de un país sin contexto.</w:t>
      </w:r>
    </w:p>
    <w:p>
      <w:pPr>
        <w:pStyle w:val="Heading3"/>
        <w:keepNext/>
        <w:spacing w:after="80" w:before="200"/>
      </w:pPr>
      <w:r>
        <w:t xml:space="preserve">Distribución</w:t>
      </w:r>
    </w:p>
    <w:p>
      <w:pPr>
        <w:pStyle w:val="ListParagraph"/>
        <w:numPr>
          <w:ilvl w:val="0"/>
          <w:numId w:val="4"/>
        </w:numPr>
        <w:spacing w:after="60" w:line="264"/>
        <w:jc w:val="both"/>
      </w:pPr>
      <w:r>
        <w:t xml:space="preserve">El corpus completo *</w:t>
      </w:r>
      <w:r>
        <w:rPr>
          <w:i/>
          <w:iCs/>
        </w:rPr>
        <w:t xml:space="preserve">no se redistribuye</w:t>
      </w:r>
      <w:r>
        <w:t xml:space="preserve">* (autorización del consorcio GENIAL limitada al equipo). Se publican: el hash, las estadísticas agregadas, una muestra anonimizada de 40 normas (data/samples/) y los resultados agregados sin texto de normas. Licencia de la muestra: uso académico con atribución.</w:t>
      </w:r>
    </w:p>
    <w:p>
      <w:pPr>
        <w:pStyle w:val="Heading3"/>
        <w:keepNext/>
        <w:spacing w:after="80" w:before="200"/>
      </w:pPr>
      <w:r>
        <w:t xml:space="preserve">Mantenimiento</w:t>
      </w:r>
    </w:p>
    <w:p>
      <w:pPr>
        <w:pStyle w:val="ListParagraph"/>
        <w:numPr>
          <w:ilvl w:val="0"/>
          <w:numId w:val="4"/>
        </w:numPr>
        <w:spacing w:after="60" w:line="264"/>
        <w:jc w:val="both"/>
      </w:pPr>
      <w:r>
        <w:t xml:space="preserve">Responsable de la versión congelada: coordinación Ecuador de GENIAL (J. Maldonado). Las actualizaciones del corpus generan una nueva versión con nuevo hash, reentrenamiento y nueva auditoría por grupo; los codificadores pueden solicitar la corrección o eliminación de su nombre en cualquier copia.</w:t>
      </w:r>
    </w:p>
    <w:sectPr>
      <w:headerReference r:id="rId12" w:type="default"/>
      <w:footerReference w:type="default" r:id="rId7"/>
      <w:pgSz w:w="11906" w:h="16838" w:orient="portrait"/>
      <w:pgMar w:top="1247" w:right="1247" w:bottom="1247" w:left="1247" w:header="600" w:footer="5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B" w:sz="4" w:space="4"/>
      </w:pBdr>
      <w:tabs>
        <w:tab w:val="right" w:pos="9412"/>
      </w:tabs>
      <w:jc w:val="left"/>
    </w:pPr>
    <w:r>
      <w:rPr>
        <w:color w:val="6E6862"/>
        <w:sz w:val="16"/>
        <w:szCs w:val="16"/>
      </w:rPr>
      <w:t xml:space="preserve">Grupo 9 · Proyecto Integrador · Maestría en Inteligencia Artificial · UEES</w:t>
    </w:r>
    <w:r>
      <w:rPr>
        <w:color w:val="6E6862"/>
        <w:sz w:val="16"/>
        <w:szCs w:val="16"/>
      </w:rPr>
      <w:t xml:space="preserve">	Página </w:t>
    </w:r>
    <w:r>
      <w:rPr>
        <w:color w:val="6E68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A1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outlineLvl w:val="0"/>
    </w:pPr>
    <w:rPr>
      <w:rFonts w:ascii="Calibri" w:cs="Calibri" w:eastAsia="Calibri" w:hAnsi="Calibri"/>
      <w:b/>
      <w:bCs/>
      <w:color w:val="7A1F3D"/>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1B1A19"/>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4A3C42"/>
      <w:sz w:val="22"/>
      <w:szCs w:val="22"/>
    </w:rPr>
  </w:style>
</w:styles>
</file>

<file path=word/uees_header.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i w:val="1"/>
        <w:color w:val="999999"/>
        <w:sz w:val="20"/>
        <w:szCs w:val="20"/>
      </w:rPr>
      <w:pict>
        <v:shape id="WordPictureWatermark1" style="position:absolute;width:104.90251989389918pt;height:67.60384615384616pt;rotation:0;z-index:-503316481;mso-position-horizontal-relative:margin;mso-position-horizontal:absolute;margin-left:346.2755905511811pt;mso-position-vertical-relative:margin;mso-position-vertical:absolute;margin-top:-60.75pt;" alt="" type="#_x0000_t75">
          <v:imagedata blacklevel="22938f" cropbottom="0f" cropleft="0f" cropright="0f" croptop="0f" gain="19661f" r:id="rId1" o:title="image2.png"/>
        </v:shape>
      </w:pict>
    </w:r>
    <w:r w:rsidDel="00000000" w:rsidR="00000000" w:rsidRPr="00000000">
      <w:rPr>
        <w:i w:val="1"/>
        <w:color w:val="999999"/>
        <w:sz w:val="20"/>
        <w:szCs w:val="20"/>
        <w:rtl w:val="0"/>
      </w:rPr>
      <w:t xml:space="preserve">Universidad de Especialidades Espíritu Santo</w:t>
    </w:r>
    <w:r w:rsidDel="00000000" w:rsidR="00000000" w:rsidRPr="00000000">
      <w:rPr>
        <w:rtl w:val="0"/>
      </w:rPr>
      <w:t xml:space="preserve"> </w:t>
    </w:r>
  </w:p>
</w:hdr>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9d5a627a4dfccdc7151df6430a7c2eb420f6712.png"/><Relationship Id="rId9" Type="http://schemas.openxmlformats.org/officeDocument/2006/relationships/fontTable" Target="fontTable.xml"/><Relationship Id="rId10" Type="http://schemas.openxmlformats.org/officeDocument/2006/relationships/image" Target="media/uees_image1.png"/><Relationship Id="rId11" Type="http://schemas.openxmlformats.org/officeDocument/2006/relationships/image" Target="media/uees_image3.png"/><Relationship Id="rId12" Type="http://schemas.openxmlformats.org/officeDocument/2006/relationships/header" Target="uees_header.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uees_header.xml.rels><?xml version="1.0" encoding="UTF-8" standalone="yes"?><Relationships xmlns="http://schemas.openxmlformats.org/package/2006/relationships"><Relationship Id="rId1" Type="http://schemas.openxmlformats.org/officeDocument/2006/relationships/image" Target="media/uees_logo.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Clasificación automática de normativa sobre IA en educación superior de ALC: hacia un IMN escalable — Documento técnico</dc:title>
  <dc:creator>Grupo 9 · Jorge Maldonado Mahauad · Melissa Figallo</dc:creator>
  <dc:description>Proyecto Integrador · Maestría en Inteligencia Artificial · UEES</dc:description>
  <cp:lastModifiedBy>Un-named</cp:lastModifiedBy>
  <cp:revision>1</cp:revision>
  <dcterms:created xsi:type="dcterms:W3CDTF">2026-10-03T22:02:34.985Z</dcterms:created>
  <dcterms:modified xsi:type="dcterms:W3CDTF">2026-10-03T22:02:34.985Z</dcterms:modified>
</cp:coreProperties>
</file>

<file path=docProps/custom.xml><?xml version="1.0" encoding="utf-8"?>
<Properties xmlns="http://schemas.openxmlformats.org/officeDocument/2006/custom-properties" xmlns:vt="http://schemas.openxmlformats.org/officeDocument/2006/docPropsVTypes"/>
</file>