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C3" w:rsidRPr="00623A35" w:rsidRDefault="00E478C0">
      <w:pPr>
        <w:rPr>
          <w:b/>
          <w:szCs w:val="20"/>
        </w:rPr>
      </w:pPr>
      <w:proofErr w:type="spellStart"/>
      <w:r w:rsidRPr="00623A35">
        <w:rPr>
          <w:b/>
          <w:szCs w:val="20"/>
        </w:rPr>
        <w:t>Datacenter</w:t>
      </w:r>
      <w:proofErr w:type="spellEnd"/>
    </w:p>
    <w:p w:rsidR="009D6E4F" w:rsidRPr="00623A35" w:rsidRDefault="009D6E4F" w:rsidP="009D6E4F">
      <w:pPr>
        <w:rPr>
          <w:szCs w:val="20"/>
        </w:rPr>
      </w:pPr>
      <w:r w:rsidRPr="00623A35">
        <w:rPr>
          <w:szCs w:val="20"/>
        </w:rPr>
        <w:t>Un Centro de Cómputo, es el conjunto de recursos físicos, lógicos, y humanos necesarios para la organización, realización y control de las actividades informáticas de una empresa.</w:t>
      </w:r>
    </w:p>
    <w:p w:rsidR="00E478C0" w:rsidRPr="00623A35" w:rsidRDefault="009D6E4F" w:rsidP="009D6E4F">
      <w:pPr>
        <w:rPr>
          <w:rFonts w:cs="Century Gothic"/>
          <w:szCs w:val="20"/>
          <w:lang w:val="es-ES"/>
        </w:rPr>
      </w:pPr>
      <w:r w:rsidRPr="00623A35">
        <w:rPr>
          <w:rFonts w:cs="Century Gothic"/>
          <w:szCs w:val="20"/>
          <w:lang w:val="es-ES"/>
        </w:rPr>
        <w:t>Es responsable de la generación de la información necesaria para una adecuada toma de decisiones en los diferentes niveles de gestión.</w:t>
      </w:r>
    </w:p>
    <w:p w:rsidR="009D6E4F" w:rsidRPr="00623A35" w:rsidRDefault="009D6E4F" w:rsidP="009D6E4F">
      <w:pPr>
        <w:rPr>
          <w:rFonts w:cs="Century Gothic"/>
          <w:szCs w:val="20"/>
          <w:lang w:val="es-ES"/>
        </w:rPr>
      </w:pPr>
    </w:p>
    <w:p w:rsidR="009D6E4F" w:rsidRPr="00623A35" w:rsidRDefault="009D6E4F" w:rsidP="009D6E4F">
      <w:pPr>
        <w:rPr>
          <w:rFonts w:cs="Century Gothic"/>
          <w:szCs w:val="20"/>
          <w:lang w:val="es-ES"/>
        </w:rPr>
      </w:pPr>
      <w:r w:rsidRPr="00623A35">
        <w:rPr>
          <w:rFonts w:cs="Century Gothic"/>
          <w:b/>
          <w:szCs w:val="20"/>
          <w:lang w:val="es-ES"/>
        </w:rPr>
        <w:t>Misión</w:t>
      </w:r>
      <w:r w:rsidRPr="00623A35">
        <w:rPr>
          <w:rFonts w:cs="Century Gothic"/>
          <w:szCs w:val="20"/>
          <w:lang w:val="es-ES"/>
        </w:rPr>
        <w:t>:</w:t>
      </w:r>
    </w:p>
    <w:p w:rsidR="009D6E4F" w:rsidRPr="00623A35" w:rsidRDefault="00EE6670" w:rsidP="00EE6670">
      <w:pPr>
        <w:rPr>
          <w:szCs w:val="20"/>
        </w:rPr>
      </w:pPr>
      <w:r w:rsidRPr="00623A35">
        <w:rPr>
          <w:szCs w:val="20"/>
        </w:rPr>
        <w:t>Prestar servicios a diferentes áreas de una organización ya sea dentro de la misma empresa, o bien fuera de ella (producción, operación, programación).</w:t>
      </w:r>
    </w:p>
    <w:p w:rsidR="00EE6670" w:rsidRPr="00623A35" w:rsidRDefault="00EE6670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rFonts w:cs="Century Gothic"/>
          <w:szCs w:val="20"/>
          <w:lang w:val="es-ES"/>
        </w:rPr>
        <w:t>Los diversos servicios que puede prestar un centro de cómputo, pueden dividirse en departamentos a áreas específicas de trabajo.</w:t>
      </w:r>
    </w:p>
    <w:p w:rsidR="007F3072" w:rsidRPr="00623A35" w:rsidRDefault="007F3072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</w:p>
    <w:p w:rsidR="00EE6670" w:rsidRPr="00623A35" w:rsidRDefault="00F5432C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rFonts w:cs="Century Gothic"/>
          <w:b/>
          <w:szCs w:val="20"/>
          <w:lang w:val="es-ES"/>
        </w:rPr>
        <w:t>Principales funciones de un Datacenter</w:t>
      </w:r>
      <w:r w:rsidR="00EE6670" w:rsidRPr="00623A35">
        <w:rPr>
          <w:rFonts w:cs="Century Gothic"/>
          <w:szCs w:val="20"/>
          <w:lang w:val="es-ES"/>
        </w:rPr>
        <w:t>:</w:t>
      </w:r>
    </w:p>
    <w:p w:rsidR="00EE6670" w:rsidRPr="00623A35" w:rsidRDefault="00EE6670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rFonts w:cs="Century Gothic"/>
          <w:szCs w:val="20"/>
          <w:lang w:val="es-ES"/>
        </w:rPr>
        <w:t>Operación, Mantenimiento, Seguridad.</w:t>
      </w:r>
    </w:p>
    <w:p w:rsidR="00EE6670" w:rsidRPr="00623A35" w:rsidRDefault="00EE6670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</w:p>
    <w:p w:rsidR="007F3072" w:rsidRPr="00623A35" w:rsidRDefault="007F3072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rFonts w:cs="Century Gothic"/>
          <w:b/>
          <w:szCs w:val="20"/>
          <w:lang w:val="es-ES"/>
        </w:rPr>
        <w:t>Organización (Departamentos)</w:t>
      </w:r>
      <w:r w:rsidRPr="00623A35">
        <w:rPr>
          <w:rFonts w:cs="Century Gothic"/>
          <w:szCs w:val="20"/>
          <w:lang w:val="es-ES"/>
        </w:rPr>
        <w:t>:</w:t>
      </w:r>
    </w:p>
    <w:p w:rsidR="00F663E2" w:rsidRPr="00623A35" w:rsidRDefault="007F3072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rFonts w:cs="Century Gothic"/>
          <w:szCs w:val="20"/>
          <w:lang w:val="es-ES"/>
        </w:rPr>
        <w:t>De Operaciones.</w:t>
      </w:r>
      <w:r w:rsidR="00F663E2" w:rsidRPr="00623A35">
        <w:rPr>
          <w:rFonts w:cs="Century Gothic"/>
          <w:szCs w:val="20"/>
          <w:lang w:val="es-ES"/>
        </w:rPr>
        <w:t xml:space="preserve"> </w:t>
      </w:r>
      <w:r w:rsidRPr="00623A35">
        <w:rPr>
          <w:rFonts w:cs="Century Gothic"/>
          <w:szCs w:val="20"/>
          <w:lang w:val="es-ES"/>
        </w:rPr>
        <w:t>De Producción y Control.</w:t>
      </w:r>
      <w:r w:rsidR="00F663E2" w:rsidRPr="00623A35">
        <w:rPr>
          <w:rFonts w:cs="Century Gothic"/>
          <w:szCs w:val="20"/>
          <w:lang w:val="es-ES"/>
        </w:rPr>
        <w:t xml:space="preserve"> </w:t>
      </w:r>
      <w:r w:rsidRPr="00623A35">
        <w:rPr>
          <w:rFonts w:cs="Century Gothic"/>
          <w:szCs w:val="20"/>
          <w:lang w:val="es-ES"/>
        </w:rPr>
        <w:t>De Análisis de Sistema.</w:t>
      </w:r>
      <w:r w:rsidR="00F663E2" w:rsidRPr="00623A35">
        <w:rPr>
          <w:rFonts w:cs="Century Gothic"/>
          <w:szCs w:val="20"/>
          <w:lang w:val="es-ES"/>
        </w:rPr>
        <w:t xml:space="preserve"> </w:t>
      </w:r>
    </w:p>
    <w:p w:rsidR="007F3072" w:rsidRPr="00623A35" w:rsidRDefault="007F3072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rFonts w:cs="Century Gothic"/>
          <w:szCs w:val="20"/>
          <w:lang w:val="es-ES"/>
        </w:rPr>
        <w:t>De</w:t>
      </w:r>
      <w:r w:rsidR="00F663E2" w:rsidRPr="00623A35">
        <w:rPr>
          <w:rFonts w:cs="Century Gothic"/>
          <w:szCs w:val="20"/>
          <w:lang w:val="es-ES"/>
        </w:rPr>
        <w:t xml:space="preserve"> Programación. </w:t>
      </w:r>
      <w:r w:rsidRPr="00623A35">
        <w:rPr>
          <w:rFonts w:cs="Century Gothic"/>
          <w:szCs w:val="20"/>
          <w:lang w:val="es-ES"/>
        </w:rPr>
        <w:t>De Implementación</w:t>
      </w:r>
      <w:r w:rsidR="00F663E2" w:rsidRPr="00623A35">
        <w:rPr>
          <w:rFonts w:cs="Century Gothic"/>
          <w:szCs w:val="20"/>
          <w:lang w:val="es-ES"/>
        </w:rPr>
        <w:t xml:space="preserve">. </w:t>
      </w:r>
      <w:r w:rsidRPr="00623A35">
        <w:rPr>
          <w:rFonts w:cs="Century Gothic"/>
          <w:szCs w:val="20"/>
          <w:lang w:val="es-ES"/>
        </w:rPr>
        <w:t xml:space="preserve">De Soporte </w:t>
      </w:r>
      <w:r w:rsidR="00F663E2" w:rsidRPr="00623A35">
        <w:rPr>
          <w:rFonts w:cs="Century Gothic"/>
          <w:szCs w:val="20"/>
          <w:lang w:val="es-ES"/>
        </w:rPr>
        <w:t>Técnico.</w:t>
      </w:r>
    </w:p>
    <w:p w:rsidR="007F3072" w:rsidRPr="00623A35" w:rsidRDefault="007F3072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</w:p>
    <w:p w:rsidR="00EE6670" w:rsidRPr="00623A35" w:rsidRDefault="00EE6670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rFonts w:cs="Century Gothic"/>
          <w:b/>
          <w:szCs w:val="20"/>
          <w:lang w:val="es-ES"/>
        </w:rPr>
        <w:t>Planificación</w:t>
      </w:r>
      <w:r w:rsidRPr="00623A35">
        <w:rPr>
          <w:rFonts w:cs="Century Gothic"/>
          <w:szCs w:val="20"/>
          <w:lang w:val="es-ES"/>
        </w:rPr>
        <w:t>:</w:t>
      </w:r>
    </w:p>
    <w:p w:rsidR="00A55D4A" w:rsidRPr="00623A35" w:rsidRDefault="00EE6670" w:rsidP="00A55D4A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rFonts w:cs="Century Gothic"/>
          <w:i/>
          <w:szCs w:val="20"/>
          <w:u w:val="single"/>
          <w:lang w:val="es-ES"/>
        </w:rPr>
        <w:t>Estratégica</w:t>
      </w:r>
      <w:r w:rsidR="00A55D4A" w:rsidRPr="00623A35">
        <w:rPr>
          <w:rFonts w:cs="Century Gothic"/>
          <w:szCs w:val="20"/>
          <w:lang w:val="es-ES"/>
        </w:rPr>
        <w:t>:</w:t>
      </w:r>
      <w:r w:rsidR="00F5432C" w:rsidRPr="00623A35">
        <w:rPr>
          <w:rFonts w:cs="Century Gothic"/>
          <w:szCs w:val="20"/>
          <w:lang w:val="es-ES"/>
        </w:rPr>
        <w:t xml:space="preserve"> estrategias a seguir en la construcción del Data Center ¿por qué construirlo? ¿optar por Cloud?</w:t>
      </w:r>
    </w:p>
    <w:p w:rsidR="00EE6670" w:rsidRPr="00623A35" w:rsidRDefault="001523C8" w:rsidP="00EE667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b/>
          <w:noProof/>
          <w:szCs w:val="20"/>
          <w:lang w:val="es-ES" w:eastAsia="es-ES"/>
        </w:rPr>
        <w:drawing>
          <wp:inline distT="0" distB="0" distL="0" distR="0" wp14:anchorId="1836ECA3" wp14:editId="0E20FA11">
            <wp:extent cx="4895589" cy="17430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34" cy="17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70" w:rsidRPr="00623A35" w:rsidRDefault="00A55D4A" w:rsidP="00EE6670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i/>
          <w:szCs w:val="20"/>
          <w:u w:val="single"/>
        </w:rPr>
        <w:t>Recursos</w:t>
      </w:r>
      <w:r w:rsidRPr="00623A35">
        <w:rPr>
          <w:szCs w:val="20"/>
        </w:rPr>
        <w:t>:</w:t>
      </w:r>
    </w:p>
    <w:p w:rsidR="00A55D4A" w:rsidRPr="00623A35" w:rsidRDefault="00A55D4A" w:rsidP="00EE6670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i/>
          <w:szCs w:val="20"/>
        </w:rPr>
        <w:t>Beneficios</w:t>
      </w:r>
      <w:r w:rsidRPr="00623A35">
        <w:rPr>
          <w:szCs w:val="20"/>
        </w:rPr>
        <w:t>:</w:t>
      </w:r>
      <w:r w:rsidR="003D1FCD" w:rsidRPr="00623A35">
        <w:rPr>
          <w:szCs w:val="20"/>
        </w:rPr>
        <w:t xml:space="preserve"> </w:t>
      </w:r>
    </w:p>
    <w:p w:rsidR="003D1FCD" w:rsidRPr="00623A35" w:rsidRDefault="003D1FCD" w:rsidP="003D1FCD">
      <w:pPr>
        <w:autoSpaceDE w:val="0"/>
        <w:autoSpaceDN w:val="0"/>
        <w:adjustRightInd w:val="0"/>
        <w:ind w:left="708"/>
        <w:jc w:val="left"/>
        <w:rPr>
          <w:szCs w:val="20"/>
        </w:rPr>
      </w:pPr>
      <w:r w:rsidRPr="00623A35">
        <w:rPr>
          <w:szCs w:val="20"/>
        </w:rPr>
        <w:t>Tangibles: reducción de gastos, ahorro en insumos, etc. Son cuantificables.</w:t>
      </w:r>
    </w:p>
    <w:p w:rsidR="003D1FCD" w:rsidRPr="00623A35" w:rsidRDefault="003D1FCD" w:rsidP="003D1FCD">
      <w:pPr>
        <w:autoSpaceDE w:val="0"/>
        <w:autoSpaceDN w:val="0"/>
        <w:adjustRightInd w:val="0"/>
        <w:ind w:left="708"/>
        <w:jc w:val="left"/>
        <w:rPr>
          <w:szCs w:val="20"/>
        </w:rPr>
      </w:pPr>
      <w:r w:rsidRPr="00623A35">
        <w:rPr>
          <w:szCs w:val="20"/>
        </w:rPr>
        <w:t>Intangibles: mejores condiciones de trabajo, respuesta rápida a los clientes. No se pueden medir.</w:t>
      </w:r>
    </w:p>
    <w:p w:rsidR="003D1FCD" w:rsidRPr="00623A35" w:rsidRDefault="003D1FCD" w:rsidP="003D1FCD">
      <w:pPr>
        <w:autoSpaceDE w:val="0"/>
        <w:autoSpaceDN w:val="0"/>
        <w:adjustRightInd w:val="0"/>
        <w:ind w:left="708"/>
        <w:jc w:val="left"/>
        <w:rPr>
          <w:szCs w:val="20"/>
        </w:rPr>
      </w:pPr>
      <w:r w:rsidRPr="00623A35">
        <w:rPr>
          <w:szCs w:val="20"/>
        </w:rPr>
        <w:t>Fijos: son constantes y no cambian sin importar cuánto se utilice el sistema. Compra de un equipo.</w:t>
      </w:r>
    </w:p>
    <w:p w:rsidR="003D1FCD" w:rsidRPr="00623A35" w:rsidRDefault="003D1FCD" w:rsidP="003D1FCD">
      <w:pPr>
        <w:autoSpaceDE w:val="0"/>
        <w:autoSpaceDN w:val="0"/>
        <w:adjustRightInd w:val="0"/>
        <w:ind w:firstLine="708"/>
        <w:jc w:val="left"/>
        <w:rPr>
          <w:szCs w:val="20"/>
        </w:rPr>
      </w:pPr>
      <w:r w:rsidRPr="00623A35">
        <w:rPr>
          <w:szCs w:val="20"/>
        </w:rPr>
        <w:t xml:space="preserve">Variables: </w:t>
      </w:r>
      <w:r w:rsidR="00945082" w:rsidRPr="00623A35">
        <w:rPr>
          <w:rFonts w:cs="TT160t00"/>
          <w:szCs w:val="20"/>
          <w:lang w:val="es-ES"/>
        </w:rPr>
        <w:t>incurren</w:t>
      </w:r>
      <w:r w:rsidRPr="00623A35">
        <w:rPr>
          <w:rFonts w:cs="TT160t00"/>
          <w:szCs w:val="20"/>
          <w:lang w:val="es-ES"/>
        </w:rPr>
        <w:t xml:space="preserve"> en proporción a la actividad realiza</w:t>
      </w:r>
      <w:r w:rsidR="00945082" w:rsidRPr="00623A35">
        <w:rPr>
          <w:rFonts w:cs="TT160t00"/>
          <w:szCs w:val="20"/>
          <w:lang w:val="es-ES"/>
        </w:rPr>
        <w:t>da</w:t>
      </w:r>
      <w:r w:rsidRPr="00623A35">
        <w:rPr>
          <w:rFonts w:cs="TT160t00"/>
          <w:szCs w:val="20"/>
          <w:lang w:val="es-ES"/>
        </w:rPr>
        <w:t>, o al tiempo utilizado en llevar a cabo la actividad.</w:t>
      </w:r>
    </w:p>
    <w:p w:rsidR="00A55D4A" w:rsidRPr="00623A35" w:rsidRDefault="00A55D4A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i/>
          <w:szCs w:val="20"/>
        </w:rPr>
        <w:t>Costos</w:t>
      </w:r>
      <w:r w:rsidRPr="00623A35">
        <w:rPr>
          <w:szCs w:val="20"/>
        </w:rPr>
        <w:t xml:space="preserve">: </w:t>
      </w:r>
    </w:p>
    <w:p w:rsidR="00945082" w:rsidRPr="00623A35" w:rsidRDefault="00945082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ab/>
        <w:t xml:space="preserve">Operación: por mantenimiento del </w:t>
      </w:r>
      <w:proofErr w:type="spellStart"/>
      <w:r w:rsidRPr="00623A35">
        <w:rPr>
          <w:szCs w:val="20"/>
        </w:rPr>
        <w:t>Datacenter</w:t>
      </w:r>
      <w:proofErr w:type="spellEnd"/>
      <w:r w:rsidRPr="00623A35">
        <w:rPr>
          <w:szCs w:val="20"/>
        </w:rPr>
        <w:t>.</w:t>
      </w:r>
    </w:p>
    <w:p w:rsidR="00945082" w:rsidRPr="00623A35" w:rsidRDefault="00945082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ab/>
        <w:t>Personal: contratado.</w:t>
      </w:r>
    </w:p>
    <w:p w:rsidR="00945082" w:rsidRPr="00623A35" w:rsidRDefault="00945082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ab/>
        <w:t>Suministros y Gastos Varios: consumibles para cierto periodo de trabajo.</w:t>
      </w:r>
    </w:p>
    <w:p w:rsidR="00945082" w:rsidRPr="00623A35" w:rsidRDefault="00945082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ab/>
        <w:t xml:space="preserve">Instalación: para adecuar el local </w:t>
      </w:r>
      <w:r w:rsidR="00F516C1" w:rsidRPr="00623A35">
        <w:rPr>
          <w:szCs w:val="20"/>
        </w:rPr>
        <w:t xml:space="preserve">de operaciones </w:t>
      </w:r>
      <w:r w:rsidRPr="00623A35">
        <w:rPr>
          <w:szCs w:val="20"/>
        </w:rPr>
        <w:t xml:space="preserve">del </w:t>
      </w:r>
      <w:proofErr w:type="spellStart"/>
      <w:r w:rsidRPr="00623A35">
        <w:rPr>
          <w:szCs w:val="20"/>
        </w:rPr>
        <w:t>Datacenter</w:t>
      </w:r>
      <w:proofErr w:type="spellEnd"/>
      <w:r w:rsidRPr="00623A35">
        <w:rPr>
          <w:szCs w:val="20"/>
        </w:rPr>
        <w:t>.</w:t>
      </w:r>
    </w:p>
    <w:p w:rsidR="00945082" w:rsidRPr="00623A35" w:rsidRDefault="00945082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ab/>
        <w:t>Variables:</w:t>
      </w:r>
      <w:r w:rsidR="00F516C1" w:rsidRPr="00623A35">
        <w:rPr>
          <w:szCs w:val="20"/>
        </w:rPr>
        <w:t xml:space="preserve"> impresión de reportes.</w:t>
      </w:r>
    </w:p>
    <w:p w:rsidR="00945082" w:rsidRPr="00623A35" w:rsidRDefault="00945082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ab/>
        <w:t>Fijos:</w:t>
      </w:r>
      <w:r w:rsidR="00F516C1" w:rsidRPr="00623A35">
        <w:rPr>
          <w:szCs w:val="20"/>
        </w:rPr>
        <w:t xml:space="preserve"> </w:t>
      </w:r>
    </w:p>
    <w:p w:rsidR="00945082" w:rsidRPr="00623A35" w:rsidRDefault="00945082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ab/>
      </w:r>
    </w:p>
    <w:p w:rsidR="00945082" w:rsidRPr="00623A35" w:rsidRDefault="00F516C1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>Beneficios/Costos Directos (atribuibles al sistema, compra de papel, reportes) o Indirectos (no asociados al sistema, calefacción, aire acondicionado, subproducto de otro sistema).</w:t>
      </w:r>
    </w:p>
    <w:p w:rsidR="00F516C1" w:rsidRPr="00623A35" w:rsidRDefault="00F516C1" w:rsidP="003D1FCD">
      <w:pPr>
        <w:autoSpaceDE w:val="0"/>
        <w:autoSpaceDN w:val="0"/>
        <w:adjustRightInd w:val="0"/>
        <w:jc w:val="left"/>
        <w:rPr>
          <w:szCs w:val="20"/>
        </w:rPr>
      </w:pPr>
    </w:p>
    <w:p w:rsidR="00F516C1" w:rsidRPr="00623A35" w:rsidRDefault="00F516C1" w:rsidP="003D1FCD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  <w:u w:val="single"/>
        </w:rPr>
        <w:t>Operativa</w:t>
      </w:r>
      <w:r w:rsidRPr="00623A35">
        <w:rPr>
          <w:szCs w:val="20"/>
        </w:rPr>
        <w:t>:</w:t>
      </w:r>
    </w:p>
    <w:p w:rsidR="002B5C57" w:rsidRPr="00623A35" w:rsidRDefault="002B5C57" w:rsidP="002B5C57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>Consiste en realizar un detallado análisis de necesidades de la empresa y definir en base a estas, una plataforma</w:t>
      </w:r>
    </w:p>
    <w:p w:rsidR="00F516C1" w:rsidRPr="00623A35" w:rsidRDefault="002B5C57" w:rsidP="002B5C57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 xml:space="preserve">tecnológica con una infraestructura en hardware, software, personal operativo, etc. </w:t>
      </w:r>
      <w:r w:rsidR="00901E38">
        <w:rPr>
          <w:szCs w:val="20"/>
        </w:rPr>
        <w:t>q</w:t>
      </w:r>
      <w:bookmarkStart w:id="0" w:name="_GoBack"/>
      <w:bookmarkEnd w:id="0"/>
      <w:r w:rsidRPr="00623A35">
        <w:rPr>
          <w:szCs w:val="20"/>
        </w:rPr>
        <w:t>ue soporte las operaciones de la empresa y se utilice como el medio de procesamiento de información.</w:t>
      </w:r>
    </w:p>
    <w:p w:rsidR="002B5C57" w:rsidRPr="00623A35" w:rsidRDefault="002B5C57" w:rsidP="002B5C57">
      <w:pPr>
        <w:autoSpaceDE w:val="0"/>
        <w:autoSpaceDN w:val="0"/>
        <w:adjustRightInd w:val="0"/>
        <w:jc w:val="left"/>
        <w:rPr>
          <w:szCs w:val="20"/>
        </w:rPr>
      </w:pPr>
    </w:p>
    <w:p w:rsidR="00F516C1" w:rsidRPr="00623A35" w:rsidRDefault="00F516C1" w:rsidP="00F516C1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i/>
          <w:szCs w:val="20"/>
        </w:rPr>
        <w:t>Plan de Contingencia</w:t>
      </w:r>
      <w:r w:rsidRPr="00623A35">
        <w:rPr>
          <w:szCs w:val="20"/>
        </w:rPr>
        <w:t>: acciones específicas a tomar cuando surja un evento o condición que no esté considerado en el proceso normal de operación de un centro de cómputo.</w:t>
      </w:r>
      <w:r w:rsidR="00AF4BDD" w:rsidRPr="00623A35">
        <w:rPr>
          <w:szCs w:val="20"/>
        </w:rPr>
        <w:t xml:space="preserve"> </w:t>
      </w:r>
      <w:r w:rsidRPr="00623A35">
        <w:rPr>
          <w:szCs w:val="20"/>
        </w:rPr>
        <w:t>Tipos de acciones: Prevención, Detección, Recuperación (DRP).</w:t>
      </w:r>
    </w:p>
    <w:p w:rsidR="00AF4BDD" w:rsidRPr="00623A35" w:rsidRDefault="00AF4BDD" w:rsidP="00F516C1">
      <w:pPr>
        <w:autoSpaceDE w:val="0"/>
        <w:autoSpaceDN w:val="0"/>
        <w:adjustRightInd w:val="0"/>
        <w:jc w:val="left"/>
        <w:rPr>
          <w:szCs w:val="20"/>
        </w:rPr>
      </w:pPr>
    </w:p>
    <w:p w:rsidR="00AF4BDD" w:rsidRPr="00623A35" w:rsidRDefault="00AF4BDD" w:rsidP="00F516C1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  <w:u w:val="single"/>
        </w:rPr>
        <w:t>Instalaciones</w:t>
      </w:r>
      <w:r w:rsidRPr="00623A35">
        <w:rPr>
          <w:szCs w:val="20"/>
        </w:rPr>
        <w:t>:</w:t>
      </w:r>
    </w:p>
    <w:p w:rsidR="00AF4BDD" w:rsidRPr="00623A35" w:rsidRDefault="00AF4BDD" w:rsidP="0083441F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i/>
          <w:szCs w:val="20"/>
        </w:rPr>
        <w:t>Espacio</w:t>
      </w:r>
      <w:r w:rsidRPr="00623A35">
        <w:rPr>
          <w:szCs w:val="20"/>
        </w:rPr>
        <w:t>:</w:t>
      </w:r>
      <w:r w:rsidR="0083441F" w:rsidRPr="00623A35">
        <w:rPr>
          <w:szCs w:val="20"/>
        </w:rPr>
        <w:t xml:space="preserve"> espacio suficiente para los equipos de cómputo, así como para su operación y su mantenimiento</w:t>
      </w:r>
    </w:p>
    <w:p w:rsidR="00AF4BDD" w:rsidRPr="00623A35" w:rsidRDefault="00AF4BDD" w:rsidP="00F64F3A">
      <w:pPr>
        <w:autoSpaceDE w:val="0"/>
        <w:autoSpaceDN w:val="0"/>
        <w:adjustRightInd w:val="0"/>
        <w:jc w:val="left"/>
        <w:rPr>
          <w:i/>
          <w:szCs w:val="20"/>
        </w:rPr>
      </w:pPr>
      <w:r w:rsidRPr="00623A35">
        <w:rPr>
          <w:i/>
          <w:szCs w:val="20"/>
        </w:rPr>
        <w:lastRenderedPageBreak/>
        <w:t>Energía:</w:t>
      </w:r>
      <w:r w:rsidR="00F64F3A" w:rsidRPr="00623A35">
        <w:rPr>
          <w:szCs w:val="20"/>
        </w:rPr>
        <w:t xml:space="preserve"> </w:t>
      </w:r>
      <w:r w:rsidR="00F64F3A" w:rsidRPr="00623A35">
        <w:rPr>
          <w:i/>
          <w:szCs w:val="20"/>
        </w:rPr>
        <w:t>energía eléctrica necesaria para satisfacer la demanda de energía de los equipos y suministros de respaldo.</w:t>
      </w:r>
    </w:p>
    <w:p w:rsidR="00AF4BDD" w:rsidRPr="00623A35" w:rsidRDefault="00AF4BDD" w:rsidP="00F516C1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i/>
          <w:szCs w:val="20"/>
        </w:rPr>
        <w:t>Refrigeración</w:t>
      </w:r>
      <w:r w:rsidRPr="00623A35">
        <w:rPr>
          <w:szCs w:val="20"/>
        </w:rPr>
        <w:t>:</w:t>
      </w:r>
      <w:r w:rsidR="009F00A3" w:rsidRPr="00623A35">
        <w:rPr>
          <w:szCs w:val="20"/>
        </w:rPr>
        <w:t xml:space="preserve"> para mantener a los equipos en condiciones óptimas de operación.</w:t>
      </w:r>
    </w:p>
    <w:p w:rsidR="00AF4BDD" w:rsidRPr="00623A35" w:rsidRDefault="00AF4BDD" w:rsidP="00F516C1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i/>
          <w:szCs w:val="20"/>
        </w:rPr>
        <w:t>Ancho de banda</w:t>
      </w:r>
      <w:r w:rsidRPr="00623A35">
        <w:rPr>
          <w:szCs w:val="20"/>
        </w:rPr>
        <w:t>:</w:t>
      </w:r>
      <w:r w:rsidR="009F00A3" w:rsidRPr="00623A35">
        <w:rPr>
          <w:szCs w:val="20"/>
        </w:rPr>
        <w:t xml:space="preserve"> contar con servicios de comunicación confiables y suficientes poder operar adecuadamente.</w:t>
      </w:r>
    </w:p>
    <w:p w:rsidR="00F64F3A" w:rsidRPr="00623A35" w:rsidRDefault="00F64F3A" w:rsidP="00F516C1">
      <w:pPr>
        <w:autoSpaceDE w:val="0"/>
        <w:autoSpaceDN w:val="0"/>
        <w:adjustRightInd w:val="0"/>
        <w:jc w:val="left"/>
        <w:rPr>
          <w:szCs w:val="20"/>
        </w:rPr>
      </w:pPr>
    </w:p>
    <w:p w:rsidR="00F64F3A" w:rsidRPr="00623A35" w:rsidRDefault="00F64F3A" w:rsidP="00F516C1">
      <w:pPr>
        <w:autoSpaceDE w:val="0"/>
        <w:autoSpaceDN w:val="0"/>
        <w:adjustRightInd w:val="0"/>
        <w:jc w:val="left"/>
        <w:rPr>
          <w:b/>
          <w:szCs w:val="20"/>
        </w:rPr>
      </w:pPr>
      <w:r w:rsidRPr="00623A35">
        <w:rPr>
          <w:b/>
          <w:szCs w:val="20"/>
        </w:rPr>
        <w:t>Estándar TIA 942:</w:t>
      </w:r>
    </w:p>
    <w:p w:rsidR="00F64F3A" w:rsidRPr="00623A35" w:rsidRDefault="00F64F3A" w:rsidP="00F64F3A">
      <w:pPr>
        <w:autoSpaceDE w:val="0"/>
        <w:autoSpaceDN w:val="0"/>
        <w:adjustRightInd w:val="0"/>
        <w:jc w:val="left"/>
        <w:rPr>
          <w:szCs w:val="20"/>
        </w:rPr>
      </w:pPr>
      <w:r w:rsidRPr="00623A35">
        <w:rPr>
          <w:szCs w:val="20"/>
        </w:rPr>
        <w:t>Aprobado en 2005, clasifica a este tipo de centros en varios grupos, llamados TIER (anexo G), indicando así su nivel de fiabilidad en función del nivel de disponibilidad.</w:t>
      </w:r>
    </w:p>
    <w:p w:rsidR="002E53D0" w:rsidRPr="00623A35" w:rsidRDefault="00F64F3A" w:rsidP="00F64F3A">
      <w:pPr>
        <w:autoSpaceDE w:val="0"/>
        <w:autoSpaceDN w:val="0"/>
        <w:adjustRightInd w:val="0"/>
        <w:jc w:val="left"/>
        <w:rPr>
          <w:rFonts w:cs="Century Gothic Negrita"/>
          <w:szCs w:val="20"/>
          <w:lang w:val="es-ES"/>
        </w:rPr>
      </w:pPr>
      <w:r w:rsidRPr="00623A35">
        <w:rPr>
          <w:rFonts w:cs="Century Gothic Negrita"/>
          <w:szCs w:val="20"/>
          <w:lang w:val="es-ES"/>
        </w:rPr>
        <w:t>TIER I</w:t>
      </w:r>
      <w:r w:rsidR="002E53D0" w:rsidRPr="00623A35">
        <w:rPr>
          <w:rFonts w:cs="Century Gothic Negrita"/>
          <w:szCs w:val="20"/>
          <w:lang w:val="es-ES"/>
        </w:rPr>
        <w:t xml:space="preserve"> </w:t>
      </w:r>
      <w:r w:rsidRPr="00623A35">
        <w:rPr>
          <w:rFonts w:cs="Century Gothic Negrita"/>
          <w:szCs w:val="20"/>
          <w:lang w:val="es-ES"/>
        </w:rPr>
        <w:t>- Nivel 1 (Básico)</w:t>
      </w:r>
      <w:r w:rsidR="002E53D0" w:rsidRPr="00623A35">
        <w:rPr>
          <w:rFonts w:cs="Century Gothic Negrita"/>
          <w:szCs w:val="20"/>
          <w:lang w:val="es-ES"/>
        </w:rPr>
        <w:t xml:space="preserve"> </w:t>
      </w:r>
    </w:p>
    <w:p w:rsidR="00F64F3A" w:rsidRPr="00623A35" w:rsidRDefault="002E53D0" w:rsidP="002E53D0">
      <w:pPr>
        <w:autoSpaceDE w:val="0"/>
        <w:autoSpaceDN w:val="0"/>
        <w:adjustRightInd w:val="0"/>
        <w:ind w:firstLine="708"/>
        <w:jc w:val="left"/>
        <w:rPr>
          <w:rFonts w:cs="TT160t00"/>
          <w:szCs w:val="20"/>
          <w:lang w:val="es-ES"/>
        </w:rPr>
      </w:pPr>
      <w:r w:rsidRPr="00623A35">
        <w:rPr>
          <w:rFonts w:cs="Century Gothic Negrita"/>
          <w:szCs w:val="20"/>
          <w:lang w:val="es-ES"/>
        </w:rPr>
        <w:t xml:space="preserve">Disponibilidad: </w:t>
      </w:r>
      <w:r w:rsidRPr="00623A35">
        <w:rPr>
          <w:rFonts w:cs="TT160t00"/>
          <w:szCs w:val="20"/>
          <w:lang w:val="es-ES"/>
        </w:rPr>
        <w:t>99,671%.</w:t>
      </w:r>
    </w:p>
    <w:p w:rsidR="002E53D0" w:rsidRPr="00623A35" w:rsidRDefault="002E53D0" w:rsidP="00F64F3A">
      <w:pPr>
        <w:autoSpaceDE w:val="0"/>
        <w:autoSpaceDN w:val="0"/>
        <w:adjustRightInd w:val="0"/>
        <w:jc w:val="left"/>
        <w:rPr>
          <w:rFonts w:cs="Century Gothic Negrita"/>
          <w:szCs w:val="20"/>
          <w:lang w:val="es-ES"/>
        </w:rPr>
      </w:pPr>
      <w:r w:rsidRPr="00623A35">
        <w:rPr>
          <w:rFonts w:cs="Century Gothic Negrita"/>
          <w:szCs w:val="20"/>
          <w:lang w:val="es-ES"/>
        </w:rPr>
        <w:t xml:space="preserve">TIER II - Nivel II (Componentes redundantes) </w:t>
      </w:r>
    </w:p>
    <w:p w:rsidR="002E53D0" w:rsidRPr="00623A35" w:rsidRDefault="002E53D0" w:rsidP="002E53D0">
      <w:pPr>
        <w:autoSpaceDE w:val="0"/>
        <w:autoSpaceDN w:val="0"/>
        <w:adjustRightInd w:val="0"/>
        <w:ind w:firstLine="708"/>
        <w:jc w:val="left"/>
        <w:rPr>
          <w:rFonts w:cs="TT15Ct00"/>
          <w:szCs w:val="20"/>
          <w:lang w:val="es-ES"/>
        </w:rPr>
      </w:pPr>
      <w:r w:rsidRPr="00623A35">
        <w:rPr>
          <w:rFonts w:cs="Century Gothic Negrita"/>
          <w:szCs w:val="20"/>
          <w:lang w:val="es-ES"/>
        </w:rPr>
        <w:t xml:space="preserve">Disponibilidad: </w:t>
      </w:r>
      <w:r w:rsidRPr="00623A35">
        <w:rPr>
          <w:rFonts w:cs="TT15Ct00"/>
          <w:szCs w:val="20"/>
          <w:lang w:val="es-ES"/>
        </w:rPr>
        <w:t>99,741%.</w:t>
      </w:r>
    </w:p>
    <w:p w:rsidR="002E53D0" w:rsidRPr="00623A35" w:rsidRDefault="002E53D0" w:rsidP="00F64F3A">
      <w:pPr>
        <w:autoSpaceDE w:val="0"/>
        <w:autoSpaceDN w:val="0"/>
        <w:adjustRightInd w:val="0"/>
        <w:jc w:val="left"/>
        <w:rPr>
          <w:rFonts w:cs="TT15Ct00"/>
          <w:szCs w:val="20"/>
          <w:lang w:val="es-ES"/>
        </w:rPr>
      </w:pPr>
      <w:r w:rsidRPr="00623A35">
        <w:rPr>
          <w:rFonts w:cs="Century Gothic Negrita"/>
          <w:szCs w:val="20"/>
          <w:lang w:val="es-ES"/>
        </w:rPr>
        <w:t>TIER III - Nivel III (Mantenimiento concurrente)</w:t>
      </w:r>
      <w:r w:rsidRPr="00623A35">
        <w:rPr>
          <w:rFonts w:cs="TT15Ct00"/>
          <w:szCs w:val="20"/>
          <w:lang w:val="es-ES"/>
        </w:rPr>
        <w:t xml:space="preserve"> </w:t>
      </w:r>
    </w:p>
    <w:p w:rsidR="002E53D0" w:rsidRPr="00623A35" w:rsidRDefault="002E53D0" w:rsidP="002E53D0">
      <w:pPr>
        <w:autoSpaceDE w:val="0"/>
        <w:autoSpaceDN w:val="0"/>
        <w:adjustRightInd w:val="0"/>
        <w:ind w:firstLine="708"/>
        <w:jc w:val="left"/>
        <w:rPr>
          <w:rFonts w:cs="TT15Ct00"/>
          <w:szCs w:val="20"/>
          <w:lang w:val="es-ES"/>
        </w:rPr>
      </w:pPr>
      <w:r w:rsidRPr="00623A35">
        <w:rPr>
          <w:rFonts w:cs="Century Gothic Negrita"/>
          <w:szCs w:val="20"/>
          <w:lang w:val="es-ES"/>
        </w:rPr>
        <w:t xml:space="preserve">Disponibilidad: </w:t>
      </w:r>
      <w:r w:rsidRPr="00623A35">
        <w:rPr>
          <w:rFonts w:cs="TT15Ct00"/>
          <w:szCs w:val="20"/>
          <w:lang w:val="es-ES"/>
        </w:rPr>
        <w:t>99,982%.</w:t>
      </w:r>
    </w:p>
    <w:p w:rsidR="002E53D0" w:rsidRPr="00623A35" w:rsidRDefault="002E53D0" w:rsidP="00F64F3A">
      <w:pPr>
        <w:autoSpaceDE w:val="0"/>
        <w:autoSpaceDN w:val="0"/>
        <w:adjustRightInd w:val="0"/>
        <w:jc w:val="left"/>
        <w:rPr>
          <w:rFonts w:cs="Century Gothic Negrita"/>
          <w:szCs w:val="20"/>
          <w:lang w:val="es-ES"/>
        </w:rPr>
      </w:pPr>
      <w:r w:rsidRPr="00623A35">
        <w:rPr>
          <w:rFonts w:cs="Century Gothic Negrita"/>
          <w:szCs w:val="20"/>
          <w:lang w:val="es-ES"/>
        </w:rPr>
        <w:t xml:space="preserve">TIER IV - Nivel IV (Tolerante a errores) </w:t>
      </w:r>
    </w:p>
    <w:p w:rsidR="002E53D0" w:rsidRPr="00623A35" w:rsidRDefault="002E53D0" w:rsidP="002E53D0">
      <w:pPr>
        <w:autoSpaceDE w:val="0"/>
        <w:autoSpaceDN w:val="0"/>
        <w:adjustRightInd w:val="0"/>
        <w:ind w:firstLine="708"/>
        <w:jc w:val="left"/>
        <w:rPr>
          <w:rFonts w:cs="TT15Ct00"/>
          <w:szCs w:val="20"/>
          <w:lang w:val="es-ES"/>
        </w:rPr>
      </w:pPr>
      <w:r w:rsidRPr="00623A35">
        <w:rPr>
          <w:rFonts w:cs="Century Gothic Negrita"/>
          <w:szCs w:val="20"/>
          <w:lang w:val="es-ES"/>
        </w:rPr>
        <w:t xml:space="preserve">Disponibilidad: </w:t>
      </w:r>
      <w:r w:rsidRPr="00623A35">
        <w:rPr>
          <w:rFonts w:cs="TT15Ct00"/>
          <w:szCs w:val="20"/>
          <w:lang w:val="es-ES"/>
        </w:rPr>
        <w:t>99,995%</w:t>
      </w:r>
    </w:p>
    <w:p w:rsidR="002E53D0" w:rsidRPr="00623A35" w:rsidRDefault="002E53D0" w:rsidP="002E53D0">
      <w:pPr>
        <w:autoSpaceDE w:val="0"/>
        <w:autoSpaceDN w:val="0"/>
        <w:adjustRightInd w:val="0"/>
        <w:jc w:val="left"/>
        <w:rPr>
          <w:rFonts w:cs="TT15Ct00"/>
          <w:szCs w:val="20"/>
          <w:lang w:val="es-ES"/>
        </w:rPr>
      </w:pPr>
    </w:p>
    <w:p w:rsidR="002E53D0" w:rsidRPr="00623A35" w:rsidRDefault="002E53D0" w:rsidP="002E53D0">
      <w:pPr>
        <w:autoSpaceDE w:val="0"/>
        <w:autoSpaceDN w:val="0"/>
        <w:adjustRightInd w:val="0"/>
        <w:jc w:val="left"/>
        <w:rPr>
          <w:rFonts w:cs="Times-Bold"/>
          <w:b/>
          <w:bCs/>
          <w:szCs w:val="20"/>
          <w:lang w:val="es-ES"/>
        </w:rPr>
      </w:pPr>
      <w:r w:rsidRPr="00623A35">
        <w:rPr>
          <w:rFonts w:cs="Times-Bold"/>
          <w:b/>
          <w:bCs/>
          <w:szCs w:val="20"/>
          <w:lang w:val="es-ES"/>
        </w:rPr>
        <w:t>Eficiencia de un Datacenter</w:t>
      </w:r>
    </w:p>
    <w:p w:rsidR="002E53D0" w:rsidRPr="00623A35" w:rsidRDefault="002E53D0" w:rsidP="002E53D0">
      <w:pPr>
        <w:autoSpaceDE w:val="0"/>
        <w:autoSpaceDN w:val="0"/>
        <w:adjustRightInd w:val="0"/>
        <w:jc w:val="left"/>
        <w:rPr>
          <w:rFonts w:cs="Century Gothic Negrita"/>
          <w:szCs w:val="20"/>
          <w:lang w:val="es-ES"/>
        </w:rPr>
      </w:pPr>
      <w:r w:rsidRPr="00623A35">
        <w:rPr>
          <w:rFonts w:cs="Times-Bold"/>
          <w:bCs/>
          <w:szCs w:val="20"/>
          <w:lang w:val="es-ES"/>
        </w:rPr>
        <w:t>Se tiene en cuenta los términos de consumo eléctrico</w:t>
      </w:r>
      <w:r w:rsidR="00BC0262" w:rsidRPr="00623A35">
        <w:rPr>
          <w:rFonts w:cs="Times-Bold"/>
          <w:bCs/>
          <w:szCs w:val="20"/>
          <w:lang w:val="es-ES"/>
        </w:rPr>
        <w:t>, con los siguientes indicadores</w:t>
      </w:r>
      <w:r w:rsidRPr="00623A35">
        <w:rPr>
          <w:rFonts w:cs="Times-Bold"/>
          <w:bCs/>
          <w:szCs w:val="20"/>
          <w:lang w:val="es-ES"/>
        </w:rPr>
        <w:t>:</w:t>
      </w:r>
    </w:p>
    <w:p w:rsidR="002E53D0" w:rsidRPr="00623A35" w:rsidRDefault="002E53D0" w:rsidP="00F64F3A">
      <w:pPr>
        <w:autoSpaceDE w:val="0"/>
        <w:autoSpaceDN w:val="0"/>
        <w:adjustRightInd w:val="0"/>
        <w:jc w:val="left"/>
        <w:rPr>
          <w:rFonts w:cs="Century Gothic Negrita"/>
          <w:szCs w:val="20"/>
          <w:lang w:val="es-ES"/>
        </w:rPr>
      </w:pPr>
    </w:p>
    <w:p w:rsidR="002E53D0" w:rsidRPr="00623A35" w:rsidRDefault="002E53D0" w:rsidP="002E53D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proofErr w:type="spellStart"/>
      <w:r w:rsidRPr="00623A35">
        <w:rPr>
          <w:rFonts w:cs="Century Gothic"/>
          <w:szCs w:val="20"/>
          <w:lang w:val="es-ES"/>
        </w:rPr>
        <w:t>DCiE</w:t>
      </w:r>
      <w:proofErr w:type="spellEnd"/>
      <w:r w:rsidRPr="00623A35">
        <w:rPr>
          <w:rFonts w:cs="Century Gothic"/>
          <w:szCs w:val="20"/>
          <w:lang w:val="es-ES"/>
        </w:rPr>
        <w:t xml:space="preserve"> – Data Center </w:t>
      </w:r>
      <w:proofErr w:type="spellStart"/>
      <w:r w:rsidRPr="00623A35">
        <w:rPr>
          <w:rFonts w:cs="Century Gothic"/>
          <w:szCs w:val="20"/>
          <w:lang w:val="es-ES"/>
        </w:rPr>
        <w:t>Infrastructure</w:t>
      </w:r>
      <w:proofErr w:type="spellEnd"/>
      <w:r w:rsidRPr="00623A35">
        <w:rPr>
          <w:rFonts w:cs="Century Gothic"/>
          <w:szCs w:val="20"/>
          <w:lang w:val="es-ES"/>
        </w:rPr>
        <w:t xml:space="preserve"> </w:t>
      </w:r>
      <w:proofErr w:type="spellStart"/>
      <w:r w:rsidRPr="00623A35">
        <w:rPr>
          <w:rFonts w:cs="Century Gothic"/>
          <w:szCs w:val="20"/>
          <w:lang w:val="es-ES"/>
        </w:rPr>
        <w:t>Efficiency</w:t>
      </w:r>
      <w:proofErr w:type="spellEnd"/>
    </w:p>
    <w:p w:rsidR="002E53D0" w:rsidRPr="00623A35" w:rsidRDefault="002E53D0" w:rsidP="002E53D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</w:p>
    <w:p w:rsidR="002E53D0" w:rsidRPr="00623A35" w:rsidRDefault="002E53D0" w:rsidP="002E53D0">
      <w:pPr>
        <w:autoSpaceDE w:val="0"/>
        <w:autoSpaceDN w:val="0"/>
        <w:adjustRightInd w:val="0"/>
        <w:ind w:firstLine="708"/>
        <w:jc w:val="left"/>
        <w:rPr>
          <w:rFonts w:cs="Century Gothic"/>
          <w:szCs w:val="20"/>
          <w:lang w:val="es-ES"/>
        </w:rPr>
      </w:pPr>
      <w:r w:rsidRPr="00623A35">
        <w:rPr>
          <w:noProof/>
          <w:szCs w:val="20"/>
          <w:lang w:val="es-ES" w:eastAsia="es-ES"/>
        </w:rPr>
        <w:drawing>
          <wp:inline distT="0" distB="0" distL="0" distR="0" wp14:anchorId="64D3B255" wp14:editId="286D5B78">
            <wp:extent cx="2000250" cy="41846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056" t="49826" r="33750" b="41493"/>
                    <a:stretch/>
                  </pic:blipFill>
                  <pic:spPr bwMode="auto">
                    <a:xfrm>
                      <a:off x="0" y="0"/>
                      <a:ext cx="2000250" cy="41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3D0" w:rsidRPr="00623A35" w:rsidRDefault="002E53D0" w:rsidP="002E53D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</w:p>
    <w:p w:rsidR="002E53D0" w:rsidRPr="00623A35" w:rsidRDefault="002E53D0" w:rsidP="002E53D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  <w:r w:rsidRPr="00623A35">
        <w:rPr>
          <w:rFonts w:cs="Century Gothic"/>
          <w:szCs w:val="20"/>
          <w:lang w:val="es-ES"/>
        </w:rPr>
        <w:t xml:space="preserve">PUE – </w:t>
      </w:r>
      <w:proofErr w:type="spellStart"/>
      <w:r w:rsidRPr="00623A35">
        <w:rPr>
          <w:rFonts w:cs="Century Gothic"/>
          <w:szCs w:val="20"/>
          <w:lang w:val="es-ES"/>
        </w:rPr>
        <w:t>Power</w:t>
      </w:r>
      <w:proofErr w:type="spellEnd"/>
      <w:r w:rsidRPr="00623A35">
        <w:rPr>
          <w:rFonts w:cs="Century Gothic"/>
          <w:szCs w:val="20"/>
          <w:lang w:val="es-ES"/>
        </w:rPr>
        <w:t xml:space="preserve"> </w:t>
      </w:r>
      <w:proofErr w:type="spellStart"/>
      <w:r w:rsidRPr="00623A35">
        <w:rPr>
          <w:rFonts w:cs="Century Gothic"/>
          <w:szCs w:val="20"/>
          <w:lang w:val="es-ES"/>
        </w:rPr>
        <w:t>Usage</w:t>
      </w:r>
      <w:proofErr w:type="spellEnd"/>
      <w:r w:rsidRPr="00623A35">
        <w:rPr>
          <w:rFonts w:cs="Century Gothic"/>
          <w:szCs w:val="20"/>
          <w:lang w:val="es-ES"/>
        </w:rPr>
        <w:t xml:space="preserve"> </w:t>
      </w:r>
      <w:proofErr w:type="spellStart"/>
      <w:r w:rsidRPr="00623A35">
        <w:rPr>
          <w:rFonts w:cs="Century Gothic"/>
          <w:szCs w:val="20"/>
          <w:lang w:val="es-ES"/>
        </w:rPr>
        <w:t>Effectiveness</w:t>
      </w:r>
      <w:proofErr w:type="spellEnd"/>
    </w:p>
    <w:p w:rsidR="002E53D0" w:rsidRPr="00623A35" w:rsidRDefault="002E53D0" w:rsidP="002E53D0">
      <w:pPr>
        <w:autoSpaceDE w:val="0"/>
        <w:autoSpaceDN w:val="0"/>
        <w:adjustRightInd w:val="0"/>
        <w:jc w:val="left"/>
        <w:rPr>
          <w:rFonts w:cs="Century Gothic"/>
          <w:szCs w:val="20"/>
          <w:lang w:val="es-ES"/>
        </w:rPr>
      </w:pPr>
    </w:p>
    <w:p w:rsidR="002E53D0" w:rsidRPr="00623A35" w:rsidRDefault="002E53D0" w:rsidP="002E53D0">
      <w:pPr>
        <w:autoSpaceDE w:val="0"/>
        <w:autoSpaceDN w:val="0"/>
        <w:adjustRightInd w:val="0"/>
        <w:ind w:firstLine="708"/>
        <w:jc w:val="left"/>
        <w:rPr>
          <w:szCs w:val="20"/>
        </w:rPr>
      </w:pPr>
      <w:r w:rsidRPr="00623A35">
        <w:rPr>
          <w:noProof/>
          <w:szCs w:val="20"/>
          <w:lang w:val="es-ES" w:eastAsia="es-ES"/>
        </w:rPr>
        <w:drawing>
          <wp:inline distT="0" distB="0" distL="0" distR="0" wp14:anchorId="065AD65A" wp14:editId="65DDE04F">
            <wp:extent cx="1952625" cy="3267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94" t="70486" r="33611" b="22569"/>
                    <a:stretch/>
                  </pic:blipFill>
                  <pic:spPr bwMode="auto">
                    <a:xfrm>
                      <a:off x="0" y="0"/>
                      <a:ext cx="1952625" cy="32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3D0" w:rsidRPr="00623A35" w:rsidRDefault="002E53D0" w:rsidP="002E53D0">
      <w:pPr>
        <w:autoSpaceDE w:val="0"/>
        <w:autoSpaceDN w:val="0"/>
        <w:adjustRightInd w:val="0"/>
        <w:ind w:firstLine="708"/>
        <w:jc w:val="left"/>
        <w:rPr>
          <w:szCs w:val="20"/>
        </w:rPr>
      </w:pPr>
    </w:p>
    <w:p w:rsidR="002E53D0" w:rsidRPr="00623A35" w:rsidRDefault="00BC0262" w:rsidP="00BC0262">
      <w:pPr>
        <w:autoSpaceDE w:val="0"/>
        <w:autoSpaceDN w:val="0"/>
        <w:adjustRightInd w:val="0"/>
        <w:jc w:val="left"/>
        <w:rPr>
          <w:b/>
          <w:szCs w:val="20"/>
        </w:rPr>
      </w:pPr>
      <w:r w:rsidRPr="00623A35">
        <w:rPr>
          <w:b/>
          <w:szCs w:val="20"/>
        </w:rPr>
        <w:t xml:space="preserve">¿Cuánto le cuesta la caída de un </w:t>
      </w:r>
      <w:proofErr w:type="spellStart"/>
      <w:r w:rsidRPr="00623A35">
        <w:rPr>
          <w:b/>
          <w:szCs w:val="20"/>
        </w:rPr>
        <w:t>DataCenter</w:t>
      </w:r>
      <w:proofErr w:type="spellEnd"/>
      <w:r w:rsidRPr="00623A35">
        <w:rPr>
          <w:b/>
          <w:szCs w:val="20"/>
        </w:rPr>
        <w:t>?</w:t>
      </w:r>
    </w:p>
    <w:p w:rsidR="00BC0262" w:rsidRPr="00623A35" w:rsidRDefault="00BC0262" w:rsidP="00BC0262">
      <w:pPr>
        <w:autoSpaceDE w:val="0"/>
        <w:autoSpaceDN w:val="0"/>
        <w:adjustRightInd w:val="0"/>
        <w:jc w:val="left"/>
        <w:rPr>
          <w:rFonts w:cs="TT15Et00"/>
          <w:szCs w:val="20"/>
          <w:lang w:val="es-ES"/>
        </w:rPr>
      </w:pPr>
      <w:r w:rsidRPr="00623A35">
        <w:rPr>
          <w:rFonts w:cs="TT15Et00"/>
          <w:szCs w:val="20"/>
          <w:lang w:val="es-ES"/>
        </w:rPr>
        <w:t>Costo de Inactividad de los empleados / Perdida de Productividad.</w:t>
      </w:r>
    </w:p>
    <w:p w:rsidR="00BC0262" w:rsidRPr="00623A35" w:rsidRDefault="00BC0262" w:rsidP="00BC0262">
      <w:pPr>
        <w:autoSpaceDE w:val="0"/>
        <w:autoSpaceDN w:val="0"/>
        <w:adjustRightInd w:val="0"/>
        <w:jc w:val="left"/>
        <w:rPr>
          <w:rFonts w:cs="TT15Et00"/>
          <w:szCs w:val="20"/>
          <w:lang w:val="es-ES"/>
        </w:rPr>
      </w:pPr>
      <w:r w:rsidRPr="00623A35">
        <w:rPr>
          <w:rFonts w:cs="TT15Et00"/>
          <w:szCs w:val="20"/>
          <w:lang w:val="es-ES"/>
        </w:rPr>
        <w:t>Incumplimientos de normativa, acuerdos o SLA.</w:t>
      </w:r>
    </w:p>
    <w:p w:rsidR="00BC0262" w:rsidRPr="00623A35" w:rsidRDefault="00BC0262" w:rsidP="00BC0262">
      <w:pPr>
        <w:autoSpaceDE w:val="0"/>
        <w:autoSpaceDN w:val="0"/>
        <w:adjustRightInd w:val="0"/>
        <w:jc w:val="left"/>
        <w:rPr>
          <w:rFonts w:cs="TT15Et00"/>
          <w:szCs w:val="20"/>
          <w:lang w:val="es-ES"/>
        </w:rPr>
      </w:pPr>
      <w:r w:rsidRPr="00623A35">
        <w:rPr>
          <w:rFonts w:cs="TT15Et00"/>
          <w:szCs w:val="20"/>
          <w:lang w:val="es-ES"/>
        </w:rPr>
        <w:t>Impacto en marca, pérdida de confianza.</w:t>
      </w:r>
    </w:p>
    <w:p w:rsidR="00BC0262" w:rsidRPr="00623A35" w:rsidRDefault="00BC0262" w:rsidP="00BC0262">
      <w:pPr>
        <w:autoSpaceDE w:val="0"/>
        <w:autoSpaceDN w:val="0"/>
        <w:adjustRightInd w:val="0"/>
        <w:jc w:val="left"/>
        <w:rPr>
          <w:rFonts w:cs="TT15Et00"/>
          <w:szCs w:val="20"/>
          <w:lang w:val="es-ES"/>
        </w:rPr>
      </w:pPr>
    </w:p>
    <w:p w:rsidR="00BC0262" w:rsidRPr="00623A35" w:rsidRDefault="00BC0262" w:rsidP="00BC0262">
      <w:pPr>
        <w:autoSpaceDE w:val="0"/>
        <w:autoSpaceDN w:val="0"/>
        <w:adjustRightInd w:val="0"/>
        <w:jc w:val="left"/>
        <w:rPr>
          <w:rFonts w:cs="TT15Et00"/>
          <w:szCs w:val="20"/>
          <w:u w:val="single"/>
          <w:lang w:val="es-ES"/>
        </w:rPr>
      </w:pPr>
      <w:r w:rsidRPr="00623A35">
        <w:rPr>
          <w:rFonts w:cs="TT15Et00"/>
          <w:szCs w:val="20"/>
          <w:u w:val="single"/>
          <w:lang w:val="es-ES"/>
        </w:rPr>
        <w:t>Formula de Costo total por perdida de Servicio O$:</w:t>
      </w:r>
    </w:p>
    <w:p w:rsidR="00F663E2" w:rsidRPr="00623A35" w:rsidRDefault="00BC0262" w:rsidP="00BC0262">
      <w:pPr>
        <w:autoSpaceDE w:val="0"/>
        <w:autoSpaceDN w:val="0"/>
        <w:adjustRightInd w:val="0"/>
        <w:jc w:val="left"/>
        <w:rPr>
          <w:rFonts w:cs="TT163t00"/>
          <w:szCs w:val="20"/>
          <w:lang w:val="es-ES"/>
        </w:rPr>
      </w:pPr>
      <w:r w:rsidRPr="00623A35">
        <w:rPr>
          <w:rFonts w:cs="TT163t00"/>
          <w:szCs w:val="20"/>
          <w:lang w:val="es-ES"/>
        </w:rPr>
        <w:t>O$= Costo de Inactividad de los empleados + Pérdida de Operaciones + Incumplimientos de normativa o acuerdos + Impacto en marca y pérdida de confianza.</w:t>
      </w:r>
    </w:p>
    <w:sectPr w:rsidR="00F663E2" w:rsidRPr="00623A35" w:rsidSect="00A55D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T16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 Negri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6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C0"/>
    <w:rsid w:val="001523C8"/>
    <w:rsid w:val="00252971"/>
    <w:rsid w:val="002B5C57"/>
    <w:rsid w:val="002E53D0"/>
    <w:rsid w:val="003D1FCD"/>
    <w:rsid w:val="004C5E2D"/>
    <w:rsid w:val="004D61B8"/>
    <w:rsid w:val="00623A35"/>
    <w:rsid w:val="006E3836"/>
    <w:rsid w:val="007F3072"/>
    <w:rsid w:val="0083441F"/>
    <w:rsid w:val="00901E38"/>
    <w:rsid w:val="00945082"/>
    <w:rsid w:val="009D6E4F"/>
    <w:rsid w:val="009F00A3"/>
    <w:rsid w:val="00A55D4A"/>
    <w:rsid w:val="00AA665C"/>
    <w:rsid w:val="00AF4BDD"/>
    <w:rsid w:val="00BA0B62"/>
    <w:rsid w:val="00BC0262"/>
    <w:rsid w:val="00BF3F16"/>
    <w:rsid w:val="00E478C0"/>
    <w:rsid w:val="00EE6670"/>
    <w:rsid w:val="00F516C1"/>
    <w:rsid w:val="00F5432C"/>
    <w:rsid w:val="00F64F3A"/>
    <w:rsid w:val="00F663E2"/>
    <w:rsid w:val="00F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F7F0"/>
  <w15:docId w15:val="{E61A60AC-5A74-4A3B-B2DE-FED9024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836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0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1EC4B-3B8B-4E2D-A82C-E1C93CDE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16</cp:revision>
  <dcterms:created xsi:type="dcterms:W3CDTF">2016-07-09T23:44:00Z</dcterms:created>
  <dcterms:modified xsi:type="dcterms:W3CDTF">2016-12-14T15:13:00Z</dcterms:modified>
</cp:coreProperties>
</file>