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04/12/2013</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 Indique V o F y justifique claramente su respuesta.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1a - El particionamiento de una tabla se utiliza solo para preparar un histórico. La fecha determina esa partición.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1b - El mecanismo de puntos de función puede considerarse un algoritmo de Benchmarking para luego comparar el tamaño de un proceso de sistemas.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 Seleccione la/las opciones correcta.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2a - Una vez finalizado un MEP, obtengo los siguientes valores totales de ponderación: propuesta 1 = 55.6, propuesta 2 = 59.1, Propuesta 3 = 32.7.</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Luego calcular el VPP = 3.8. De estos valores puedo deducir.</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la diferencia entre la propuesta 1 y 2 es menor que el valor del VPP, entonces debería adquirir la propuesta 1.</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debo tener en cuenta el VPP, debería adquirir la propuesta 2.</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la propuesta 1 y 2 tienen una operación similar debería analizar las características de sus atributos y evaluar sus diferencias en relación a sus diferencias de ponderación y el valor del VPP obtenido.</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valor del VPP fue mal calculado.</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Ninguna de las anteriores.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2b - Un proyecto está adelantado con respecto al cronograma si</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CPI&gt;1</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CPI = 1 y SPI = 1</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BAC=  1 y SPI &lt; 0</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AC&lt;PV</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Todas las anteriores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Ninguna de las anteriores.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¿Por qué la NEGOCIACIÓN  es una habilidad indispensable que se debe profesar en el ROL del Líder? Es esta una fuerza impulsora dentro de la gestión de cambios? ¿Cómo podría relacionarlo con la motivación del grupo?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 Dada la siguiente tabla de Valoración de Atributos, corríjala para que se encuentre correcta y drecate el enunciado apropiado que hace referencia a dicha resolución para el ejercicio.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Tabla de Valoración de Atributos.</w:t>
      </w:r>
    </w:p>
    <w:tbl>
      <w:tblPr>
        <w:tblStyle w:val="Table1"/>
        <w:tblW w:w="6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10"/>
        <w:gridCol w:w="1650"/>
        <w:tblGridChange w:id="0">
          <w:tblGrid>
            <w:gridCol w:w="2145"/>
            <w:gridCol w:w="2310"/>
            <w:gridCol w:w="165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Funcionales</w:t>
            </w:r>
          </w:p>
        </w:tc>
      </w:tr>
      <w:tr>
        <w:trPr>
          <w:cantSplit w:val="0"/>
          <w:trHeight w:val="2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(2GHZ;4GHZ)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(2GB;4GB]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(4GB;8GB]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 Rígido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Conectividad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Físicas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Ergonométrico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 KG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[-100/3*1000]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Tamaño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Cámara de fotos delantera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Cámara de fotos trasera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Parlante Altavoz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Pantalla Táctil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Servicio Post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año de 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años de 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años de 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[6000;2000] PESOS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 x + 120]</w:t>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