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r12d7nmtosr" w:id="0"/>
      <w:bookmarkEnd w:id="0"/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http://www.utnianos.com.ar/foro/tema-aporte-final-adr-26-05-2016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rcgdjoxoq3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"http://www.utnianos.com.ar/foro/tema-aporte-final-adr-26-05-2016"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876925" cy="7486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-47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48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Verdadero o Falso.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k3rdkp24bl0p" w:id="2"/>
      <w:bookmarkEnd w:id="2"/>
      <w:r w:rsidDel="00000000" w:rsidR="00000000" w:rsidRPr="00000000">
        <w:rPr>
          <w:rtl w:val="0"/>
        </w:rPr>
        <w:t xml:space="preserve">A la hora de seleccionar el tipo de base para un proyecto no es recomendable utilizar el teorema de CAP ya que sus variables excluyen a los RDBMS.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En EVM, si el producto que evaluó adquirir tiene una vida útil mayor a la duración del proyecto tengo que restar su valor residual del costo total del producto.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A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  <w:jc w:val="both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color w:val="1e4d78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aporte-final-adr-26-05-2016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