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sz w:val="36"/>
        </w:rPr>
        <w:t>Project thesis — proposed structure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5E5E5E"/>
          <w:sz w:val="21"/>
        </w:rPr>
        <w:t>Jørgen Holt and Save Brautaset  ·  NTNU Industrial Economics  ·  autumn 2026</w:t>
      </w:r>
    </w:p>
    <w:p>
      <w:pPr>
        <w:spacing w:before="80" w:after="60"/>
      </w:pPr>
      <w:r>
        <w:rPr>
          <w:rFonts w:ascii="Calibri" w:hAnsi="Calibri"/>
          <w:b/>
          <w:i w:val="0"/>
          <w:sz w:val="26"/>
        </w:rPr>
        <w:t>The argument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The GGM workflow carries a documented, substantial expert burden. That burden breaks down into tasks with different properties. Some are mechanical and belong in ordinary code. Some need judgment over unstructured context and are a genuine fit for an LLM. Some should not be automated at all, because the failure mode is a plausible-looking wrong answer. This thesis works out which is which.</w:t>
      </w:r>
    </w:p>
    <w:p>
      <w:pPr>
        <w:spacing w:before="0" w:after="320"/>
      </w:pPr>
      <w:r>
        <w:rPr>
          <w:rFonts w:ascii="Calibri" w:hAnsi="Calibri"/>
          <w:b w:val="0"/>
          <w:i/>
          <w:color w:val="5E5E5E"/>
          <w:sz w:val="22"/>
        </w:rPr>
        <w:t>The contribution is the mapping and its justification — not enthusiasm, and not a build. Building is the master's thesis.</w:t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Structure</w:t>
      </w:r>
    </w:p>
    <w:p>
      <w:pPr>
        <w:spacing w:before="0" w:after="80"/>
      </w:pPr>
      <w:r>
        <w:rPr>
          <w:rFonts w:ascii="Calibri" w:hAnsi="Calibri"/>
          <w:b w:val="0"/>
          <w:i/>
          <w:color w:val="5E5E5E"/>
          <w:sz w:val="21"/>
        </w:rPr>
        <w:t>Six chapters. Chapter 2 sets up the gap; chapters 3 and 4 are the two halves of the problem; chapter 5 is where they meet, and is the core.</w:t>
      </w:r>
    </w:p>
    <w:p>
      <w:pPr>
        <w:spacing w:before="280" w:after="40"/>
      </w:pPr>
      <w:r>
        <w:rPr>
          <w:rFonts w:ascii="Calibri" w:hAnsi="Calibri"/>
          <w:b/>
          <w:sz w:val="26"/>
        </w:rPr>
        <w:t>1.  Introduction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Problem, research question, and contribution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A short sketch of GGM and why operating it takes expert effort — enough for the literature review to make sense; the full treatment is chapter 3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Scope boundary: this thesis is exploration — the implementation is the master's thesis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How the rest of the document is laid out</w:t>
      </w:r>
    </w:p>
    <w:p>
      <w:pPr>
        <w:spacing w:before="280" w:after="40"/>
      </w:pPr>
      <w:r>
        <w:rPr>
          <w:rFonts w:ascii="Calibri" w:hAnsi="Calibri"/>
          <w:b/>
          <w:sz w:val="26"/>
        </w:rPr>
        <w:t>2.  Literature review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Agents applied to configuring, calibrating and operating large domain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Organised by what the agent was asked to do, rather than by application domain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Written for a reader who has only had the introduction's sketch of GGM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sz w:val="22"/>
        </w:rPr>
        <w:t>Ends by stating the gap</w:t>
      </w:r>
      <w:r>
        <w:rPr>
          <w:rFonts w:ascii="Calibri" w:hAnsi="Calibri"/>
          <w:b w:val="0"/>
          <w:i w:val="0"/>
          <w:sz w:val="22"/>
        </w:rPr>
        <w:t xml:space="preserve"> — what is established, what is not, and what is different about our case. The following chapters answer it.</w:t>
      </w:r>
    </w:p>
    <w:p>
      <w:pPr>
        <w:spacing w:before="280" w:after="40"/>
      </w:pPr>
      <w:r>
        <w:rPr>
          <w:rFonts w:ascii="Calibri" w:hAnsi="Calibri"/>
          <w:b/>
          <w:sz w:val="26"/>
        </w:rPr>
        <w:t>3.  The Global Gas Model</w:t>
      </w:r>
    </w:p>
    <w:p>
      <w:pPr>
        <w:spacing w:before="0" w:after="100"/>
      </w:pPr>
      <w:r>
        <w:rPr>
          <w:rFonts w:ascii="Calibri" w:hAnsi="Calibri"/>
          <w:b w:val="0"/>
          <w:i/>
          <w:color w:val="5E5E5E"/>
          <w:sz w:val="21"/>
        </w:rPr>
        <w:t>The reader cannot be assumed to know what GGM is.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What the model is and what question it answers — partial equilibrium, multi-period, market power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Structure: nodes, arcs, suppliers, seasons; the pipeline and LNG value chains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Inputs: the three workbooks and what they contain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sz w:val="22"/>
        </w:rPr>
        <w:t>The workflow around the model</w:t>
      </w:r>
      <w:r>
        <w:rPr>
          <w:rFonts w:ascii="Calibri" w:hAnsi="Calibri"/>
          <w:b w:val="0"/>
          <w:i w:val="0"/>
          <w:sz w:val="22"/>
        </w:rPr>
        <w:t xml:space="preserve"> — where the manual effort actually goes. The part the documentation covers least, and the part that motivates everything after it.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Evidence of the burden: calibration takes an experienced analyst days to weeks, by the authors' own account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Why GGM is a case the literature doesn't cover: its calibrated parameters are contestable economic judgments, not measurements</w:t>
      </w:r>
    </w:p>
    <w:p>
      <w:pPr>
        <w:spacing w:before="280" w:after="40"/>
      </w:pPr>
      <w:r>
        <w:rPr>
          <w:rFonts w:ascii="Calibri" w:hAnsi="Calibri"/>
          <w:b/>
          <w:sz w:val="26"/>
        </w:rPr>
        <w:t>4.  LLM agents</w:t>
      </w:r>
    </w:p>
    <w:p>
      <w:pPr>
        <w:spacing w:before="0" w:after="100"/>
      </w:pPr>
      <w:r>
        <w:rPr>
          <w:rFonts w:ascii="Calibri" w:hAnsi="Calibri"/>
          <w:b w:val="0"/>
          <w:i/>
          <w:color w:val="5E5E5E"/>
          <w:sz w:val="21"/>
        </w:rPr>
        <w:t>Written toward the problem, not as a general survey — draws on the literature review rather than re-surveying it.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What makes an agent different from a prompt: tool use, iteration, feedback from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Capabilities that matter here: reading unstructured documentation, applying written heuristics, revising under numeric feedback, explaining its reasoning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Limits that matter here: hallucination, weak arithmetic, non-determinism, context limits, no ground truth about physical reality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Model choice and cost, tied to the actual workflow rather than discussed in general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sz w:val="22"/>
        </w:rPr>
        <w:t>Which tasks suit an LLM and which are better as ordinary code</w:t>
      </w:r>
      <w:r>
        <w:rPr>
          <w:rFonts w:ascii="Calibri" w:hAnsi="Calibri"/>
          <w:b w:val="0"/>
          <w:i w:val="0"/>
          <w:sz w:val="22"/>
        </w:rPr>
        <w:t xml:space="preserve"> — the analytical core, developed here and applied in chapter 5</w:t>
      </w:r>
    </w:p>
    <w:p>
      <w:pPr>
        <w:spacing w:before="280" w:after="40"/>
      </w:pPr>
      <w:r>
        <w:rPr>
          <w:rFonts w:ascii="Calibri" w:hAnsi="Calibri"/>
          <w:b/>
          <w:sz w:val="26"/>
        </w:rPr>
        <w:t>5.  Which GGM tasks fit</w:t>
      </w:r>
    </w:p>
    <w:p>
      <w:pPr>
        <w:spacing w:before="0" w:after="100"/>
      </w:pPr>
      <w:r>
        <w:rPr>
          <w:rFonts w:ascii="Calibri" w:hAnsi="Calibri"/>
          <w:b w:val="0"/>
          <w:i/>
          <w:color w:val="5E5E5E"/>
          <w:sz w:val="21"/>
        </w:rPr>
        <w:t>The core chapter.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Decompose the workflow from chapter 3 into tasks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Classify each against the criteria from chapter 4 — determinism, context, failure visibility, reversibility, verifiability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sz w:val="22"/>
        </w:rPr>
        <w:t>Deterministic, structured, loud failure</w:t>
      </w:r>
      <w:r>
        <w:rPr>
          <w:rFonts w:ascii="Calibri" w:hAnsi="Calibri"/>
          <w:b w:val="0"/>
          <w:i w:val="0"/>
          <w:sz w:val="22"/>
        </w:rPr>
        <w:t xml:space="preserve"> belongs in ordinary code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sz w:val="22"/>
        </w:rPr>
        <w:t>Judgment-based, unstructured, quiet failure</w:t>
      </w:r>
      <w:r>
        <w:rPr>
          <w:rFonts w:ascii="Calibri" w:hAnsi="Calibri"/>
          <w:b w:val="0"/>
          <w:i w:val="0"/>
          <w:sz w:val="22"/>
        </w:rPr>
        <w:t xml:space="preserve"> is where an agent may help — and exactly where it needs a human gate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That tension is the interesting finding, and we want to state it as one</w:t>
      </w:r>
    </w:p>
    <w:p>
      <w:pPr>
        <w:spacing w:before="280" w:after="40"/>
      </w:pPr>
      <w:r>
        <w:rPr>
          <w:rFonts w:ascii="Calibri" w:hAnsi="Calibri"/>
          <w:b/>
          <w:sz w:val="26"/>
        </w:rPr>
        <w:t>6.  Conclusion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What the analysis establishes, and what it leaves open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What a system built on it would look like, in sketch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What the master's thesis should build</w:t>
      </w:r>
    </w:p>
    <w:p>
      <w:pPr>
        <w:spacing w:before="400" w:after="80"/>
      </w:pPr>
      <w:r>
        <w:rPr>
          <w:rFonts w:ascii="Calibri" w:hAnsi="Calibri"/>
          <w:b/>
          <w:i w:val="0"/>
          <w:sz w:val="26"/>
        </w:rPr>
        <w:t>Open questions for supervisors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How narrow should the research question be?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Is a proof of concept wanted, or is a well-argued exploration enough on its own?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Does the design sketch belong in this thesis, or is it better deferred to the master's?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 the workflow discussions with you be cited as a source — and if so, how?</w:t>
      </w:r>
    </w:p>
    <w:p>
      <w:pPr>
        <w:spacing w:before="280" w:after="120"/>
      </w:pPr>
      <w:r>
        <w:rPr>
          <w:rFonts w:ascii="Calibri" w:hAnsi="Calibri"/>
          <w:b w:val="0"/>
          <w:i/>
          <w:color w:val="5E5E5E"/>
          <w:sz w:val="21"/>
        </w:rPr>
        <w:t>A more detailed outline is in progress. Rather than asking what should go in each chapter, we would rather write it up in full and bring it to you.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