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Sesion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Practica</w:t>
      </w:r>
      <w:r>
        <w:t xml:space="preserve"> </w:t>
      </w:r>
      <w:r>
        <w:t xml:space="preserve">6</w:t>
      </w:r>
    </w:p>
    <w:p>
      <w:pPr>
        <w:pStyle w:val="Author"/>
      </w:pPr>
      <w:hyperlink r:id="rId20">
        <w:r>
          <w:rPr>
            <w:rStyle w:val="Hyperlink"/>
          </w:rPr>
          <w:t xml:space="preserve">estadisticalemon@delarivagroup.com</w:t>
        </w:r>
      </w:hyperlink>
    </w:p>
    <w:p>
      <w:pPr>
        <w:pStyle w:val="Heading2"/>
      </w:pPr>
      <w:bookmarkStart w:id="21" w:name="creacion-de-reportes---r-markdown"/>
      <w:r>
        <w:t xml:space="preserve">Creacion de reportes - R Markdown</w:t>
      </w:r>
      <w:bookmarkEnd w:id="21"/>
    </w:p>
    <w:p>
      <w:pPr>
        <w:pStyle w:val="FirstParagraph"/>
      </w:pPr>
      <w:r>
        <w:t xml:space="preserve">En este reporte exploraremos la base de datos</w:t>
      </w:r>
      <w:r>
        <w:t xml:space="preserve"> </w:t>
      </w:r>
      <w:r>
        <w:t xml:space="preserve">“</w:t>
      </w:r>
      <w:r>
        <w:t xml:space="preserve">mtcars</w:t>
      </w:r>
      <w:r>
        <w:t xml:space="preserve">”</w:t>
      </w:r>
    </w:p>
    <w:p>
      <w:pPr>
        <w:pStyle w:val="TableCaption"/>
      </w:pPr>
      <w:r>
        <w:t xml:space="preserve">Resumen de datos tabla mtcars</w:t>
      </w:r>
    </w:p>
    <w:tbl>
      <w:tblPr>
        <w:tblStyle w:val="Table"/>
        <w:tblW w:type="pct" w:w="0.0"/>
        <w:tblLook w:firstRow="1"/>
        <w:tblCaption w:val="Resumen de datos tabla mtca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2"/>
      </w:pPr>
      <w:bookmarkStart w:id="22" w:name="vizualizacion-de-la-informacion"/>
      <w:r>
        <w:t xml:space="preserve">Vizualizacion de la informacion</w:t>
      </w:r>
      <w:bookmarkEnd w:id="22"/>
    </w:p>
    <w:p>
      <w:pPr>
        <w:pStyle w:val="FirstParagraph"/>
      </w:pPr>
      <w:r>
        <w:t xml:space="preserve">A continuacion generaremos un grafico de dispersion para visualizar el comportamiento de las variables de las base de datos mtcars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Sesion3-Practica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Adicional al grafico imprimiremos una tabla con el coeficiente de correlacion de cada variable de la base de datos mtcars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(mtcars)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'Coeficiente de Correlacion "mtcars"'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Coeficiente de Correlacion</w:t>
      </w:r>
      <w:r>
        <w:t xml:space="preserve"> </w:t>
      </w:r>
      <w:r>
        <w:t xml:space="preserve">“</w:t>
      </w:r>
      <w:r>
        <w:t xml:space="preserve">mtcars</w:t>
      </w:r>
      <w:r>
        <w:t xml:space="preserve">”</w:t>
      </w:r>
    </w:p>
    <w:tbl>
      <w:tblPr>
        <w:tblStyle w:val="Table"/>
        <w:tblW w:type="pct" w:w="0.0"/>
        <w:tblLook w:firstRow="1"/>
        <w:tblCaption w:val="Coeficiente de Correlacion “mtcars”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-0.852</w:t>
            </w:r>
          </w:p>
        </w:tc>
        <w:tc>
          <w:p>
            <w:pPr>
              <w:pStyle w:val="Compact"/>
              <w:jc w:val="right"/>
            </w:pPr>
            <w:r>
              <w:t xml:space="preserve">-0.848</w:t>
            </w:r>
          </w:p>
        </w:tc>
        <w:tc>
          <w:p>
            <w:pPr>
              <w:pStyle w:val="Compact"/>
              <w:jc w:val="right"/>
            </w:pPr>
            <w:r>
              <w:t xml:space="preserve">-0.776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-0.868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p>
            <w:pPr>
              <w:pStyle w:val="Compact"/>
              <w:jc w:val="right"/>
            </w:pPr>
            <w:r>
              <w:t xml:space="preserve">0.480</w:t>
            </w:r>
          </w:p>
        </w:tc>
        <w:tc>
          <w:p>
            <w:pPr>
              <w:pStyle w:val="Compact"/>
              <w:jc w:val="right"/>
            </w:pPr>
            <w:r>
              <w:t xml:space="preserve">-0.551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p>
            <w:pPr>
              <w:pStyle w:val="Compact"/>
              <w:jc w:val="right"/>
            </w:pPr>
            <w:r>
              <w:t xml:space="preserve">-0.852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p>
            <w:pPr>
              <w:pStyle w:val="Compact"/>
              <w:jc w:val="right"/>
            </w:pPr>
            <w:r>
              <w:t xml:space="preserve">-0.700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  <w:tc>
          <w:p>
            <w:pPr>
              <w:pStyle w:val="Compact"/>
              <w:jc w:val="right"/>
            </w:pPr>
            <w:r>
              <w:t xml:space="preserve">-0.591</w:t>
            </w:r>
          </w:p>
        </w:tc>
        <w:tc>
          <w:p>
            <w:pPr>
              <w:pStyle w:val="Compact"/>
              <w:jc w:val="right"/>
            </w:pPr>
            <w:r>
              <w:t xml:space="preserve">-0.811</w:t>
            </w:r>
          </w:p>
        </w:tc>
        <w:tc>
          <w:p>
            <w:pPr>
              <w:pStyle w:val="Compact"/>
              <w:jc w:val="right"/>
            </w:pPr>
            <w:r>
              <w:t xml:space="preserve">-0.523</w:t>
            </w:r>
          </w:p>
        </w:tc>
        <w:tc>
          <w:p>
            <w:pPr>
              <w:pStyle w:val="Compact"/>
              <w:jc w:val="right"/>
            </w:pPr>
            <w:r>
              <w:t xml:space="preserve">-0.493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</w:t>
            </w:r>
          </w:p>
        </w:tc>
        <w:tc>
          <w:p>
            <w:pPr>
              <w:pStyle w:val="Compact"/>
              <w:jc w:val="right"/>
            </w:pPr>
            <w:r>
              <w:t xml:space="preserve">-0.848</w:t>
            </w:r>
          </w:p>
        </w:tc>
        <w:tc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p>
            <w:pPr>
              <w:pStyle w:val="Compact"/>
              <w:jc w:val="right"/>
            </w:pPr>
            <w:r>
              <w:t xml:space="preserve">-0.710</w:t>
            </w:r>
          </w:p>
        </w:tc>
        <w:tc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p>
            <w:pPr>
              <w:pStyle w:val="Compact"/>
              <w:jc w:val="right"/>
            </w:pPr>
            <w:r>
              <w:t xml:space="preserve">-0.434</w:t>
            </w:r>
          </w:p>
        </w:tc>
        <w:tc>
          <w:p>
            <w:pPr>
              <w:pStyle w:val="Compact"/>
              <w:jc w:val="right"/>
            </w:pPr>
            <w:r>
              <w:t xml:space="preserve">-0.710</w:t>
            </w:r>
          </w:p>
        </w:tc>
        <w:tc>
          <w:p>
            <w:pPr>
              <w:pStyle w:val="Compact"/>
              <w:jc w:val="right"/>
            </w:pPr>
            <w:r>
              <w:t xml:space="preserve">-0.591</w:t>
            </w:r>
          </w:p>
        </w:tc>
        <w:tc>
          <w:p>
            <w:pPr>
              <w:pStyle w:val="Compact"/>
              <w:jc w:val="right"/>
            </w:pPr>
            <w:r>
              <w:t xml:space="preserve">-0.556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p>
            <w:pPr>
              <w:pStyle w:val="Compact"/>
              <w:jc w:val="right"/>
            </w:pPr>
            <w:r>
              <w:t xml:space="preserve">-0.776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-0.449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-0.708</w:t>
            </w:r>
          </w:p>
        </w:tc>
        <w:tc>
          <w:p>
            <w:pPr>
              <w:pStyle w:val="Compact"/>
              <w:jc w:val="right"/>
            </w:pPr>
            <w:r>
              <w:t xml:space="preserve">-0.723</w:t>
            </w:r>
          </w:p>
        </w:tc>
        <w:tc>
          <w:p>
            <w:pPr>
              <w:pStyle w:val="Compact"/>
              <w:jc w:val="right"/>
            </w:pPr>
            <w:r>
              <w:t xml:space="preserve">-0.243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drat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-0.700</w:t>
            </w:r>
          </w:p>
        </w:tc>
        <w:tc>
          <w:p>
            <w:pPr>
              <w:pStyle w:val="Compact"/>
              <w:jc w:val="right"/>
            </w:pPr>
            <w:r>
              <w:t xml:space="preserve">-0.710</w:t>
            </w:r>
          </w:p>
        </w:tc>
        <w:tc>
          <w:p>
            <w:pPr>
              <w:pStyle w:val="Compact"/>
              <w:jc w:val="right"/>
            </w:pPr>
            <w:r>
              <w:t xml:space="preserve">-0.449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-0.712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p>
            <w:pPr>
              <w:pStyle w:val="Compact"/>
              <w:jc w:val="right"/>
            </w:pPr>
            <w:r>
              <w:t xml:space="preserve">0.700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p>
            <w:pPr>
              <w:pStyle w:val="Compact"/>
              <w:jc w:val="right"/>
            </w:pPr>
            <w:r>
              <w:t xml:space="preserve">-0.868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  <w:tc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-0.712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-0.175</w:t>
            </w:r>
          </w:p>
        </w:tc>
        <w:tc>
          <w:p>
            <w:pPr>
              <w:pStyle w:val="Compact"/>
              <w:jc w:val="right"/>
            </w:pPr>
            <w:r>
              <w:t xml:space="preserve">-0.555</w:t>
            </w:r>
          </w:p>
        </w:tc>
        <w:tc>
          <w:p>
            <w:pPr>
              <w:pStyle w:val="Compact"/>
              <w:jc w:val="right"/>
            </w:pPr>
            <w:r>
              <w:t xml:space="preserve">-0.692</w:t>
            </w:r>
          </w:p>
        </w:tc>
        <w:tc>
          <w:p>
            <w:pPr>
              <w:pStyle w:val="Compact"/>
              <w:jc w:val="right"/>
            </w:pPr>
            <w:r>
              <w:t xml:space="preserve">-0.583</w:t>
            </w:r>
          </w:p>
        </w:tc>
        <w:tc>
          <w:p>
            <w:pPr>
              <w:pStyle w:val="Compact"/>
              <w:jc w:val="right"/>
            </w:pPr>
            <w:r>
              <w:t xml:space="preserve">0.428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-0.591</w:t>
            </w:r>
          </w:p>
        </w:tc>
        <w:tc>
          <w:p>
            <w:pPr>
              <w:pStyle w:val="Compact"/>
              <w:jc w:val="right"/>
            </w:pPr>
            <w:r>
              <w:t xml:space="preserve">-0.434</w:t>
            </w:r>
          </w:p>
        </w:tc>
        <w:tc>
          <w:p>
            <w:pPr>
              <w:pStyle w:val="Compact"/>
              <w:jc w:val="right"/>
            </w:pPr>
            <w:r>
              <w:t xml:space="preserve">-0.708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-0.175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0.745</w:t>
            </w:r>
          </w:p>
        </w:tc>
        <w:tc>
          <w:p>
            <w:pPr>
              <w:pStyle w:val="Compact"/>
              <w:jc w:val="right"/>
            </w:pPr>
            <w:r>
              <w:t xml:space="preserve">-0.230</w:t>
            </w:r>
          </w:p>
        </w:tc>
        <w:tc>
          <w:p>
            <w:pPr>
              <w:pStyle w:val="Compact"/>
              <w:jc w:val="right"/>
            </w:pPr>
            <w:r>
              <w:t xml:space="preserve">-0.213</w:t>
            </w:r>
          </w:p>
        </w:tc>
        <w:tc>
          <w:p>
            <w:pPr>
              <w:pStyle w:val="Compact"/>
              <w:jc w:val="right"/>
            </w:pPr>
            <w:r>
              <w:t xml:space="preserve">-0.656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vs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-0.811</w:t>
            </w:r>
          </w:p>
        </w:tc>
        <w:tc>
          <w:p>
            <w:pPr>
              <w:pStyle w:val="Compact"/>
              <w:jc w:val="right"/>
            </w:pPr>
            <w:r>
              <w:t xml:space="preserve">-0.710</w:t>
            </w:r>
          </w:p>
        </w:tc>
        <w:tc>
          <w:p>
            <w:pPr>
              <w:pStyle w:val="Compact"/>
              <w:jc w:val="right"/>
            </w:pPr>
            <w:r>
              <w:t xml:space="preserve">-0.723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p>
            <w:pPr>
              <w:pStyle w:val="Compact"/>
              <w:jc w:val="right"/>
            </w:pPr>
            <w:r>
              <w:t xml:space="preserve">-0.555</w:t>
            </w:r>
          </w:p>
        </w:tc>
        <w:tc>
          <w:p>
            <w:pPr>
              <w:pStyle w:val="Compact"/>
              <w:jc w:val="right"/>
            </w:pPr>
            <w:r>
              <w:t xml:space="preserve">0.745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-0.570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p>
            <w:pPr>
              <w:pStyle w:val="Compact"/>
              <w:jc w:val="right"/>
            </w:pPr>
            <w:r>
              <w:t xml:space="preserve">-0.523</w:t>
            </w:r>
          </w:p>
        </w:tc>
        <w:tc>
          <w:p>
            <w:pPr>
              <w:pStyle w:val="Compact"/>
              <w:jc w:val="right"/>
            </w:pPr>
            <w:r>
              <w:t xml:space="preserve">-0.591</w:t>
            </w:r>
          </w:p>
        </w:tc>
        <w:tc>
          <w:p>
            <w:pPr>
              <w:pStyle w:val="Compact"/>
              <w:jc w:val="right"/>
            </w:pPr>
            <w:r>
              <w:t xml:space="preserve">-0.243</w:t>
            </w:r>
          </w:p>
        </w:tc>
        <w:tc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p>
            <w:pPr>
              <w:pStyle w:val="Compact"/>
              <w:jc w:val="right"/>
            </w:pPr>
            <w:r>
              <w:t xml:space="preserve">-0.692</w:t>
            </w:r>
          </w:p>
        </w:tc>
        <w:tc>
          <w:p>
            <w:pPr>
              <w:pStyle w:val="Compact"/>
              <w:jc w:val="right"/>
            </w:pPr>
            <w:r>
              <w:t xml:space="preserve">-0.230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gear</w:t>
            </w:r>
          </w:p>
        </w:tc>
        <w:tc>
          <w:p>
            <w:pPr>
              <w:pStyle w:val="Compact"/>
              <w:jc w:val="right"/>
            </w:pPr>
            <w:r>
              <w:t xml:space="preserve">0.480</w:t>
            </w:r>
          </w:p>
        </w:tc>
        <w:tc>
          <w:p>
            <w:pPr>
              <w:pStyle w:val="Compact"/>
              <w:jc w:val="right"/>
            </w:pPr>
            <w:r>
              <w:t xml:space="preserve">-0.493</w:t>
            </w:r>
          </w:p>
        </w:tc>
        <w:tc>
          <w:p>
            <w:pPr>
              <w:pStyle w:val="Compact"/>
              <w:jc w:val="right"/>
            </w:pPr>
            <w:r>
              <w:t xml:space="preserve">-0.556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0.700</w:t>
            </w:r>
          </w:p>
        </w:tc>
        <w:tc>
          <w:p>
            <w:pPr>
              <w:pStyle w:val="Compact"/>
              <w:jc w:val="right"/>
            </w:pPr>
            <w:r>
              <w:t xml:space="preserve">-0.583</w:t>
            </w:r>
          </w:p>
        </w:tc>
        <w:tc>
          <w:p>
            <w:pPr>
              <w:pStyle w:val="Compact"/>
              <w:jc w:val="right"/>
            </w:pPr>
            <w:r>
              <w:t xml:space="preserve">-0.213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carb</w:t>
            </w:r>
          </w:p>
        </w:tc>
        <w:tc>
          <w:p>
            <w:pPr>
              <w:pStyle w:val="Compact"/>
              <w:jc w:val="right"/>
            </w:pPr>
            <w:r>
              <w:t xml:space="preserve">-0.551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0.428</w:t>
            </w:r>
          </w:p>
        </w:tc>
        <w:tc>
          <w:p>
            <w:pPr>
              <w:pStyle w:val="Compact"/>
              <w:jc w:val="right"/>
            </w:pPr>
            <w:r>
              <w:t xml:space="preserve">-0.656</w:t>
            </w:r>
          </w:p>
        </w:tc>
        <w:tc>
          <w:p>
            <w:pPr>
              <w:pStyle w:val="Compact"/>
              <w:jc w:val="right"/>
            </w:pPr>
            <w:r>
              <w:t xml:space="preserve">-0.570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Heading4"/>
      </w:pPr>
      <w:bookmarkStart w:id="24" w:name="Xdc457286df59bfd767ebaa1bcc7b5590261f222"/>
      <w:r>
        <w:t xml:space="preserve">Principales salidas de reportes que se pueden crear en RMarkdown</w:t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beamer_presentation</w:t>
      </w:r>
    </w:p>
    <w:p>
      <w:pPr>
        <w:numPr>
          <w:ilvl w:val="0"/>
          <w:numId w:val="1001"/>
        </w:numPr>
        <w:pStyle w:val="Compact"/>
      </w:pPr>
      <w:r>
        <w:t xml:space="preserve">github_document</w:t>
      </w:r>
    </w:p>
    <w:p>
      <w:pPr>
        <w:numPr>
          <w:ilvl w:val="0"/>
          <w:numId w:val="1001"/>
        </w:numPr>
        <w:pStyle w:val="Compact"/>
      </w:pPr>
      <w:r>
        <w:t xml:space="preserve">html_document</w:t>
      </w:r>
    </w:p>
    <w:p>
      <w:pPr>
        <w:numPr>
          <w:ilvl w:val="0"/>
          <w:numId w:val="1001"/>
        </w:numPr>
        <w:pStyle w:val="Compact"/>
      </w:pPr>
      <w:r>
        <w:t xml:space="preserve">ioslides_presentation</w:t>
      </w:r>
    </w:p>
    <w:p>
      <w:pPr>
        <w:numPr>
          <w:ilvl w:val="0"/>
          <w:numId w:val="1001"/>
        </w:numPr>
        <w:pStyle w:val="Compact"/>
      </w:pPr>
      <w:r>
        <w:t xml:space="preserve">latex_document</w:t>
      </w:r>
    </w:p>
    <w:p>
      <w:pPr>
        <w:numPr>
          <w:ilvl w:val="0"/>
          <w:numId w:val="1001"/>
        </w:numPr>
        <w:pStyle w:val="Compact"/>
      </w:pPr>
      <w:r>
        <w:t xml:space="preserve">md_document</w:t>
      </w:r>
    </w:p>
    <w:p>
      <w:pPr>
        <w:numPr>
          <w:ilvl w:val="0"/>
          <w:numId w:val="1001"/>
        </w:numPr>
        <w:pStyle w:val="Compact"/>
      </w:pPr>
      <w:r>
        <w:t xml:space="preserve">odt_document</w:t>
      </w:r>
    </w:p>
    <w:p>
      <w:pPr>
        <w:numPr>
          <w:ilvl w:val="0"/>
          <w:numId w:val="1001"/>
        </w:numPr>
        <w:pStyle w:val="Compact"/>
      </w:pPr>
      <w:r>
        <w:t xml:space="preserve">pdf_document</w:t>
      </w:r>
    </w:p>
    <w:p>
      <w:pPr>
        <w:numPr>
          <w:ilvl w:val="0"/>
          <w:numId w:val="1001"/>
        </w:numPr>
        <w:pStyle w:val="Compact"/>
      </w:pPr>
      <w:r>
        <w:t xml:space="preserve">powerpoint_presentation</w:t>
      </w:r>
    </w:p>
    <w:p>
      <w:pPr>
        <w:numPr>
          <w:ilvl w:val="0"/>
          <w:numId w:val="1001"/>
        </w:numPr>
        <w:pStyle w:val="Compact"/>
      </w:pPr>
      <w:r>
        <w:t xml:space="preserve">rtf_document</w:t>
      </w:r>
    </w:p>
    <w:p>
      <w:pPr>
        <w:numPr>
          <w:ilvl w:val="0"/>
          <w:numId w:val="1001"/>
        </w:numPr>
        <w:pStyle w:val="Compact"/>
      </w:pPr>
      <w:r>
        <w:t xml:space="preserve">slidy_presentation</w:t>
      </w:r>
    </w:p>
    <w:p>
      <w:pPr>
        <w:numPr>
          <w:ilvl w:val="0"/>
          <w:numId w:val="1001"/>
        </w:numPr>
        <w:pStyle w:val="Compact"/>
      </w:pPr>
      <w:r>
        <w:t xml:space="preserve">word_document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mailto:estadisticalemon@delarivagroup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estadisticalemon@delarivagroup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Sesion 3 - Practica 6</dc:title>
  <dc:creator>estadisticalemon@delarivagroup.com</dc:creator>
  <cp:keywords/>
  <dcterms:created xsi:type="dcterms:W3CDTF">2020-04-10T01:15:00Z</dcterms:created>
  <dcterms:modified xsi:type="dcterms:W3CDTF">2020-04-10T01:15:00Z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