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F98D4" w14:textId="77777777" w:rsidR="003B59E2" w:rsidRDefault="00000000">
      <w:pPr>
        <w:spacing w:after="40"/>
        <w:jc w:val="center"/>
      </w:pPr>
      <w:r>
        <w:rPr>
          <w:b/>
          <w:bCs/>
          <w:color w:val="1F4E79"/>
          <w:sz w:val="32"/>
          <w:szCs w:val="32"/>
        </w:rPr>
        <w:t>SIGET — Sistema Inteligente de Gestión del Tráfico</w:t>
      </w:r>
    </w:p>
    <w:p w14:paraId="3C76B8CF" w14:textId="77777777" w:rsidR="003B59E2" w:rsidRDefault="00000000">
      <w:pPr>
        <w:spacing w:after="40"/>
        <w:jc w:val="center"/>
      </w:pPr>
      <w:r>
        <w:rPr>
          <w:i/>
          <w:iCs/>
          <w:color w:val="2E74B5"/>
          <w:sz w:val="22"/>
          <w:szCs w:val="22"/>
        </w:rPr>
        <w:t>Relatoría técnica: sincronización de concurrencia con el patrón Productor-Consumidor</w:t>
      </w:r>
    </w:p>
    <w:p w14:paraId="319CB517" w14:textId="77777777" w:rsidR="003B59E2" w:rsidRDefault="00000000">
      <w:pPr>
        <w:pBdr>
          <w:bottom w:val="single" w:sz="6" w:space="4" w:color="2E74B5"/>
        </w:pBdr>
        <w:spacing w:after="200"/>
        <w:jc w:val="center"/>
      </w:pPr>
      <w:r>
        <w:rPr>
          <w:color w:val="555555"/>
          <w:sz w:val="18"/>
          <w:szCs w:val="18"/>
        </w:rPr>
        <w:t>Unidad de Concurrencia — Gestión de Procesos y Recursos</w:t>
      </w:r>
    </w:p>
    <w:p w14:paraId="63DC0FAA" w14:textId="77777777" w:rsidR="003B59E2" w:rsidRPr="00145D1A" w:rsidRDefault="00000000">
      <w:pPr>
        <w:pStyle w:val="Ttulo1"/>
        <w:spacing w:before="240" w:after="120"/>
        <w:rPr>
          <w:rFonts w:ascii="Arial" w:hAnsi="Arial" w:cs="Arial"/>
          <w:sz w:val="24"/>
          <w:szCs w:val="24"/>
        </w:rPr>
      </w:pPr>
      <w:r w:rsidRPr="00145D1A">
        <w:rPr>
          <w:rFonts w:ascii="Arial" w:hAnsi="Arial" w:cs="Arial"/>
          <w:b/>
          <w:bCs/>
          <w:color w:val="1F4E79"/>
          <w:sz w:val="24"/>
          <w:szCs w:val="24"/>
        </w:rPr>
        <w:t>1. Lógica de la implementación</w:t>
      </w:r>
    </w:p>
    <w:p w14:paraId="0C51E492"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El problema elegido fue el clásico Productor-Consumidor, adaptado al dominio del SIGET: sensores de tráfico distribuidos en distintas intersecciones actúan como productores, generando lecturas de vehículos por minuto a intervalos aleatorios, mientras que módulos de análisis actúan como consumidores, retirando esas lecturas para clasificarlas según su nivel de congestión. Ambos tipos de procesos se ejecutan como hilos independientes (</w:t>
      </w:r>
      <w:proofErr w:type="spellStart"/>
      <w:proofErr w:type="gramStart"/>
      <w:r w:rsidRPr="00145D1A">
        <w:rPr>
          <w:rFonts w:ascii="Arial" w:hAnsi="Arial" w:cs="Arial"/>
          <w:sz w:val="24"/>
          <w:szCs w:val="24"/>
        </w:rPr>
        <w:t>threading.Thread</w:t>
      </w:r>
      <w:proofErr w:type="spellEnd"/>
      <w:proofErr w:type="gramEnd"/>
      <w:r w:rsidRPr="00145D1A">
        <w:rPr>
          <w:rFonts w:ascii="Arial" w:hAnsi="Arial" w:cs="Arial"/>
          <w:sz w:val="24"/>
          <w:szCs w:val="24"/>
        </w:rPr>
        <w:t>) que comparten un único recurso crítico: una lista en memoria de capacidad fija (</w:t>
      </w:r>
      <w:proofErr w:type="spellStart"/>
      <w:r w:rsidRPr="00145D1A">
        <w:rPr>
          <w:rFonts w:ascii="Arial" w:hAnsi="Arial" w:cs="Arial"/>
          <w:sz w:val="24"/>
          <w:szCs w:val="24"/>
        </w:rPr>
        <w:t>buffer_compartido</w:t>
      </w:r>
      <w:proofErr w:type="spellEnd"/>
      <w:r w:rsidRPr="00145D1A">
        <w:rPr>
          <w:rFonts w:ascii="Arial" w:hAnsi="Arial" w:cs="Arial"/>
          <w:sz w:val="24"/>
          <w:szCs w:val="24"/>
        </w:rPr>
        <w:t>), que simula la memoria finita de un sistema embebido de tráfico real.</w:t>
      </w:r>
    </w:p>
    <w:p w14:paraId="3CBA7986"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El diseño sigue el modelo de búfer acotado (</w:t>
      </w:r>
      <w:proofErr w:type="spellStart"/>
      <w:r w:rsidRPr="00145D1A">
        <w:rPr>
          <w:rFonts w:ascii="Arial" w:hAnsi="Arial" w:cs="Arial"/>
          <w:sz w:val="24"/>
          <w:szCs w:val="24"/>
        </w:rPr>
        <w:t>bounded</w:t>
      </w:r>
      <w:proofErr w:type="spellEnd"/>
      <w:r w:rsidRPr="00145D1A">
        <w:rPr>
          <w:rFonts w:ascii="Arial" w:hAnsi="Arial" w:cs="Arial"/>
          <w:sz w:val="24"/>
          <w:szCs w:val="24"/>
        </w:rPr>
        <w:t xml:space="preserve"> buffer) de Dijkstra: un productor nunca escribe si no hay espacio libre, y un consumidor nunca lee si no hay datos disponibles. Esto se logra delegando el control de flujo a dos semáforos contadores y protegiendo la manipulación física de la lista con un tercer semáforo binario usado como </w:t>
      </w:r>
      <w:proofErr w:type="spellStart"/>
      <w:r w:rsidRPr="00145D1A">
        <w:rPr>
          <w:rFonts w:ascii="Arial" w:hAnsi="Arial" w:cs="Arial"/>
          <w:sz w:val="24"/>
          <w:szCs w:val="24"/>
        </w:rPr>
        <w:t>mutex</w:t>
      </w:r>
      <w:proofErr w:type="spellEnd"/>
      <w:r w:rsidRPr="00145D1A">
        <w:rPr>
          <w:rFonts w:ascii="Arial" w:hAnsi="Arial" w:cs="Arial"/>
          <w:sz w:val="24"/>
          <w:szCs w:val="24"/>
        </w:rPr>
        <w:t>.</w:t>
      </w:r>
    </w:p>
    <w:p w14:paraId="58D4E444" w14:textId="77777777" w:rsidR="003B59E2" w:rsidRPr="00145D1A" w:rsidRDefault="00000000">
      <w:pPr>
        <w:pStyle w:val="Ttulo1"/>
        <w:spacing w:before="240" w:after="120"/>
        <w:rPr>
          <w:rFonts w:ascii="Arial" w:hAnsi="Arial" w:cs="Arial"/>
          <w:sz w:val="24"/>
          <w:szCs w:val="24"/>
        </w:rPr>
      </w:pPr>
      <w:r w:rsidRPr="00145D1A">
        <w:rPr>
          <w:rFonts w:ascii="Arial" w:hAnsi="Arial" w:cs="Arial"/>
          <w:b/>
          <w:bCs/>
          <w:color w:val="1F4E79"/>
          <w:sz w:val="24"/>
          <w:szCs w:val="24"/>
        </w:rPr>
        <w:t>2. Elementos de concurrencia utilizados</w:t>
      </w:r>
    </w:p>
    <w:p w14:paraId="7A45F5B1" w14:textId="77777777" w:rsidR="003B59E2" w:rsidRPr="00145D1A" w:rsidRDefault="00000000">
      <w:pPr>
        <w:pStyle w:val="Ttulo2"/>
        <w:spacing w:before="160" w:after="80"/>
        <w:rPr>
          <w:rFonts w:ascii="Arial" w:hAnsi="Arial" w:cs="Arial"/>
          <w:sz w:val="24"/>
          <w:szCs w:val="24"/>
        </w:rPr>
      </w:pPr>
      <w:r w:rsidRPr="00145D1A">
        <w:rPr>
          <w:rFonts w:ascii="Arial" w:hAnsi="Arial" w:cs="Arial"/>
          <w:b/>
          <w:bCs/>
          <w:sz w:val="24"/>
          <w:szCs w:val="24"/>
        </w:rPr>
        <w:t>2.1 Semáforos contadores (control de flujo)</w:t>
      </w:r>
    </w:p>
    <w:p w14:paraId="68EF8434" w14:textId="77777777" w:rsidR="003B59E2" w:rsidRPr="00145D1A" w:rsidRDefault="00000000">
      <w:pPr>
        <w:pStyle w:val="Prrafodelista"/>
        <w:numPr>
          <w:ilvl w:val="0"/>
          <w:numId w:val="2"/>
        </w:numPr>
        <w:spacing w:after="60" w:line="276" w:lineRule="auto"/>
        <w:rPr>
          <w:rFonts w:ascii="Arial" w:hAnsi="Arial" w:cs="Arial"/>
          <w:sz w:val="24"/>
          <w:szCs w:val="24"/>
        </w:rPr>
      </w:pPr>
      <w:proofErr w:type="spellStart"/>
      <w:r w:rsidRPr="00145D1A">
        <w:rPr>
          <w:rFonts w:ascii="Arial" w:hAnsi="Arial" w:cs="Arial"/>
          <w:b/>
          <w:bCs/>
          <w:sz w:val="24"/>
          <w:szCs w:val="24"/>
        </w:rPr>
        <w:t>espacios_vacios</w:t>
      </w:r>
      <w:proofErr w:type="spellEnd"/>
      <w:r w:rsidRPr="00145D1A">
        <w:rPr>
          <w:rFonts w:ascii="Arial" w:hAnsi="Arial" w:cs="Arial"/>
          <w:b/>
          <w:bCs/>
          <w:sz w:val="24"/>
          <w:szCs w:val="24"/>
        </w:rPr>
        <w:t xml:space="preserve"> (inicializado en 5): </w:t>
      </w:r>
      <w:r w:rsidRPr="00145D1A">
        <w:rPr>
          <w:rFonts w:ascii="Arial" w:hAnsi="Arial" w:cs="Arial"/>
          <w:sz w:val="24"/>
          <w:szCs w:val="24"/>
        </w:rPr>
        <w:t xml:space="preserve">cuenta los espacios libres del búfer. Un sensor debe adquirirlo antes de insertar; si llega a 0, el hilo productor se bloquea en lugar de sobrescribir datos (previene </w:t>
      </w:r>
      <w:proofErr w:type="spellStart"/>
      <w:r w:rsidRPr="00145D1A">
        <w:rPr>
          <w:rFonts w:ascii="Arial" w:hAnsi="Arial" w:cs="Arial"/>
          <w:sz w:val="24"/>
          <w:szCs w:val="24"/>
        </w:rPr>
        <w:t>overflow</w:t>
      </w:r>
      <w:proofErr w:type="spellEnd"/>
      <w:r w:rsidRPr="00145D1A">
        <w:rPr>
          <w:rFonts w:ascii="Arial" w:hAnsi="Arial" w:cs="Arial"/>
          <w:sz w:val="24"/>
          <w:szCs w:val="24"/>
        </w:rPr>
        <w:t>).</w:t>
      </w:r>
    </w:p>
    <w:p w14:paraId="47AFB74D" w14:textId="77777777" w:rsidR="003B59E2" w:rsidRPr="00145D1A" w:rsidRDefault="00000000">
      <w:pPr>
        <w:pStyle w:val="Prrafodelista"/>
        <w:numPr>
          <w:ilvl w:val="0"/>
          <w:numId w:val="2"/>
        </w:numPr>
        <w:spacing w:after="60" w:line="276" w:lineRule="auto"/>
        <w:rPr>
          <w:rFonts w:ascii="Arial" w:hAnsi="Arial" w:cs="Arial"/>
          <w:sz w:val="24"/>
          <w:szCs w:val="24"/>
        </w:rPr>
      </w:pPr>
      <w:proofErr w:type="spellStart"/>
      <w:r w:rsidRPr="00145D1A">
        <w:rPr>
          <w:rFonts w:ascii="Arial" w:hAnsi="Arial" w:cs="Arial"/>
          <w:b/>
          <w:bCs/>
          <w:sz w:val="24"/>
          <w:szCs w:val="24"/>
        </w:rPr>
        <w:t>datos_disponibles</w:t>
      </w:r>
      <w:proofErr w:type="spellEnd"/>
      <w:r w:rsidRPr="00145D1A">
        <w:rPr>
          <w:rFonts w:ascii="Arial" w:hAnsi="Arial" w:cs="Arial"/>
          <w:b/>
          <w:bCs/>
          <w:sz w:val="24"/>
          <w:szCs w:val="24"/>
        </w:rPr>
        <w:t xml:space="preserve"> (inicializado en 0): </w:t>
      </w:r>
      <w:r w:rsidRPr="00145D1A">
        <w:rPr>
          <w:rFonts w:ascii="Arial" w:hAnsi="Arial" w:cs="Arial"/>
          <w:sz w:val="24"/>
          <w:szCs w:val="24"/>
        </w:rPr>
        <w:t xml:space="preserve">cuenta los elementos listos para procesar. Un módulo de análisis debe adquirirlo antes de extraer; si llega a 0, el hilo consumidor se bloquea en lugar de leer un búfer vacío (previene </w:t>
      </w:r>
      <w:proofErr w:type="spellStart"/>
      <w:r w:rsidRPr="00145D1A">
        <w:rPr>
          <w:rFonts w:ascii="Arial" w:hAnsi="Arial" w:cs="Arial"/>
          <w:sz w:val="24"/>
          <w:szCs w:val="24"/>
        </w:rPr>
        <w:t>underflow</w:t>
      </w:r>
      <w:proofErr w:type="spellEnd"/>
      <w:r w:rsidRPr="00145D1A">
        <w:rPr>
          <w:rFonts w:ascii="Arial" w:hAnsi="Arial" w:cs="Arial"/>
          <w:sz w:val="24"/>
          <w:szCs w:val="24"/>
        </w:rPr>
        <w:t>).</w:t>
      </w:r>
    </w:p>
    <w:p w14:paraId="3B17DAD7" w14:textId="77777777" w:rsidR="003B59E2" w:rsidRPr="00145D1A" w:rsidRDefault="00000000">
      <w:pPr>
        <w:pStyle w:val="Ttulo2"/>
        <w:spacing w:before="160" w:after="80"/>
        <w:rPr>
          <w:rFonts w:ascii="Arial" w:hAnsi="Arial" w:cs="Arial"/>
          <w:sz w:val="24"/>
          <w:szCs w:val="24"/>
        </w:rPr>
      </w:pPr>
      <w:r w:rsidRPr="00145D1A">
        <w:rPr>
          <w:rFonts w:ascii="Arial" w:hAnsi="Arial" w:cs="Arial"/>
          <w:b/>
          <w:bCs/>
          <w:sz w:val="24"/>
          <w:szCs w:val="24"/>
        </w:rPr>
        <w:t>2.2 Exclusión mutua (</w:t>
      </w:r>
      <w:proofErr w:type="spellStart"/>
      <w:r w:rsidRPr="00145D1A">
        <w:rPr>
          <w:rFonts w:ascii="Arial" w:hAnsi="Arial" w:cs="Arial"/>
          <w:b/>
          <w:bCs/>
          <w:sz w:val="24"/>
          <w:szCs w:val="24"/>
        </w:rPr>
        <w:t>mutex</w:t>
      </w:r>
      <w:proofErr w:type="spellEnd"/>
      <w:r w:rsidRPr="00145D1A">
        <w:rPr>
          <w:rFonts w:ascii="Arial" w:hAnsi="Arial" w:cs="Arial"/>
          <w:b/>
          <w:bCs/>
          <w:sz w:val="24"/>
          <w:szCs w:val="24"/>
        </w:rPr>
        <w:t>)</w:t>
      </w:r>
    </w:p>
    <w:p w14:paraId="1D334A17"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Un tercer semáforo, inicializado en 1, envuelve exclusivamente la operación física sobre la lista (</w:t>
      </w:r>
      <w:proofErr w:type="spellStart"/>
      <w:r w:rsidRPr="00145D1A">
        <w:rPr>
          <w:rFonts w:ascii="Arial" w:hAnsi="Arial" w:cs="Arial"/>
          <w:sz w:val="24"/>
          <w:szCs w:val="24"/>
        </w:rPr>
        <w:t>append</w:t>
      </w:r>
      <w:proofErr w:type="spellEnd"/>
      <w:r w:rsidRPr="00145D1A">
        <w:rPr>
          <w:rFonts w:ascii="Arial" w:hAnsi="Arial" w:cs="Arial"/>
          <w:sz w:val="24"/>
          <w:szCs w:val="24"/>
        </w:rPr>
        <w:t>/pop) convirtiéndola en una sección crítica atómica. Ningún otro hilo puede insertar o extraer mientras uno la está modificando, lo que evita condiciones de carrera sobre los índices y el contenido del búfer.</w:t>
      </w:r>
    </w:p>
    <w:p w14:paraId="53AE21FB" w14:textId="77777777" w:rsidR="003B59E2" w:rsidRPr="00145D1A" w:rsidRDefault="00000000">
      <w:pPr>
        <w:pStyle w:val="Ttulo2"/>
        <w:spacing w:before="160" w:after="80"/>
        <w:rPr>
          <w:rFonts w:ascii="Arial" w:hAnsi="Arial" w:cs="Arial"/>
          <w:sz w:val="24"/>
          <w:szCs w:val="24"/>
        </w:rPr>
      </w:pPr>
      <w:r w:rsidRPr="00145D1A">
        <w:rPr>
          <w:rFonts w:ascii="Arial" w:hAnsi="Arial" w:cs="Arial"/>
          <w:b/>
          <w:bCs/>
          <w:sz w:val="24"/>
          <w:szCs w:val="24"/>
        </w:rPr>
        <w:t>2.3 Protocolo de acceso y prevención de interbloqueos</w:t>
      </w:r>
    </w:p>
    <w:p w14:paraId="5A5A7AEA"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El orden de adquisición es siempre el mismo en todos los hilos: primero el semáforo contador correspondiente (</w:t>
      </w:r>
      <w:proofErr w:type="spellStart"/>
      <w:r w:rsidRPr="00145D1A">
        <w:rPr>
          <w:rFonts w:ascii="Arial" w:hAnsi="Arial" w:cs="Arial"/>
          <w:sz w:val="24"/>
          <w:szCs w:val="24"/>
        </w:rPr>
        <w:t>espacios_vacios</w:t>
      </w:r>
      <w:proofErr w:type="spellEnd"/>
      <w:r w:rsidRPr="00145D1A">
        <w:rPr>
          <w:rFonts w:ascii="Arial" w:hAnsi="Arial" w:cs="Arial"/>
          <w:sz w:val="24"/>
          <w:szCs w:val="24"/>
        </w:rPr>
        <w:t xml:space="preserve"> o </w:t>
      </w:r>
      <w:proofErr w:type="spellStart"/>
      <w:r w:rsidRPr="00145D1A">
        <w:rPr>
          <w:rFonts w:ascii="Arial" w:hAnsi="Arial" w:cs="Arial"/>
          <w:sz w:val="24"/>
          <w:szCs w:val="24"/>
        </w:rPr>
        <w:t>datos_disponibles</w:t>
      </w:r>
      <w:proofErr w:type="spellEnd"/>
      <w:r w:rsidRPr="00145D1A">
        <w:rPr>
          <w:rFonts w:ascii="Arial" w:hAnsi="Arial" w:cs="Arial"/>
          <w:sz w:val="24"/>
          <w:szCs w:val="24"/>
        </w:rPr>
        <w:t xml:space="preserve">), después el </w:t>
      </w:r>
      <w:proofErr w:type="spellStart"/>
      <w:r w:rsidRPr="00145D1A">
        <w:rPr>
          <w:rFonts w:ascii="Arial" w:hAnsi="Arial" w:cs="Arial"/>
          <w:sz w:val="24"/>
          <w:szCs w:val="24"/>
        </w:rPr>
        <w:t>mutex</w:t>
      </w:r>
      <w:proofErr w:type="spellEnd"/>
      <w:r w:rsidRPr="00145D1A">
        <w:rPr>
          <w:rFonts w:ascii="Arial" w:hAnsi="Arial" w:cs="Arial"/>
          <w:sz w:val="24"/>
          <w:szCs w:val="24"/>
        </w:rPr>
        <w:t xml:space="preserve">; y en la liberación, primero el </w:t>
      </w:r>
      <w:proofErr w:type="spellStart"/>
      <w:r w:rsidRPr="00145D1A">
        <w:rPr>
          <w:rFonts w:ascii="Arial" w:hAnsi="Arial" w:cs="Arial"/>
          <w:sz w:val="24"/>
          <w:szCs w:val="24"/>
        </w:rPr>
        <w:t>mutex</w:t>
      </w:r>
      <w:proofErr w:type="spellEnd"/>
      <w:r w:rsidRPr="00145D1A">
        <w:rPr>
          <w:rFonts w:ascii="Arial" w:hAnsi="Arial" w:cs="Arial"/>
          <w:sz w:val="24"/>
          <w:szCs w:val="24"/>
        </w:rPr>
        <w:t xml:space="preserve">, después el semáforo contador contrario. Al no existir espera circular —ningún hilo retiene el </w:t>
      </w:r>
      <w:proofErr w:type="spellStart"/>
      <w:r w:rsidRPr="00145D1A">
        <w:rPr>
          <w:rFonts w:ascii="Arial" w:hAnsi="Arial" w:cs="Arial"/>
          <w:sz w:val="24"/>
          <w:szCs w:val="24"/>
        </w:rPr>
        <w:t>mutex</w:t>
      </w:r>
      <w:proofErr w:type="spellEnd"/>
      <w:r w:rsidRPr="00145D1A">
        <w:rPr>
          <w:rFonts w:ascii="Arial" w:hAnsi="Arial" w:cs="Arial"/>
          <w:sz w:val="24"/>
          <w:szCs w:val="24"/>
        </w:rPr>
        <w:t xml:space="preserve"> mientras espera indefinidamente otro recurso— se elimina una de las cuatro condiciones necesarias para el interbloqueo (</w:t>
      </w:r>
      <w:proofErr w:type="spellStart"/>
      <w:r w:rsidRPr="00145D1A">
        <w:rPr>
          <w:rFonts w:ascii="Arial" w:hAnsi="Arial" w:cs="Arial"/>
          <w:sz w:val="24"/>
          <w:szCs w:val="24"/>
        </w:rPr>
        <w:t>Coffman</w:t>
      </w:r>
      <w:proofErr w:type="spellEnd"/>
      <w:r w:rsidRPr="00145D1A">
        <w:rPr>
          <w:rFonts w:ascii="Arial" w:hAnsi="Arial" w:cs="Arial"/>
          <w:sz w:val="24"/>
          <w:szCs w:val="24"/>
        </w:rPr>
        <w:t xml:space="preserve"> et al.), garantizando que el sistema no pueda entrar en </w:t>
      </w:r>
      <w:proofErr w:type="spellStart"/>
      <w:r w:rsidRPr="00145D1A">
        <w:rPr>
          <w:rFonts w:ascii="Arial" w:hAnsi="Arial" w:cs="Arial"/>
          <w:sz w:val="24"/>
          <w:szCs w:val="24"/>
        </w:rPr>
        <w:t>deadlock</w:t>
      </w:r>
      <w:proofErr w:type="spellEnd"/>
      <w:r w:rsidRPr="00145D1A">
        <w:rPr>
          <w:rFonts w:ascii="Arial" w:hAnsi="Arial" w:cs="Arial"/>
          <w:sz w:val="24"/>
          <w:szCs w:val="24"/>
        </w:rPr>
        <w:t>.</w:t>
      </w:r>
    </w:p>
    <w:p w14:paraId="5C2A4FF4" w14:textId="77777777" w:rsidR="003B59E2" w:rsidRPr="00145D1A" w:rsidRDefault="00000000">
      <w:pPr>
        <w:pStyle w:val="Ttulo2"/>
        <w:spacing w:before="160" w:after="80"/>
        <w:rPr>
          <w:rFonts w:ascii="Arial" w:hAnsi="Arial" w:cs="Arial"/>
          <w:sz w:val="24"/>
          <w:szCs w:val="24"/>
        </w:rPr>
      </w:pPr>
      <w:r w:rsidRPr="00145D1A">
        <w:rPr>
          <w:rFonts w:ascii="Arial" w:hAnsi="Arial" w:cs="Arial"/>
          <w:b/>
          <w:bCs/>
          <w:sz w:val="24"/>
          <w:szCs w:val="24"/>
        </w:rPr>
        <w:t>2.4 Terminación determinista</w:t>
      </w:r>
    </w:p>
    <w:p w14:paraId="5E4A2186"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El hilo principal no asume un tiempo fijo de finalización: tras unir (</w:t>
      </w:r>
      <w:proofErr w:type="spellStart"/>
      <w:r w:rsidRPr="00145D1A">
        <w:rPr>
          <w:rFonts w:ascii="Arial" w:hAnsi="Arial" w:cs="Arial"/>
          <w:sz w:val="24"/>
          <w:szCs w:val="24"/>
        </w:rPr>
        <w:t>join</w:t>
      </w:r>
      <w:proofErr w:type="spellEnd"/>
      <w:r w:rsidRPr="00145D1A">
        <w:rPr>
          <w:rFonts w:ascii="Arial" w:hAnsi="Arial" w:cs="Arial"/>
          <w:sz w:val="24"/>
          <w:szCs w:val="24"/>
        </w:rPr>
        <w:t xml:space="preserve">) los hilos sensores, consulta de forma activa y protegida por </w:t>
      </w:r>
      <w:proofErr w:type="spellStart"/>
      <w:r w:rsidRPr="00145D1A">
        <w:rPr>
          <w:rFonts w:ascii="Arial" w:hAnsi="Arial" w:cs="Arial"/>
          <w:sz w:val="24"/>
          <w:szCs w:val="24"/>
        </w:rPr>
        <w:t>mutex</w:t>
      </w:r>
      <w:proofErr w:type="spellEnd"/>
      <w:r w:rsidRPr="00145D1A">
        <w:rPr>
          <w:rFonts w:ascii="Arial" w:hAnsi="Arial" w:cs="Arial"/>
          <w:sz w:val="24"/>
          <w:szCs w:val="24"/>
        </w:rPr>
        <w:t xml:space="preserve"> si el búfer quedó vacío, confirmándolo dos veces </w:t>
      </w:r>
      <w:r w:rsidRPr="00145D1A">
        <w:rPr>
          <w:rFonts w:ascii="Arial" w:hAnsi="Arial" w:cs="Arial"/>
          <w:sz w:val="24"/>
          <w:szCs w:val="24"/>
        </w:rPr>
        <w:lastRenderedPageBreak/>
        <w:t>con un margen de seguridad entre ambas comprobaciones. Esto evita cerrar el programa mientras un consumidor aún tiene un dato en procesamiento, un riesgo real en un sistema crítico donde no se pueden asumir tiempos de respuesta constantes.</w:t>
      </w:r>
    </w:p>
    <w:p w14:paraId="5CF5025F" w14:textId="77777777" w:rsidR="003B59E2" w:rsidRPr="00145D1A" w:rsidRDefault="00000000">
      <w:pPr>
        <w:pStyle w:val="Ttulo1"/>
        <w:spacing w:before="240" w:after="120"/>
        <w:rPr>
          <w:rFonts w:ascii="Arial" w:hAnsi="Arial" w:cs="Arial"/>
          <w:sz w:val="24"/>
          <w:szCs w:val="24"/>
        </w:rPr>
      </w:pPr>
      <w:r w:rsidRPr="00145D1A">
        <w:rPr>
          <w:rFonts w:ascii="Arial" w:hAnsi="Arial" w:cs="Arial"/>
          <w:b/>
          <w:bCs/>
          <w:color w:val="1F4E79"/>
          <w:sz w:val="24"/>
          <w:szCs w:val="24"/>
        </w:rPr>
        <w:t>3. Observaciones de la ejecución</w:t>
      </w:r>
    </w:p>
    <w:p w14:paraId="3E68D78B" w14:textId="77777777" w:rsidR="003B59E2" w:rsidRPr="00145D1A" w:rsidRDefault="00000000">
      <w:pPr>
        <w:pStyle w:val="Prrafodelista"/>
        <w:numPr>
          <w:ilvl w:val="0"/>
          <w:numId w:val="2"/>
        </w:numPr>
        <w:spacing w:after="60" w:line="276" w:lineRule="auto"/>
        <w:rPr>
          <w:rFonts w:ascii="Arial" w:hAnsi="Arial" w:cs="Arial"/>
          <w:sz w:val="24"/>
          <w:szCs w:val="24"/>
        </w:rPr>
      </w:pPr>
      <w:r w:rsidRPr="00145D1A">
        <w:rPr>
          <w:rFonts w:ascii="Arial" w:hAnsi="Arial" w:cs="Arial"/>
          <w:sz w:val="24"/>
          <w:szCs w:val="24"/>
        </w:rPr>
        <w:t>En pruebas repetidas, el búfer nunca superó su capacidad máxima (5) ni quedó en un estado negativo: los contadores de los semáforos siempre reflejaron con exactitud la ocupación real.</w:t>
      </w:r>
    </w:p>
    <w:p w14:paraId="5721D1F3" w14:textId="77777777" w:rsidR="003B59E2" w:rsidRPr="00145D1A" w:rsidRDefault="00000000">
      <w:pPr>
        <w:pStyle w:val="Prrafodelista"/>
        <w:numPr>
          <w:ilvl w:val="0"/>
          <w:numId w:val="2"/>
        </w:numPr>
        <w:spacing w:after="60" w:line="276" w:lineRule="auto"/>
        <w:rPr>
          <w:rFonts w:ascii="Arial" w:hAnsi="Arial" w:cs="Arial"/>
          <w:sz w:val="24"/>
          <w:szCs w:val="24"/>
        </w:rPr>
      </w:pPr>
      <w:r w:rsidRPr="00145D1A">
        <w:rPr>
          <w:rFonts w:ascii="Arial" w:hAnsi="Arial" w:cs="Arial"/>
          <w:sz w:val="24"/>
          <w:szCs w:val="24"/>
        </w:rPr>
        <w:t>Los hilos productores y consumidores se intercalaron de forma no determinista entre ejecuciones —confirmando concurrencia real y no una simulación secuencial— pero siempre con datos íntegros y sin duplicados ni pérdidas.</w:t>
      </w:r>
    </w:p>
    <w:p w14:paraId="47804B0B" w14:textId="77777777" w:rsidR="003B59E2" w:rsidRPr="00145D1A" w:rsidRDefault="00000000">
      <w:pPr>
        <w:pStyle w:val="Prrafodelista"/>
        <w:numPr>
          <w:ilvl w:val="0"/>
          <w:numId w:val="2"/>
        </w:numPr>
        <w:spacing w:after="60" w:line="276" w:lineRule="auto"/>
        <w:rPr>
          <w:rFonts w:ascii="Arial" w:hAnsi="Arial" w:cs="Arial"/>
          <w:sz w:val="24"/>
          <w:szCs w:val="24"/>
        </w:rPr>
      </w:pPr>
      <w:r w:rsidRPr="00145D1A">
        <w:rPr>
          <w:rFonts w:ascii="Arial" w:hAnsi="Arial" w:cs="Arial"/>
          <w:sz w:val="24"/>
          <w:szCs w:val="24"/>
        </w:rPr>
        <w:t>El proceso finalizó de forma consistente con 0 elementos restantes en el búfer, validando que el mecanismo de cierre por verificación activa es confiable.</w:t>
      </w:r>
    </w:p>
    <w:p w14:paraId="1FCBB0D3" w14:textId="77777777" w:rsidR="003B59E2" w:rsidRPr="00145D1A" w:rsidRDefault="00000000">
      <w:pPr>
        <w:pStyle w:val="Ttulo1"/>
        <w:spacing w:before="240" w:after="120"/>
        <w:rPr>
          <w:rFonts w:ascii="Arial" w:hAnsi="Arial" w:cs="Arial"/>
          <w:sz w:val="24"/>
          <w:szCs w:val="24"/>
        </w:rPr>
      </w:pPr>
      <w:r w:rsidRPr="00145D1A">
        <w:rPr>
          <w:rFonts w:ascii="Arial" w:hAnsi="Arial" w:cs="Arial"/>
          <w:b/>
          <w:bCs/>
          <w:color w:val="1F4E79"/>
          <w:sz w:val="24"/>
          <w:szCs w:val="24"/>
        </w:rPr>
        <w:t>4. Conclusiones y reflexión</w:t>
      </w:r>
    </w:p>
    <w:p w14:paraId="644B6199"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Esta solución evidencia que la concurrencia no es simplemente 'hacer varias cosas a la vez', sino coordinar el acceso a un recurso compartido para que el resultado final sea idéntico al que se obtendría con una ejecución estrictamente secuencial y correcta, pero con un mejor aprovechamiento del tiempo de CPU: mientras un sensor espera para capturar su siguiente lectura, otro módulo puede estar analizando datos previos sin que ninguno bloquee al sistema completo. Paralelismo y concurrencia no son lo mismo: aquí los hilos comparten núcleos de CPU mediante el planificador del sistema operativo (GIL de Python incluido), pero la sincronización lógica —quién puede tocar el búfer y cuándo— es independiente de si la ejecución es o no simultánea a nivel de hardware.</w:t>
      </w:r>
    </w:p>
    <w:p w14:paraId="3AEC0758" w14:textId="77777777" w:rsidR="003B59E2" w:rsidRPr="00145D1A" w:rsidRDefault="00000000">
      <w:pPr>
        <w:spacing w:after="100" w:line="276" w:lineRule="auto"/>
        <w:jc w:val="both"/>
        <w:rPr>
          <w:rFonts w:ascii="Arial" w:hAnsi="Arial" w:cs="Arial"/>
          <w:sz w:val="24"/>
          <w:szCs w:val="24"/>
        </w:rPr>
      </w:pPr>
      <w:r w:rsidRPr="00145D1A">
        <w:rPr>
          <w:rFonts w:ascii="Arial" w:hAnsi="Arial" w:cs="Arial"/>
          <w:sz w:val="24"/>
          <w:szCs w:val="24"/>
        </w:rPr>
        <w:t>El principal desafío no fue evitar que el programa fallara en una ejecución de prueba, sino garantizar que fuera correcto bajo cualquier orden posible de intercalado de instrucciones (</w:t>
      </w:r>
      <w:proofErr w:type="spellStart"/>
      <w:r w:rsidRPr="00145D1A">
        <w:rPr>
          <w:rFonts w:ascii="Arial" w:hAnsi="Arial" w:cs="Arial"/>
          <w:sz w:val="24"/>
          <w:szCs w:val="24"/>
        </w:rPr>
        <w:t>interleaving</w:t>
      </w:r>
      <w:proofErr w:type="spellEnd"/>
      <w:r w:rsidRPr="00145D1A">
        <w:rPr>
          <w:rFonts w:ascii="Arial" w:hAnsi="Arial" w:cs="Arial"/>
          <w:sz w:val="24"/>
          <w:szCs w:val="24"/>
        </w:rPr>
        <w:t xml:space="preserve">), incluyendo los casos límite: búfer lleno, búfer vacío, y el instante de apagado del sistema. En una infraestructura urbana crítica como SIGET, un error de sincronización no es un simple bug —significa datos de tráfico corruptos o perdidos que podrían derivar en decisiones erróneas de gestión vial. Por ello, la elección de semáforos sobre alternativas más simples (por ejemplo, un solo </w:t>
      </w:r>
      <w:proofErr w:type="spellStart"/>
      <w:r w:rsidRPr="00145D1A">
        <w:rPr>
          <w:rFonts w:ascii="Arial" w:hAnsi="Arial" w:cs="Arial"/>
          <w:sz w:val="24"/>
          <w:szCs w:val="24"/>
        </w:rPr>
        <w:t>lock</w:t>
      </w:r>
      <w:proofErr w:type="spellEnd"/>
      <w:r w:rsidRPr="00145D1A">
        <w:rPr>
          <w:rFonts w:ascii="Arial" w:hAnsi="Arial" w:cs="Arial"/>
          <w:sz w:val="24"/>
          <w:szCs w:val="24"/>
        </w:rPr>
        <w:t xml:space="preserve"> genérico con espera activa) se justifica en que permiten expresar directamente las dos condiciones de bloqueo relevantes del problema —búfer lleno y búfer vacío— sin necesidad de sondeo (</w:t>
      </w:r>
      <w:proofErr w:type="spellStart"/>
      <w:r w:rsidRPr="00145D1A">
        <w:rPr>
          <w:rFonts w:ascii="Arial" w:hAnsi="Arial" w:cs="Arial"/>
          <w:sz w:val="24"/>
          <w:szCs w:val="24"/>
        </w:rPr>
        <w:t>polling</w:t>
      </w:r>
      <w:proofErr w:type="spellEnd"/>
      <w:r w:rsidRPr="00145D1A">
        <w:rPr>
          <w:rFonts w:ascii="Arial" w:hAnsi="Arial" w:cs="Arial"/>
          <w:sz w:val="24"/>
          <w:szCs w:val="24"/>
        </w:rPr>
        <w:t>) ni de una lógica adicional de señalización manual, resultando en un uso más eficiente de los recursos del sistema operativo.</w:t>
      </w:r>
    </w:p>
    <w:sectPr w:rsidR="003B59E2" w:rsidRPr="00145D1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F421B"/>
    <w:multiLevelType w:val="hybridMultilevel"/>
    <w:tmpl w:val="6F80242A"/>
    <w:lvl w:ilvl="0" w:tplc="E8D49D94">
      <w:start w:val="1"/>
      <w:numFmt w:val="bullet"/>
      <w:lvlText w:val="●"/>
      <w:lvlJc w:val="left"/>
      <w:pPr>
        <w:ind w:left="720" w:hanging="360"/>
      </w:pPr>
    </w:lvl>
    <w:lvl w:ilvl="1" w:tplc="BCF21D42">
      <w:start w:val="1"/>
      <w:numFmt w:val="bullet"/>
      <w:lvlText w:val="○"/>
      <w:lvlJc w:val="left"/>
      <w:pPr>
        <w:ind w:left="1440" w:hanging="360"/>
      </w:pPr>
    </w:lvl>
    <w:lvl w:ilvl="2" w:tplc="D8A4A8B8">
      <w:start w:val="1"/>
      <w:numFmt w:val="bullet"/>
      <w:lvlText w:val="■"/>
      <w:lvlJc w:val="left"/>
      <w:pPr>
        <w:ind w:left="2160" w:hanging="360"/>
      </w:pPr>
    </w:lvl>
    <w:lvl w:ilvl="3" w:tplc="26F266C6">
      <w:start w:val="1"/>
      <w:numFmt w:val="bullet"/>
      <w:lvlText w:val="●"/>
      <w:lvlJc w:val="left"/>
      <w:pPr>
        <w:ind w:left="2880" w:hanging="360"/>
      </w:pPr>
    </w:lvl>
    <w:lvl w:ilvl="4" w:tplc="495CD010">
      <w:start w:val="1"/>
      <w:numFmt w:val="bullet"/>
      <w:lvlText w:val="○"/>
      <w:lvlJc w:val="left"/>
      <w:pPr>
        <w:ind w:left="3600" w:hanging="360"/>
      </w:pPr>
    </w:lvl>
    <w:lvl w:ilvl="5" w:tplc="A9304138">
      <w:start w:val="1"/>
      <w:numFmt w:val="bullet"/>
      <w:lvlText w:val="■"/>
      <w:lvlJc w:val="left"/>
      <w:pPr>
        <w:ind w:left="4320" w:hanging="360"/>
      </w:pPr>
    </w:lvl>
    <w:lvl w:ilvl="6" w:tplc="8FE83AB2">
      <w:start w:val="1"/>
      <w:numFmt w:val="bullet"/>
      <w:lvlText w:val="●"/>
      <w:lvlJc w:val="left"/>
      <w:pPr>
        <w:ind w:left="5040" w:hanging="360"/>
      </w:pPr>
    </w:lvl>
    <w:lvl w:ilvl="7" w:tplc="28D4C5A0">
      <w:start w:val="1"/>
      <w:numFmt w:val="bullet"/>
      <w:lvlText w:val="●"/>
      <w:lvlJc w:val="left"/>
      <w:pPr>
        <w:ind w:left="5760" w:hanging="360"/>
      </w:pPr>
    </w:lvl>
    <w:lvl w:ilvl="8" w:tplc="14602754">
      <w:start w:val="1"/>
      <w:numFmt w:val="bullet"/>
      <w:lvlText w:val="●"/>
      <w:lvlJc w:val="left"/>
      <w:pPr>
        <w:ind w:left="6480" w:hanging="360"/>
      </w:pPr>
    </w:lvl>
  </w:abstractNum>
  <w:abstractNum w:abstractNumId="1" w15:restartNumberingAfterBreak="0">
    <w:nsid w:val="1F727D14"/>
    <w:multiLevelType w:val="hybridMultilevel"/>
    <w:tmpl w:val="77C4319C"/>
    <w:lvl w:ilvl="0" w:tplc="79B6D898">
      <w:start w:val="1"/>
      <w:numFmt w:val="bullet"/>
      <w:lvlText w:val="•"/>
      <w:lvlJc w:val="left"/>
      <w:pPr>
        <w:ind w:left="360" w:hanging="260"/>
      </w:pPr>
    </w:lvl>
    <w:lvl w:ilvl="1" w:tplc="00C0172E">
      <w:numFmt w:val="decimal"/>
      <w:lvlText w:val=""/>
      <w:lvlJc w:val="left"/>
    </w:lvl>
    <w:lvl w:ilvl="2" w:tplc="C52E0F38">
      <w:numFmt w:val="decimal"/>
      <w:lvlText w:val=""/>
      <w:lvlJc w:val="left"/>
    </w:lvl>
    <w:lvl w:ilvl="3" w:tplc="40F41C3E">
      <w:numFmt w:val="decimal"/>
      <w:lvlText w:val=""/>
      <w:lvlJc w:val="left"/>
    </w:lvl>
    <w:lvl w:ilvl="4" w:tplc="D4488CEE">
      <w:numFmt w:val="decimal"/>
      <w:lvlText w:val=""/>
      <w:lvlJc w:val="left"/>
    </w:lvl>
    <w:lvl w:ilvl="5" w:tplc="0A22F4BA">
      <w:numFmt w:val="decimal"/>
      <w:lvlText w:val=""/>
      <w:lvlJc w:val="left"/>
    </w:lvl>
    <w:lvl w:ilvl="6" w:tplc="2B8857A6">
      <w:numFmt w:val="decimal"/>
      <w:lvlText w:val=""/>
      <w:lvlJc w:val="left"/>
    </w:lvl>
    <w:lvl w:ilvl="7" w:tplc="17FC8538">
      <w:numFmt w:val="decimal"/>
      <w:lvlText w:val=""/>
      <w:lvlJc w:val="left"/>
    </w:lvl>
    <w:lvl w:ilvl="8" w:tplc="2ADEDD36">
      <w:numFmt w:val="decimal"/>
      <w:lvlText w:val=""/>
      <w:lvlJc w:val="left"/>
    </w:lvl>
  </w:abstractNum>
  <w:num w:numId="1" w16cid:durableId="1890653543">
    <w:abstractNumId w:val="0"/>
    <w:lvlOverride w:ilvl="0">
      <w:startOverride w:val="1"/>
    </w:lvlOverride>
  </w:num>
  <w:num w:numId="2" w16cid:durableId="303431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9E2"/>
    <w:rsid w:val="00145D1A"/>
    <w:rsid w:val="003B59E2"/>
    <w:rsid w:val="00FE1E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E99F"/>
  <w15:docId w15:val="{54C1EEAF-6D9C-4632-9DBF-ED9890A5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828</Words>
  <Characters>4559</Characters>
  <Application>Microsoft Office Word</Application>
  <DocSecurity>0</DocSecurity>
  <Lines>37</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ordoñez</cp:lastModifiedBy>
  <cp:revision>2</cp:revision>
  <dcterms:created xsi:type="dcterms:W3CDTF">2026-09-11T17:34:00Z</dcterms:created>
  <dcterms:modified xsi:type="dcterms:W3CDTF">2026-09-11T17:39:00Z</dcterms:modified>
</cp:coreProperties>
</file>