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01B7" w14:textId="6A9C9720" w:rsidR="008D4C42" w:rsidRDefault="008D4C42" w:rsidP="008D4C42">
      <w:pPr>
        <w:jc w:val="center"/>
        <w:rPr>
          <w:rFonts w:ascii="Libre Franklin" w:hAnsi="Libre Franklin"/>
          <w:b/>
          <w:bCs/>
        </w:rPr>
      </w:pPr>
      <w:r w:rsidRPr="008D4C42">
        <w:rPr>
          <w:rFonts w:ascii="Libre Franklin" w:hAnsi="Libre Franklin"/>
          <w:b/>
          <w:bCs/>
        </w:rPr>
        <w:t>Coeficientes de Sacrificio</w:t>
      </w:r>
    </w:p>
    <w:p w14:paraId="0ABAACA7" w14:textId="76169361" w:rsidR="008D4C42" w:rsidRDefault="008D4C42" w:rsidP="008D4C42">
      <w:pPr>
        <w:jc w:val="both"/>
        <w:rPr>
          <w:rFonts w:ascii="Libre Franklin" w:hAnsi="Libre Franklin"/>
        </w:rPr>
      </w:pPr>
      <w:r>
        <w:rPr>
          <w:rFonts w:ascii="Libre Franklin" w:hAnsi="Libre Franklin"/>
        </w:rPr>
        <w:t>A continuación, se muestran los coeficientes de sacrificio de tres tipos distintos de especificaciones. Dicho coeficiente es estimado mediante un modelo SVAR identificado por restricciones de largo plazo mediante el esquema propuesto por Blanchard y Qua y utilizado en la bibliografía consultada al respecto.</w:t>
      </w:r>
    </w:p>
    <w:p w14:paraId="6B537A6C" w14:textId="3809BBF9" w:rsidR="008D4C42" w:rsidRDefault="008D4C42" w:rsidP="008D4C42">
      <w:pPr>
        <w:jc w:val="both"/>
        <w:rPr>
          <w:rFonts w:ascii="Libre Franklin" w:hAnsi="Libre Franklin"/>
        </w:rPr>
      </w:pPr>
      <w:r>
        <w:rPr>
          <w:rFonts w:ascii="Libre Franklin" w:hAnsi="Libre Franklin"/>
        </w:rPr>
        <w:t>La razón de proponer este esquema de identificación consiste en imponer que los choques de demanda (choque inflacionario) no tienen efectos de largo plazo sobre la oferta (producto), de tal manera que es posible que la inflación experimente un cambio permanente en su nivel de largo plazo</w:t>
      </w:r>
      <w:r w:rsidR="00403AA0">
        <w:rPr>
          <w:rFonts w:ascii="Libre Franklin" w:hAnsi="Libre Franklin"/>
        </w:rPr>
        <w:t xml:space="preserve"> (</w:t>
      </w:r>
      <w:proofErr w:type="spellStart"/>
      <w:r w:rsidR="00403AA0">
        <w:rPr>
          <w:rFonts w:ascii="Libre Franklin" w:hAnsi="Libre Franklin"/>
        </w:rPr>
        <w:t>Cecchetti</w:t>
      </w:r>
      <w:proofErr w:type="spellEnd"/>
      <w:r w:rsidR="00403AA0">
        <w:rPr>
          <w:rFonts w:ascii="Libre Franklin" w:hAnsi="Libre Franklin"/>
        </w:rPr>
        <w:t xml:space="preserve"> y Robert 2001) y (</w:t>
      </w:r>
      <w:proofErr w:type="spellStart"/>
      <w:r w:rsidR="00403AA0">
        <w:rPr>
          <w:rFonts w:ascii="Libre Franklin" w:hAnsi="Libre Franklin"/>
        </w:rPr>
        <w:t>Belke</w:t>
      </w:r>
      <w:proofErr w:type="spellEnd"/>
      <w:r w:rsidR="00403AA0">
        <w:rPr>
          <w:rFonts w:ascii="Libre Franklin" w:hAnsi="Libre Franklin"/>
        </w:rPr>
        <w:t xml:space="preserve">, </w:t>
      </w:r>
      <w:proofErr w:type="spellStart"/>
      <w:r w:rsidR="00403AA0">
        <w:rPr>
          <w:rFonts w:ascii="Libre Franklin" w:hAnsi="Libre Franklin"/>
        </w:rPr>
        <w:t>Ansgar</w:t>
      </w:r>
      <w:proofErr w:type="spellEnd"/>
      <w:r w:rsidR="00403AA0">
        <w:rPr>
          <w:rFonts w:ascii="Libre Franklin" w:hAnsi="Libre Franklin"/>
        </w:rPr>
        <w:t xml:space="preserve"> </w:t>
      </w:r>
      <w:proofErr w:type="spellStart"/>
      <w:r w:rsidR="00403AA0">
        <w:rPr>
          <w:rFonts w:ascii="Libre Franklin" w:hAnsi="Libre Franklin"/>
        </w:rPr>
        <w:t>Böing</w:t>
      </w:r>
      <w:proofErr w:type="spellEnd"/>
      <w:r w:rsidR="00403AA0">
        <w:rPr>
          <w:rFonts w:ascii="Libre Franklin" w:hAnsi="Libre Franklin"/>
        </w:rPr>
        <w:t xml:space="preserve"> y </w:t>
      </w:r>
      <w:proofErr w:type="spellStart"/>
      <w:r w:rsidR="00403AA0">
        <w:rPr>
          <w:rFonts w:ascii="Libre Franklin" w:hAnsi="Libre Franklin"/>
        </w:rPr>
        <w:t>Tobias</w:t>
      </w:r>
      <w:proofErr w:type="spellEnd"/>
      <w:r w:rsidR="00403AA0">
        <w:rPr>
          <w:rFonts w:ascii="Libre Franklin" w:hAnsi="Libre Franklin"/>
        </w:rPr>
        <w:t xml:space="preserve"> 2007)</w:t>
      </w:r>
      <w:r>
        <w:rPr>
          <w:rFonts w:ascii="Libre Franklin" w:hAnsi="Libre Franklin"/>
        </w:rPr>
        <w:t>.</w:t>
      </w:r>
    </w:p>
    <w:p w14:paraId="78802D16" w14:textId="0561EB93" w:rsidR="00403AA0" w:rsidRDefault="00403AA0" w:rsidP="008D4C42">
      <w:pPr>
        <w:jc w:val="both"/>
        <w:rPr>
          <w:rFonts w:ascii="Libre Franklin" w:eastAsiaTheme="minorEastAsia" w:hAnsi="Libre Franklin"/>
        </w:rPr>
      </w:pPr>
      <w:r>
        <w:rPr>
          <w:rFonts w:ascii="Libre Franklin" w:hAnsi="Libre Franklin"/>
        </w:rPr>
        <w:t xml:space="preserve">El modelo está compuesto por tres variables que son brecha del producto </w:t>
      </w:r>
      <m:oMath>
        <m:r>
          <w:rPr>
            <w:rFonts w:ascii="Cambria Math" w:hAnsi="Cambria Math"/>
          </w:rPr>
          <m:t>GDP_gap</m:t>
        </m:r>
      </m:oMath>
      <w:r>
        <w:rPr>
          <w:rFonts w:ascii="Libre Franklin" w:eastAsiaTheme="minorEastAsia" w:hAnsi="Libre Franklin"/>
        </w:rPr>
        <w:t xml:space="preserve">, inflación </w:t>
      </w:r>
      <m:oMath>
        <m:r>
          <w:rPr>
            <w:rFonts w:ascii="Cambria Math" w:hAnsi="Cambria Math"/>
          </w:rPr>
          <m:t>π</m:t>
        </m:r>
      </m:oMath>
      <w:r>
        <w:rPr>
          <w:rFonts w:ascii="Libre Franklin" w:eastAsiaTheme="minorEastAsia" w:hAnsi="Libre Franklin"/>
        </w:rPr>
        <w:t xml:space="preserve"> y tasa de interés real </w:t>
      </w:r>
      <m:oMath>
        <m:r>
          <w:rPr>
            <w:rFonts w:ascii="Cambria Math" w:hAnsi="Cambria Math"/>
          </w:rPr>
          <m:t>r</m:t>
        </m:r>
      </m:oMath>
      <w:r>
        <w:rPr>
          <w:rFonts w:ascii="Libre Franklin" w:eastAsiaTheme="minorEastAsia" w:hAnsi="Libre Franklin"/>
        </w:rPr>
        <w:t xml:space="preserve">. Cada una de las especificaciones se construye a partir de cambiar la definición de inflación utilizada. </w:t>
      </w:r>
    </w:p>
    <w:p w14:paraId="7907B00D" w14:textId="2E53C9C5" w:rsidR="00403AA0" w:rsidRDefault="00403AA0" w:rsidP="008D4C42">
      <w:pPr>
        <w:jc w:val="both"/>
        <w:rPr>
          <w:rFonts w:ascii="Libre Franklin" w:eastAsiaTheme="minorEastAsia" w:hAnsi="Libre Franklin"/>
        </w:rPr>
      </w:pPr>
      <w:r>
        <w:rPr>
          <w:rFonts w:ascii="Libre Franklin" w:eastAsiaTheme="minorEastAsia" w:hAnsi="Libre Franklin"/>
        </w:rPr>
        <w:t>Las definiciones de inflación fueron:</w:t>
      </w:r>
    </w:p>
    <w:p w14:paraId="73DE5B9C" w14:textId="3E49C20C" w:rsidR="00403AA0" w:rsidRDefault="00403AA0" w:rsidP="00403AA0">
      <w:pPr>
        <w:pStyle w:val="Prrafodelista"/>
        <w:numPr>
          <w:ilvl w:val="0"/>
          <w:numId w:val="1"/>
        </w:numPr>
        <w:jc w:val="both"/>
        <w:rPr>
          <w:rFonts w:ascii="Libre Franklin" w:hAnsi="Libre Franklin"/>
        </w:rPr>
      </w:pPr>
      <w:r>
        <w:rPr>
          <w:rFonts w:ascii="Libre Franklin" w:hAnsi="Libre Franklin"/>
        </w:rPr>
        <w:t>Inflación total</w:t>
      </w:r>
    </w:p>
    <w:p w14:paraId="37D1C352" w14:textId="69B6F528" w:rsidR="00403AA0" w:rsidRDefault="00403AA0" w:rsidP="00403AA0">
      <w:pPr>
        <w:pStyle w:val="Prrafodelista"/>
        <w:numPr>
          <w:ilvl w:val="0"/>
          <w:numId w:val="1"/>
        </w:numPr>
        <w:jc w:val="both"/>
        <w:rPr>
          <w:rFonts w:ascii="Libre Franklin" w:hAnsi="Libre Franklin"/>
        </w:rPr>
      </w:pPr>
      <w:r>
        <w:rPr>
          <w:rFonts w:ascii="Libre Franklin" w:hAnsi="Libre Franklin"/>
        </w:rPr>
        <w:t>Inflación media ponderada</w:t>
      </w:r>
    </w:p>
    <w:p w14:paraId="1CDE13ED" w14:textId="3CAD4FDB" w:rsidR="00403AA0" w:rsidRDefault="00403AA0" w:rsidP="00403AA0">
      <w:pPr>
        <w:pStyle w:val="Prrafodelista"/>
        <w:numPr>
          <w:ilvl w:val="0"/>
          <w:numId w:val="1"/>
        </w:numPr>
        <w:jc w:val="both"/>
        <w:rPr>
          <w:rFonts w:ascii="Libre Franklin" w:hAnsi="Libre Franklin"/>
        </w:rPr>
      </w:pPr>
      <w:r>
        <w:rPr>
          <w:rFonts w:ascii="Libre Franklin" w:hAnsi="Libre Franklin"/>
        </w:rPr>
        <w:t>Inflación subyacente óptima MSE</w:t>
      </w:r>
    </w:p>
    <w:p w14:paraId="4844FA34" w14:textId="342209D8" w:rsidR="00403AA0" w:rsidRPr="00403AA0" w:rsidRDefault="00403AA0" w:rsidP="00403AA0">
      <w:pPr>
        <w:jc w:val="both"/>
        <w:rPr>
          <w:rFonts w:ascii="Libre Franklin" w:hAnsi="Libre Franklin"/>
        </w:rPr>
      </w:pPr>
      <w:r>
        <w:rPr>
          <w:rFonts w:ascii="Libre Franklin" w:hAnsi="Libre Franklin"/>
        </w:rPr>
        <w:t>Además de lo anterior con el propósito de observar la dinámica de la estimación del coeficiente de sacrificio, para cada especificación, se presentan los resultados para modelos VAR de orden del 1 al 4</w:t>
      </w:r>
      <w:r>
        <w:rPr>
          <w:rStyle w:val="Refdenotaalpie"/>
          <w:rFonts w:ascii="Libre Franklin" w:hAnsi="Libre Franklin"/>
        </w:rPr>
        <w:footnoteReference w:id="1"/>
      </w:r>
      <w:r>
        <w:rPr>
          <w:rFonts w:ascii="Libre Franklin" w:hAnsi="Libre Franklin"/>
        </w:rPr>
        <w:t>.</w:t>
      </w:r>
    </w:p>
    <w:p w14:paraId="57BB570B" w14:textId="3A74B10F" w:rsidR="008D4C42" w:rsidRDefault="00EC7E33" w:rsidP="008D4C42">
      <w:pPr>
        <w:jc w:val="both"/>
        <w:rPr>
          <w:rFonts w:ascii="Libre Franklin" w:hAnsi="Libre Franklin"/>
          <w:b/>
          <w:bCs/>
        </w:rPr>
      </w:pPr>
      <w:r>
        <w:rPr>
          <w:rFonts w:ascii="Libre Franklin" w:hAnsi="Libre Franklin"/>
          <w:b/>
          <w:bCs/>
        </w:rPr>
        <w:t>Coeficiente de sacrifico</w:t>
      </w:r>
    </w:p>
    <w:p w14:paraId="5BA60558" w14:textId="4EF62E29" w:rsidR="00EC7E33" w:rsidRDefault="00EC7E33" w:rsidP="008D4C42">
      <w:pPr>
        <w:jc w:val="both"/>
        <w:rPr>
          <w:rFonts w:ascii="Libre Franklin" w:hAnsi="Libre Franklin"/>
        </w:rPr>
      </w:pPr>
      <w:r>
        <w:rPr>
          <w:rFonts w:ascii="Libre Franklin" w:hAnsi="Libre Franklin"/>
        </w:rPr>
        <w:t>El coeficiente de sacrificio se define como la perdida acumulada en el producto cuando la tasa de inflación cae en un uno porciento</w:t>
      </w:r>
      <w:r>
        <w:rPr>
          <w:rStyle w:val="Refdenotaalpie"/>
          <w:rFonts w:ascii="Libre Franklin" w:hAnsi="Libre Franklin"/>
        </w:rPr>
        <w:footnoteReference w:id="2"/>
      </w:r>
      <w:r>
        <w:rPr>
          <w:rFonts w:ascii="Libre Franklin" w:hAnsi="Libre Franklin"/>
        </w:rPr>
        <w:t xml:space="preserve"> . Un coeficiente de sacrificio alto indica altos costos asociados con ajustes estructurales orientados a modificar el nivel de precios.</w:t>
      </w:r>
    </w:p>
    <w:p w14:paraId="553CB3DF" w14:textId="2E22BBF3" w:rsidR="00EC7E33" w:rsidRDefault="00EC7E33" w:rsidP="008D4C42">
      <w:pPr>
        <w:jc w:val="both"/>
        <w:rPr>
          <w:rFonts w:ascii="Libre Franklin" w:hAnsi="Libre Franklin"/>
        </w:rPr>
      </w:pPr>
      <w:r>
        <w:rPr>
          <w:rFonts w:ascii="Libre Franklin" w:hAnsi="Libre Franklin"/>
        </w:rPr>
        <w:t>Dicho coeficiente se estima mediante las funciones impulso respuesta del producto e inflación ante un choque inflacionario de la siguiente manera:</w:t>
      </w:r>
    </w:p>
    <w:p w14:paraId="05CB380D" w14:textId="18D4830C" w:rsidR="00EC7E33" w:rsidRDefault="004B5DDC" w:rsidP="008D4C42">
      <w:pPr>
        <w:jc w:val="both"/>
        <w:rPr>
          <w:rFonts w:ascii="Libre Franklin" w:hAnsi="Libre Franklin"/>
        </w:rPr>
      </w:pPr>
      <m:oMathPara>
        <m:oMath>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ϵ</m:t>
                  </m:r>
                </m:e>
                <m:sup>
                  <m:r>
                    <w:rPr>
                      <w:rFonts w:ascii="Cambria Math" w:hAnsi="Cambria Math"/>
                    </w:rPr>
                    <m:t>π</m:t>
                  </m:r>
                </m:sup>
              </m:sSup>
            </m:sub>
          </m:sSub>
          <m:d>
            <m:dPr>
              <m:ctrlPr>
                <w:rPr>
                  <w:rFonts w:ascii="Cambria Math" w:hAnsi="Cambria Math"/>
                  <w:i/>
                </w:rPr>
              </m:ctrlPr>
            </m:dPr>
            <m:e>
              <m:r>
                <w:rPr>
                  <w:rFonts w:ascii="Cambria Math" w:hAnsi="Cambria Math"/>
                </w:rPr>
                <m:t>τ</m:t>
              </m:r>
            </m:e>
          </m:d>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τ</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i</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12</m:t>
                              </m:r>
                            </m:sub>
                            <m:sup>
                              <m:r>
                                <w:rPr>
                                  <w:rFonts w:ascii="Cambria Math" w:eastAsiaTheme="minorEastAsia" w:hAnsi="Cambria Math"/>
                                </w:rPr>
                                <m:t>i</m:t>
                              </m:r>
                            </m:sup>
                          </m:sSubSup>
                        </m:e>
                      </m:nary>
                    </m:e>
                  </m:nary>
                </m:e>
              </m:d>
            </m:num>
            <m:den>
              <m:nary>
                <m:naryPr>
                  <m:chr m:val="∑"/>
                  <m:limLoc m:val="subSup"/>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τ</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22</m:t>
                      </m:r>
                    </m:sub>
                    <m:sup>
                      <m:r>
                        <w:rPr>
                          <w:rFonts w:ascii="Cambria Math" w:eastAsiaTheme="minorEastAsia" w:hAnsi="Cambria Math"/>
                        </w:rPr>
                        <m:t>i</m:t>
                      </m:r>
                    </m:sup>
                  </m:sSubSup>
                </m:e>
              </m:nary>
            </m:den>
          </m:f>
          <m:r>
            <w:rPr>
              <w:rStyle w:val="Refdenotaalpie"/>
              <w:rFonts w:ascii="Cambria Math" w:eastAsiaTheme="minorEastAsia" w:hAnsi="Cambria Math"/>
              <w:i/>
            </w:rPr>
            <w:footnoteReference w:id="3"/>
          </m:r>
        </m:oMath>
      </m:oMathPara>
    </w:p>
    <w:p w14:paraId="42C2FC99" w14:textId="6DDBA525" w:rsidR="004B5DDC" w:rsidRDefault="004B5DDC" w:rsidP="008D4C42">
      <w:pPr>
        <w:jc w:val="both"/>
        <w:rPr>
          <w:rFonts w:ascii="Libre Franklin" w:hAnsi="Libre Franklin"/>
        </w:rPr>
      </w:pPr>
      <w:r>
        <w:rPr>
          <w:rFonts w:ascii="Libre Franklin" w:hAnsi="Libre Franklin"/>
        </w:rPr>
        <w:lastRenderedPageBreak/>
        <w:t>Lo que implica que en el numerador se tiene la respuesta acumulada del producto y en el denominar la respuesta de inflación. Esta definición se aplicó a cada una de las estimaciones realizadas.</w:t>
      </w:r>
    </w:p>
    <w:p w14:paraId="341A9686" w14:textId="0C840514" w:rsidR="004B5DDC" w:rsidRDefault="004B5DDC" w:rsidP="008D4C42">
      <w:pPr>
        <w:jc w:val="both"/>
        <w:rPr>
          <w:rFonts w:ascii="Libre Franklin" w:hAnsi="Libre Franklin"/>
          <w:b/>
          <w:bCs/>
        </w:rPr>
      </w:pPr>
      <w:r w:rsidRPr="004B5DDC">
        <w:rPr>
          <w:rFonts w:ascii="Libre Franklin" w:hAnsi="Libre Franklin"/>
          <w:b/>
          <w:bCs/>
        </w:rPr>
        <w:t>Simulación de Monte Carlo</w:t>
      </w:r>
    </w:p>
    <w:p w14:paraId="4A9C21F4" w14:textId="327D8A75" w:rsidR="004B5DDC" w:rsidRDefault="004B5DDC" w:rsidP="008D4C42">
      <w:pPr>
        <w:jc w:val="both"/>
        <w:rPr>
          <w:rFonts w:ascii="Libre Franklin" w:eastAsiaTheme="minorEastAsia" w:hAnsi="Libre Franklin"/>
        </w:rPr>
      </w:pPr>
      <w:proofErr w:type="spellStart"/>
      <w:r>
        <w:rPr>
          <w:rFonts w:ascii="Libre Franklin" w:hAnsi="Libre Franklin"/>
        </w:rPr>
        <w:t>Cecchetti</w:t>
      </w:r>
      <w:proofErr w:type="spellEnd"/>
      <w:r>
        <w:rPr>
          <w:rFonts w:ascii="Libre Franklin" w:hAnsi="Libre Franklin"/>
        </w:rPr>
        <w:t xml:space="preserve"> y Robert </w:t>
      </w:r>
      <w:r>
        <w:rPr>
          <w:rFonts w:ascii="Libre Franklin" w:hAnsi="Libre Franklin"/>
        </w:rPr>
        <w:t>(</w:t>
      </w:r>
      <w:r>
        <w:rPr>
          <w:rFonts w:ascii="Libre Franklin" w:hAnsi="Libre Franklin"/>
        </w:rPr>
        <w:t>2001</w:t>
      </w:r>
      <w:r>
        <w:rPr>
          <w:rFonts w:ascii="Libre Franklin" w:hAnsi="Libre Franklin"/>
        </w:rPr>
        <w:t xml:space="preserve">) proponen una simulación de Monte Carlo con el propósito de evaluar la fiabilidad de las estimaciones de la tasa de sacrificio. </w:t>
      </w:r>
      <w:r w:rsidR="00D616A3">
        <w:rPr>
          <w:rFonts w:ascii="Libre Franklin" w:hAnsi="Libre Franklin"/>
        </w:rPr>
        <w:t xml:space="preserve">Sea </w:t>
      </w:r>
      <m:oMath>
        <m:acc>
          <m:accPr>
            <m:ctrlPr>
              <w:rPr>
                <w:rFonts w:ascii="Cambria Math" w:hAnsi="Cambria Math"/>
                <w:i/>
              </w:rPr>
            </m:ctrlPr>
          </m:accPr>
          <m:e>
            <m:r>
              <w:rPr>
                <w:rFonts w:ascii="Cambria Math" w:hAnsi="Cambria Math"/>
              </w:rPr>
              <m:t>θ</m:t>
            </m:r>
          </m:e>
        </m:acc>
      </m:oMath>
      <w:r w:rsidR="00D616A3">
        <w:rPr>
          <w:rFonts w:ascii="Libre Franklin" w:eastAsiaTheme="minorEastAsia" w:hAnsi="Libre Franklin"/>
        </w:rPr>
        <w:t xml:space="preserve"> y </w:t>
      </w:r>
      <m:oMath>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1</m:t>
                    </m:r>
                  </m:sub>
                </m:sSub>
              </m:e>
            </m:acc>
            <m:r>
              <w:rPr>
                <w:rFonts w:ascii="Cambria Math" w:eastAsiaTheme="minorEastAsia" w:hAnsi="Cambria Math"/>
              </w:rPr>
              <m:t xml:space="preserve"> ,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2</m:t>
                    </m:r>
                  </m:sub>
                </m:sSub>
              </m:e>
            </m:acc>
            <m:r>
              <w:rPr>
                <w:rFonts w:ascii="Cambria Math" w:eastAsiaTheme="minorEastAsia" w:hAnsi="Cambria Math"/>
              </w:rPr>
              <m:t>,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T</m:t>
                    </m:r>
                  </m:sub>
                </m:sSub>
              </m:e>
            </m:acc>
          </m:e>
        </m:d>
      </m:oMath>
      <w:r w:rsidR="00D616A3">
        <w:rPr>
          <w:rFonts w:ascii="Libre Franklin" w:eastAsiaTheme="minorEastAsia" w:hAnsi="Libre Franklin"/>
        </w:rPr>
        <w:t xml:space="preserve"> Los parámetros estimados del modelo VAR en forma reducida y sus errores respectivamente, un nuevo modelo VAR en forma reducida puede estimar utilizando datos simulados de tal manera que esta nueva estimación se puede estimar un nuevo coeficiente de sacrificio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d>
          <m:dPr>
            <m:ctrlPr>
              <w:rPr>
                <w:rFonts w:ascii="Cambria Math" w:eastAsiaTheme="minorEastAsia" w:hAnsi="Cambria Math"/>
                <w:i/>
              </w:rPr>
            </m:ctrlPr>
          </m:dPr>
          <m:e>
            <m:acc>
              <m:accPr>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1</m:t>
                    </m:r>
                  </m:sub>
                  <m:sup>
                    <m:r>
                      <w:rPr>
                        <w:rFonts w:ascii="Cambria Math" w:eastAsiaTheme="minorEastAsia" w:hAnsi="Cambria Math"/>
                      </w:rPr>
                      <m:t>*</m:t>
                    </m:r>
                  </m:sup>
                </m:sSubSup>
              </m:e>
            </m:acc>
          </m:e>
        </m:d>
      </m:oMath>
      <w:r w:rsidR="00D616A3">
        <w:rPr>
          <w:rFonts w:ascii="Libre Franklin" w:eastAsiaTheme="minorEastAsia" w:hAnsi="Libre Franklin"/>
        </w:rPr>
        <w:t>. El proceso se continua de manera iterativa N número de simulaciones de tal forma que se tengan N número de coeficientes de sacrificio.</w:t>
      </w:r>
    </w:p>
    <w:p w14:paraId="3DC49C70" w14:textId="010B9B88" w:rsidR="00D616A3" w:rsidRDefault="00D616A3" w:rsidP="008D4C42">
      <w:pPr>
        <w:jc w:val="both"/>
        <w:rPr>
          <w:rFonts w:ascii="Libre Franklin" w:eastAsiaTheme="minorEastAsia" w:hAnsi="Libre Franklin"/>
        </w:rPr>
      </w:pPr>
      <w:r>
        <w:rPr>
          <w:rFonts w:ascii="Libre Franklin" w:eastAsiaTheme="minorEastAsia" w:hAnsi="Libre Franklin"/>
        </w:rPr>
        <w:t>El algoritmo para construir los datos simulados es bastante simple. Consiste en generar de forma aleatoria una realización de</w:t>
      </w:r>
      <w:r w:rsidR="0087372E">
        <w:rPr>
          <w:rFonts w:ascii="Libre Franklin" w:eastAsiaTheme="minorEastAsia" w:hAnsi="Libre Franklin"/>
        </w:rPr>
        <w:t xml:space="preserve"> los</w:t>
      </w:r>
      <w:r>
        <w:rPr>
          <w:rFonts w:ascii="Libre Franklin" w:eastAsiaTheme="minorEastAsia" w:hAnsi="Libre Franklin"/>
        </w:rPr>
        <w:t xml:space="preserve"> errores </w:t>
      </w:r>
      <w:r w:rsidR="0087372E">
        <w:rPr>
          <w:rFonts w:ascii="Libre Franklin" w:eastAsiaTheme="minorEastAsia" w:hAnsi="Libre Franklin"/>
        </w:rPr>
        <w:t>del VAR en forma reducida y sumarla a las estimaciones del VAR estimado con los datos observados. Este proceso se repite N veces.</w:t>
      </w:r>
    </w:p>
    <w:p w14:paraId="6777699E" w14:textId="205A9F6A" w:rsidR="0087372E" w:rsidRDefault="0087372E" w:rsidP="008D4C42">
      <w:pPr>
        <w:jc w:val="both"/>
        <w:rPr>
          <w:rFonts w:ascii="Libre Franklin" w:eastAsiaTheme="minorEastAsia" w:hAnsi="Libre Franklin"/>
          <w:b/>
          <w:bCs/>
        </w:rPr>
      </w:pPr>
      <w:r w:rsidRPr="0087372E">
        <w:rPr>
          <w:rFonts w:ascii="Libre Franklin" w:eastAsiaTheme="minorEastAsia" w:hAnsi="Libre Franklin"/>
          <w:b/>
          <w:bCs/>
        </w:rPr>
        <w:t>Resultados</w:t>
      </w:r>
    </w:p>
    <w:p w14:paraId="21CC7244" w14:textId="47289C0F" w:rsidR="0087372E" w:rsidRDefault="00205FEC" w:rsidP="008D4C42">
      <w:pPr>
        <w:jc w:val="both"/>
        <w:rPr>
          <w:rFonts w:ascii="Libre Franklin" w:eastAsiaTheme="minorEastAsia" w:hAnsi="Libre Franklin"/>
        </w:rPr>
      </w:pPr>
      <w:r>
        <w:rPr>
          <w:rFonts w:ascii="Libre Franklin" w:eastAsiaTheme="minorEastAsia" w:hAnsi="Libre Franklin"/>
        </w:rPr>
        <w:t>Dado que el modelo propuesto utiliza la brecha del producto, se interpreta dicho coeficiente como la perdida acumulada del producto en relación con su PIB potencial. Los resultados para un periodo de 5 años se muestran en la tabla 1 mientras que en la tabla 2 se muestran los resultados de la simulación para un VAR de orden 4.</w:t>
      </w:r>
    </w:p>
    <w:p w14:paraId="50A114B2" w14:textId="1BDDA083" w:rsidR="0087372E" w:rsidRPr="00BC3FE6" w:rsidRDefault="0087372E" w:rsidP="00205FEC">
      <w:pPr>
        <w:jc w:val="center"/>
        <w:rPr>
          <w:rFonts w:ascii="Libre Franklin" w:hAnsi="Libre Franklin"/>
          <w:b/>
          <w:bCs/>
        </w:rPr>
      </w:pPr>
      <w:r w:rsidRPr="00BC3FE6">
        <w:rPr>
          <w:rFonts w:ascii="Libre Franklin" w:hAnsi="Libre Franklin"/>
          <w:b/>
          <w:bCs/>
        </w:rPr>
        <w:t>Tabla 1</w:t>
      </w:r>
    </w:p>
    <w:tbl>
      <w:tblPr>
        <w:tblW w:w="6237" w:type="dxa"/>
        <w:jc w:val="center"/>
        <w:tblCellMar>
          <w:left w:w="70" w:type="dxa"/>
          <w:right w:w="70" w:type="dxa"/>
        </w:tblCellMar>
        <w:tblLook w:val="04A0" w:firstRow="1" w:lastRow="0" w:firstColumn="1" w:lastColumn="0" w:noHBand="0" w:noVBand="1"/>
      </w:tblPr>
      <w:tblGrid>
        <w:gridCol w:w="1200"/>
        <w:gridCol w:w="1777"/>
        <w:gridCol w:w="1843"/>
        <w:gridCol w:w="1417"/>
      </w:tblGrid>
      <w:tr w:rsidR="0087372E" w:rsidRPr="0087372E" w14:paraId="156CD0D6" w14:textId="77777777" w:rsidTr="0087372E">
        <w:trPr>
          <w:trHeight w:val="290"/>
          <w:jc w:val="center"/>
        </w:trPr>
        <w:tc>
          <w:tcPr>
            <w:tcW w:w="1200" w:type="dxa"/>
            <w:tcBorders>
              <w:top w:val="nil"/>
              <w:left w:val="nil"/>
              <w:bottom w:val="nil"/>
              <w:right w:val="nil"/>
            </w:tcBorders>
            <w:noWrap/>
            <w:vAlign w:val="bottom"/>
            <w:hideMark/>
          </w:tcPr>
          <w:p w14:paraId="2D374C20" w14:textId="77777777" w:rsidR="0087372E" w:rsidRPr="0087372E" w:rsidRDefault="0087372E" w:rsidP="0087372E">
            <w:pPr>
              <w:spacing w:after="0" w:line="240" w:lineRule="auto"/>
              <w:rPr>
                <w:rFonts w:ascii="Libre Franklin" w:eastAsia="Times New Roman" w:hAnsi="Libre Franklin" w:cs="Times New Roman"/>
                <w:kern w:val="0"/>
                <w:lang w:eastAsia="es-MX"/>
                <w14:ligatures w14:val="none"/>
              </w:rPr>
            </w:pPr>
          </w:p>
        </w:tc>
        <w:tc>
          <w:tcPr>
            <w:tcW w:w="5037" w:type="dxa"/>
            <w:gridSpan w:val="3"/>
            <w:tcBorders>
              <w:top w:val="single" w:sz="4" w:space="0" w:color="auto"/>
              <w:left w:val="single" w:sz="4" w:space="0" w:color="auto"/>
              <w:bottom w:val="single" w:sz="4" w:space="0" w:color="auto"/>
              <w:right w:val="single" w:sz="4" w:space="0" w:color="auto"/>
            </w:tcBorders>
            <w:noWrap/>
            <w:vAlign w:val="bottom"/>
            <w:hideMark/>
          </w:tcPr>
          <w:p w14:paraId="3D7039F9" w14:textId="55AF0D74" w:rsidR="0087372E" w:rsidRPr="0087372E" w:rsidRDefault="0087372E" w:rsidP="0087372E">
            <w:pPr>
              <w:spacing w:after="0" w:line="240" w:lineRule="auto"/>
              <w:jc w:val="center"/>
              <w:rPr>
                <w:rFonts w:ascii="Libre Franklin" w:eastAsia="Times New Roman" w:hAnsi="Libre Franklin" w:cs="Times New Roman"/>
                <w:b/>
                <w:bCs/>
                <w:color w:val="000000"/>
                <w:kern w:val="0"/>
                <w:sz w:val="22"/>
                <w:szCs w:val="22"/>
                <w:lang w:eastAsia="es-MX"/>
                <w14:ligatures w14:val="none"/>
              </w:rPr>
            </w:pPr>
            <w:r w:rsidRPr="0087372E">
              <w:rPr>
                <w:rFonts w:ascii="Libre Franklin" w:eastAsia="Times New Roman" w:hAnsi="Libre Franklin" w:cs="Times New Roman"/>
                <w:b/>
                <w:bCs/>
                <w:color w:val="000000"/>
                <w:kern w:val="0"/>
                <w:sz w:val="22"/>
                <w:szCs w:val="22"/>
                <w:lang w:eastAsia="es-MX"/>
                <w14:ligatures w14:val="none"/>
              </w:rPr>
              <w:t>Coeficiente</w:t>
            </w:r>
            <w:r w:rsidR="00205FEC">
              <w:rPr>
                <w:rFonts w:ascii="Libre Franklin" w:eastAsia="Times New Roman" w:hAnsi="Libre Franklin" w:cs="Times New Roman"/>
                <w:b/>
                <w:bCs/>
                <w:color w:val="000000"/>
                <w:kern w:val="0"/>
                <w:sz w:val="22"/>
                <w:szCs w:val="22"/>
                <w:lang w:eastAsia="es-MX"/>
                <w14:ligatures w14:val="none"/>
              </w:rPr>
              <w:t xml:space="preserve"> a 5 años</w:t>
            </w:r>
          </w:p>
        </w:tc>
      </w:tr>
      <w:tr w:rsidR="0087372E" w:rsidRPr="0087372E" w14:paraId="23B4ED5E" w14:textId="77777777" w:rsidTr="0087372E">
        <w:trPr>
          <w:trHeight w:val="290"/>
          <w:jc w:val="center"/>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0A94713F" w14:textId="77777777" w:rsidR="0087372E" w:rsidRPr="0087372E" w:rsidRDefault="0087372E" w:rsidP="0087372E">
            <w:pPr>
              <w:spacing w:after="0" w:line="240" w:lineRule="auto"/>
              <w:jc w:val="center"/>
              <w:rPr>
                <w:rFonts w:ascii="Libre Franklin" w:eastAsia="Times New Roman" w:hAnsi="Libre Franklin" w:cs="Times New Roman"/>
                <w:b/>
                <w:bCs/>
                <w:color w:val="000000"/>
                <w:kern w:val="0"/>
                <w:sz w:val="22"/>
                <w:szCs w:val="22"/>
                <w:lang w:eastAsia="es-MX"/>
                <w14:ligatures w14:val="none"/>
              </w:rPr>
            </w:pPr>
            <w:r w:rsidRPr="0087372E">
              <w:rPr>
                <w:rFonts w:ascii="Libre Franklin" w:eastAsia="Times New Roman" w:hAnsi="Libre Franklin" w:cs="Times New Roman"/>
                <w:b/>
                <w:bCs/>
                <w:color w:val="000000"/>
                <w:kern w:val="0"/>
                <w:sz w:val="22"/>
                <w:szCs w:val="22"/>
                <w:lang w:eastAsia="es-MX"/>
                <w14:ligatures w14:val="none"/>
              </w:rPr>
              <w:t>Orden</w:t>
            </w:r>
          </w:p>
        </w:tc>
        <w:tc>
          <w:tcPr>
            <w:tcW w:w="1777" w:type="dxa"/>
            <w:tcBorders>
              <w:top w:val="nil"/>
              <w:left w:val="nil"/>
              <w:bottom w:val="single" w:sz="4" w:space="0" w:color="auto"/>
              <w:right w:val="single" w:sz="4" w:space="0" w:color="auto"/>
            </w:tcBorders>
            <w:noWrap/>
            <w:vAlign w:val="bottom"/>
            <w:hideMark/>
          </w:tcPr>
          <w:p w14:paraId="7BC926A5" w14:textId="77777777" w:rsidR="0087372E" w:rsidRPr="0087372E" w:rsidRDefault="0087372E" w:rsidP="0087372E">
            <w:pPr>
              <w:spacing w:after="0" w:line="240" w:lineRule="auto"/>
              <w:jc w:val="center"/>
              <w:rPr>
                <w:rFonts w:ascii="Libre Franklin" w:eastAsia="Times New Roman" w:hAnsi="Libre Franklin" w:cs="Times New Roman"/>
                <w:b/>
                <w:bCs/>
                <w:color w:val="000000"/>
                <w:kern w:val="0"/>
                <w:sz w:val="22"/>
                <w:szCs w:val="22"/>
                <w:lang w:eastAsia="es-MX"/>
                <w14:ligatures w14:val="none"/>
              </w:rPr>
            </w:pPr>
            <w:r w:rsidRPr="0087372E">
              <w:rPr>
                <w:rFonts w:ascii="Libre Franklin" w:eastAsia="Times New Roman" w:hAnsi="Libre Franklin" w:cs="Times New Roman"/>
                <w:b/>
                <w:bCs/>
                <w:color w:val="000000"/>
                <w:kern w:val="0"/>
                <w:sz w:val="22"/>
                <w:szCs w:val="22"/>
                <w:lang w:eastAsia="es-MX"/>
                <w14:ligatures w14:val="none"/>
              </w:rPr>
              <w:t>Inflación total</w:t>
            </w:r>
          </w:p>
        </w:tc>
        <w:tc>
          <w:tcPr>
            <w:tcW w:w="1843" w:type="dxa"/>
            <w:tcBorders>
              <w:top w:val="nil"/>
              <w:left w:val="nil"/>
              <w:bottom w:val="single" w:sz="4" w:space="0" w:color="auto"/>
              <w:right w:val="single" w:sz="4" w:space="0" w:color="auto"/>
            </w:tcBorders>
            <w:noWrap/>
            <w:vAlign w:val="bottom"/>
            <w:hideMark/>
          </w:tcPr>
          <w:p w14:paraId="6EDC80F3" w14:textId="77777777" w:rsidR="0087372E" w:rsidRPr="0087372E" w:rsidRDefault="0087372E" w:rsidP="0087372E">
            <w:pPr>
              <w:spacing w:after="0" w:line="240" w:lineRule="auto"/>
              <w:jc w:val="center"/>
              <w:rPr>
                <w:rFonts w:ascii="Libre Franklin" w:eastAsia="Times New Roman" w:hAnsi="Libre Franklin" w:cs="Times New Roman"/>
                <w:b/>
                <w:bCs/>
                <w:color w:val="000000"/>
                <w:kern w:val="0"/>
                <w:sz w:val="22"/>
                <w:szCs w:val="22"/>
                <w:lang w:eastAsia="es-MX"/>
                <w14:ligatures w14:val="none"/>
              </w:rPr>
            </w:pPr>
            <w:r w:rsidRPr="0087372E">
              <w:rPr>
                <w:rFonts w:ascii="Libre Franklin" w:eastAsia="Times New Roman" w:hAnsi="Libre Franklin" w:cs="Times New Roman"/>
                <w:b/>
                <w:bCs/>
                <w:color w:val="000000"/>
                <w:kern w:val="0"/>
                <w:sz w:val="22"/>
                <w:szCs w:val="22"/>
                <w:lang w:eastAsia="es-MX"/>
                <w14:ligatures w14:val="none"/>
              </w:rPr>
              <w:t>Media ponderada</w:t>
            </w:r>
          </w:p>
        </w:tc>
        <w:tc>
          <w:tcPr>
            <w:tcW w:w="1417" w:type="dxa"/>
            <w:tcBorders>
              <w:top w:val="nil"/>
              <w:left w:val="nil"/>
              <w:bottom w:val="single" w:sz="4" w:space="0" w:color="auto"/>
              <w:right w:val="single" w:sz="4" w:space="0" w:color="auto"/>
            </w:tcBorders>
            <w:noWrap/>
            <w:vAlign w:val="bottom"/>
            <w:hideMark/>
          </w:tcPr>
          <w:p w14:paraId="1C4BD19B" w14:textId="77777777" w:rsidR="0087372E" w:rsidRPr="0087372E" w:rsidRDefault="0087372E" w:rsidP="0087372E">
            <w:pPr>
              <w:spacing w:after="0" w:line="240" w:lineRule="auto"/>
              <w:jc w:val="center"/>
              <w:rPr>
                <w:rFonts w:ascii="Libre Franklin" w:eastAsia="Times New Roman" w:hAnsi="Libre Franklin" w:cs="Times New Roman"/>
                <w:b/>
                <w:bCs/>
                <w:color w:val="000000"/>
                <w:kern w:val="0"/>
                <w:sz w:val="22"/>
                <w:szCs w:val="22"/>
                <w:lang w:eastAsia="es-MX"/>
                <w14:ligatures w14:val="none"/>
              </w:rPr>
            </w:pPr>
            <w:r w:rsidRPr="0087372E">
              <w:rPr>
                <w:rFonts w:ascii="Libre Franklin" w:eastAsia="Times New Roman" w:hAnsi="Libre Franklin" w:cs="Times New Roman"/>
                <w:b/>
                <w:bCs/>
                <w:color w:val="000000"/>
                <w:kern w:val="0"/>
                <w:sz w:val="22"/>
                <w:szCs w:val="22"/>
                <w:lang w:eastAsia="es-MX"/>
                <w14:ligatures w14:val="none"/>
              </w:rPr>
              <w:t>Optima MSE</w:t>
            </w:r>
          </w:p>
        </w:tc>
      </w:tr>
      <w:tr w:rsidR="0087372E" w:rsidRPr="0087372E" w14:paraId="0B6B57C7" w14:textId="77777777" w:rsidTr="0087372E">
        <w:trPr>
          <w:trHeight w:val="290"/>
          <w:jc w:val="center"/>
        </w:trPr>
        <w:tc>
          <w:tcPr>
            <w:tcW w:w="1200" w:type="dxa"/>
            <w:tcBorders>
              <w:top w:val="nil"/>
              <w:left w:val="single" w:sz="4" w:space="0" w:color="auto"/>
              <w:bottom w:val="single" w:sz="4" w:space="0" w:color="auto"/>
              <w:right w:val="single" w:sz="4" w:space="0" w:color="auto"/>
            </w:tcBorders>
            <w:noWrap/>
            <w:vAlign w:val="bottom"/>
            <w:hideMark/>
          </w:tcPr>
          <w:p w14:paraId="6F03029E" w14:textId="77777777" w:rsidR="0087372E" w:rsidRPr="0087372E" w:rsidRDefault="0087372E" w:rsidP="0087372E">
            <w:pPr>
              <w:spacing w:after="0" w:line="240" w:lineRule="auto"/>
              <w:jc w:val="center"/>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1</w:t>
            </w:r>
          </w:p>
        </w:tc>
        <w:tc>
          <w:tcPr>
            <w:tcW w:w="1777" w:type="dxa"/>
            <w:tcBorders>
              <w:top w:val="nil"/>
              <w:left w:val="nil"/>
              <w:bottom w:val="single" w:sz="4" w:space="0" w:color="auto"/>
              <w:right w:val="single" w:sz="4" w:space="0" w:color="auto"/>
            </w:tcBorders>
            <w:noWrap/>
            <w:vAlign w:val="bottom"/>
            <w:hideMark/>
          </w:tcPr>
          <w:p w14:paraId="61884E93"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0.698038</w:t>
            </w:r>
          </w:p>
        </w:tc>
        <w:tc>
          <w:tcPr>
            <w:tcW w:w="1843" w:type="dxa"/>
            <w:tcBorders>
              <w:top w:val="nil"/>
              <w:left w:val="nil"/>
              <w:bottom w:val="single" w:sz="4" w:space="0" w:color="auto"/>
              <w:right w:val="single" w:sz="4" w:space="0" w:color="auto"/>
            </w:tcBorders>
            <w:noWrap/>
            <w:vAlign w:val="bottom"/>
            <w:hideMark/>
          </w:tcPr>
          <w:p w14:paraId="453B3BE3"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0.320445</w:t>
            </w:r>
          </w:p>
        </w:tc>
        <w:tc>
          <w:tcPr>
            <w:tcW w:w="1417" w:type="dxa"/>
            <w:tcBorders>
              <w:top w:val="nil"/>
              <w:left w:val="nil"/>
              <w:bottom w:val="single" w:sz="4" w:space="0" w:color="auto"/>
              <w:right w:val="single" w:sz="4" w:space="0" w:color="auto"/>
            </w:tcBorders>
            <w:noWrap/>
            <w:vAlign w:val="bottom"/>
            <w:hideMark/>
          </w:tcPr>
          <w:p w14:paraId="0C754F2E"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0.214318</w:t>
            </w:r>
          </w:p>
        </w:tc>
      </w:tr>
      <w:tr w:rsidR="0087372E" w:rsidRPr="0087372E" w14:paraId="08A3B8BA" w14:textId="77777777" w:rsidTr="0087372E">
        <w:trPr>
          <w:trHeight w:val="290"/>
          <w:jc w:val="center"/>
        </w:trPr>
        <w:tc>
          <w:tcPr>
            <w:tcW w:w="1200" w:type="dxa"/>
            <w:tcBorders>
              <w:top w:val="nil"/>
              <w:left w:val="single" w:sz="4" w:space="0" w:color="auto"/>
              <w:bottom w:val="single" w:sz="4" w:space="0" w:color="auto"/>
              <w:right w:val="single" w:sz="4" w:space="0" w:color="auto"/>
            </w:tcBorders>
            <w:noWrap/>
            <w:vAlign w:val="bottom"/>
            <w:hideMark/>
          </w:tcPr>
          <w:p w14:paraId="30132C62" w14:textId="77777777" w:rsidR="0087372E" w:rsidRPr="0087372E" w:rsidRDefault="0087372E" w:rsidP="0087372E">
            <w:pPr>
              <w:spacing w:after="0" w:line="240" w:lineRule="auto"/>
              <w:jc w:val="center"/>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2</w:t>
            </w:r>
          </w:p>
        </w:tc>
        <w:tc>
          <w:tcPr>
            <w:tcW w:w="1777" w:type="dxa"/>
            <w:tcBorders>
              <w:top w:val="nil"/>
              <w:left w:val="nil"/>
              <w:bottom w:val="single" w:sz="4" w:space="0" w:color="auto"/>
              <w:right w:val="single" w:sz="4" w:space="0" w:color="auto"/>
            </w:tcBorders>
            <w:noWrap/>
            <w:vAlign w:val="bottom"/>
            <w:hideMark/>
          </w:tcPr>
          <w:p w14:paraId="6A9A8331"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-0.476889</w:t>
            </w:r>
          </w:p>
        </w:tc>
        <w:tc>
          <w:tcPr>
            <w:tcW w:w="1843" w:type="dxa"/>
            <w:tcBorders>
              <w:top w:val="nil"/>
              <w:left w:val="nil"/>
              <w:bottom w:val="single" w:sz="4" w:space="0" w:color="auto"/>
              <w:right w:val="single" w:sz="4" w:space="0" w:color="auto"/>
            </w:tcBorders>
            <w:noWrap/>
            <w:vAlign w:val="bottom"/>
            <w:hideMark/>
          </w:tcPr>
          <w:p w14:paraId="44A7D59A"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0.019536</w:t>
            </w:r>
          </w:p>
        </w:tc>
        <w:tc>
          <w:tcPr>
            <w:tcW w:w="1417" w:type="dxa"/>
            <w:tcBorders>
              <w:top w:val="nil"/>
              <w:left w:val="nil"/>
              <w:bottom w:val="single" w:sz="4" w:space="0" w:color="auto"/>
              <w:right w:val="single" w:sz="4" w:space="0" w:color="auto"/>
            </w:tcBorders>
            <w:noWrap/>
            <w:vAlign w:val="bottom"/>
            <w:hideMark/>
          </w:tcPr>
          <w:p w14:paraId="75BA56E0"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-1.05262</w:t>
            </w:r>
          </w:p>
        </w:tc>
      </w:tr>
      <w:tr w:rsidR="0087372E" w:rsidRPr="0087372E" w14:paraId="1F7AA93E" w14:textId="77777777" w:rsidTr="0087372E">
        <w:trPr>
          <w:trHeight w:val="290"/>
          <w:jc w:val="center"/>
        </w:trPr>
        <w:tc>
          <w:tcPr>
            <w:tcW w:w="1200" w:type="dxa"/>
            <w:tcBorders>
              <w:top w:val="nil"/>
              <w:left w:val="single" w:sz="4" w:space="0" w:color="auto"/>
              <w:bottom w:val="single" w:sz="4" w:space="0" w:color="auto"/>
              <w:right w:val="single" w:sz="4" w:space="0" w:color="auto"/>
            </w:tcBorders>
            <w:noWrap/>
            <w:vAlign w:val="bottom"/>
            <w:hideMark/>
          </w:tcPr>
          <w:p w14:paraId="0BF27A09" w14:textId="77777777" w:rsidR="0087372E" w:rsidRPr="0087372E" w:rsidRDefault="0087372E" w:rsidP="0087372E">
            <w:pPr>
              <w:spacing w:after="0" w:line="240" w:lineRule="auto"/>
              <w:jc w:val="center"/>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3</w:t>
            </w:r>
          </w:p>
        </w:tc>
        <w:tc>
          <w:tcPr>
            <w:tcW w:w="1777" w:type="dxa"/>
            <w:tcBorders>
              <w:top w:val="nil"/>
              <w:left w:val="nil"/>
              <w:bottom w:val="single" w:sz="4" w:space="0" w:color="auto"/>
              <w:right w:val="single" w:sz="4" w:space="0" w:color="auto"/>
            </w:tcBorders>
            <w:noWrap/>
            <w:vAlign w:val="bottom"/>
            <w:hideMark/>
          </w:tcPr>
          <w:p w14:paraId="7040632A"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-0.00540621</w:t>
            </w:r>
          </w:p>
        </w:tc>
        <w:tc>
          <w:tcPr>
            <w:tcW w:w="1843" w:type="dxa"/>
            <w:tcBorders>
              <w:top w:val="nil"/>
              <w:left w:val="nil"/>
              <w:bottom w:val="single" w:sz="4" w:space="0" w:color="auto"/>
              <w:right w:val="single" w:sz="4" w:space="0" w:color="auto"/>
            </w:tcBorders>
            <w:noWrap/>
            <w:vAlign w:val="bottom"/>
            <w:hideMark/>
          </w:tcPr>
          <w:p w14:paraId="71292F6D"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0.053887</w:t>
            </w:r>
          </w:p>
        </w:tc>
        <w:tc>
          <w:tcPr>
            <w:tcW w:w="1417" w:type="dxa"/>
            <w:tcBorders>
              <w:top w:val="nil"/>
              <w:left w:val="nil"/>
              <w:bottom w:val="single" w:sz="4" w:space="0" w:color="auto"/>
              <w:right w:val="single" w:sz="4" w:space="0" w:color="auto"/>
            </w:tcBorders>
            <w:noWrap/>
            <w:vAlign w:val="bottom"/>
            <w:hideMark/>
          </w:tcPr>
          <w:p w14:paraId="540D5B76"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-0.112748</w:t>
            </w:r>
          </w:p>
        </w:tc>
      </w:tr>
      <w:tr w:rsidR="0087372E" w:rsidRPr="0087372E" w14:paraId="48C27BAE" w14:textId="77777777" w:rsidTr="0087372E">
        <w:trPr>
          <w:trHeight w:val="290"/>
          <w:jc w:val="center"/>
        </w:trPr>
        <w:tc>
          <w:tcPr>
            <w:tcW w:w="1200" w:type="dxa"/>
            <w:tcBorders>
              <w:top w:val="nil"/>
              <w:left w:val="single" w:sz="4" w:space="0" w:color="auto"/>
              <w:bottom w:val="single" w:sz="4" w:space="0" w:color="auto"/>
              <w:right w:val="single" w:sz="4" w:space="0" w:color="auto"/>
            </w:tcBorders>
            <w:noWrap/>
            <w:vAlign w:val="bottom"/>
            <w:hideMark/>
          </w:tcPr>
          <w:p w14:paraId="3FBB6E2A" w14:textId="77777777" w:rsidR="0087372E" w:rsidRPr="0087372E" w:rsidRDefault="0087372E" w:rsidP="0087372E">
            <w:pPr>
              <w:spacing w:after="0" w:line="240" w:lineRule="auto"/>
              <w:jc w:val="center"/>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4</w:t>
            </w:r>
          </w:p>
        </w:tc>
        <w:tc>
          <w:tcPr>
            <w:tcW w:w="1777" w:type="dxa"/>
            <w:tcBorders>
              <w:top w:val="nil"/>
              <w:left w:val="nil"/>
              <w:bottom w:val="single" w:sz="4" w:space="0" w:color="auto"/>
              <w:right w:val="single" w:sz="4" w:space="0" w:color="auto"/>
            </w:tcBorders>
            <w:noWrap/>
            <w:vAlign w:val="bottom"/>
            <w:hideMark/>
          </w:tcPr>
          <w:p w14:paraId="147E1568"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0.302727</w:t>
            </w:r>
          </w:p>
        </w:tc>
        <w:tc>
          <w:tcPr>
            <w:tcW w:w="1843" w:type="dxa"/>
            <w:tcBorders>
              <w:top w:val="nil"/>
              <w:left w:val="nil"/>
              <w:bottom w:val="single" w:sz="4" w:space="0" w:color="auto"/>
              <w:right w:val="single" w:sz="4" w:space="0" w:color="auto"/>
            </w:tcBorders>
            <w:noWrap/>
            <w:vAlign w:val="bottom"/>
            <w:hideMark/>
          </w:tcPr>
          <w:p w14:paraId="4407E995"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0.305158</w:t>
            </w:r>
          </w:p>
        </w:tc>
        <w:tc>
          <w:tcPr>
            <w:tcW w:w="1417" w:type="dxa"/>
            <w:tcBorders>
              <w:top w:val="nil"/>
              <w:left w:val="nil"/>
              <w:bottom w:val="single" w:sz="4" w:space="0" w:color="auto"/>
              <w:right w:val="single" w:sz="4" w:space="0" w:color="auto"/>
            </w:tcBorders>
            <w:noWrap/>
            <w:vAlign w:val="bottom"/>
            <w:hideMark/>
          </w:tcPr>
          <w:p w14:paraId="7E98D8CF" w14:textId="77777777" w:rsidR="0087372E" w:rsidRPr="0087372E" w:rsidRDefault="0087372E" w:rsidP="0087372E">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87372E">
              <w:rPr>
                <w:rFonts w:ascii="Libre Franklin" w:eastAsia="Times New Roman" w:hAnsi="Libre Franklin" w:cs="Times New Roman"/>
                <w:color w:val="000000"/>
                <w:kern w:val="0"/>
                <w:sz w:val="22"/>
                <w:szCs w:val="22"/>
                <w:lang w:eastAsia="es-MX"/>
                <w14:ligatures w14:val="none"/>
              </w:rPr>
              <w:t>0.475782</w:t>
            </w:r>
          </w:p>
        </w:tc>
      </w:tr>
    </w:tbl>
    <w:p w14:paraId="067A763B" w14:textId="3072D3AC" w:rsidR="008D4C42" w:rsidRDefault="008D4C42">
      <w:pPr>
        <w:rPr>
          <w:rFonts w:ascii="Libre Franklin" w:hAnsi="Libre Franklin"/>
        </w:rPr>
      </w:pPr>
    </w:p>
    <w:p w14:paraId="2AF6B075" w14:textId="1C8C98C5" w:rsidR="00205FEC" w:rsidRDefault="00205FEC" w:rsidP="00205FEC">
      <w:pPr>
        <w:jc w:val="both"/>
        <w:rPr>
          <w:rFonts w:ascii="Libre Franklin" w:hAnsi="Libre Franklin"/>
        </w:rPr>
      </w:pPr>
      <w:r>
        <w:rPr>
          <w:rFonts w:ascii="Libre Franklin" w:hAnsi="Libre Franklin"/>
        </w:rPr>
        <w:t xml:space="preserve">La razón de elegir un VAR de orden 4 se debe a que fue el único orden adicional al VAR de orden 1 que mostraron un coeficiente de sacrificio con signo negativo en cada medida de inflación, además de mostrar </w:t>
      </w:r>
      <w:proofErr w:type="spellStart"/>
      <w:r>
        <w:rPr>
          <w:rFonts w:ascii="Libre Franklin" w:hAnsi="Libre Franklin"/>
        </w:rPr>
        <w:t>IRFs</w:t>
      </w:r>
      <w:proofErr w:type="spellEnd"/>
      <w:r>
        <w:rPr>
          <w:rFonts w:ascii="Libre Franklin" w:hAnsi="Libre Franklin"/>
        </w:rPr>
        <w:t xml:space="preserve"> del producto con una convergencia al estado estacionario, algo que no mostraron los VAR de orden 1.</w:t>
      </w:r>
    </w:p>
    <w:p w14:paraId="5DE3943E" w14:textId="682A1EE9" w:rsidR="00205FEC" w:rsidRDefault="00BC3FE6" w:rsidP="00BC3FE6">
      <w:pPr>
        <w:jc w:val="center"/>
        <w:rPr>
          <w:rFonts w:ascii="Libre Franklin" w:hAnsi="Libre Franklin"/>
          <w:b/>
          <w:bCs/>
        </w:rPr>
      </w:pPr>
      <w:r w:rsidRPr="00BC3FE6">
        <w:rPr>
          <w:rFonts w:ascii="Libre Franklin" w:hAnsi="Libre Franklin"/>
          <w:b/>
          <w:bCs/>
        </w:rPr>
        <w:lastRenderedPageBreak/>
        <w:t>Tabla 2</w:t>
      </w:r>
    </w:p>
    <w:tbl>
      <w:tblPr>
        <w:tblW w:w="7746" w:type="dxa"/>
        <w:jc w:val="center"/>
        <w:tblCellMar>
          <w:left w:w="70" w:type="dxa"/>
          <w:right w:w="70" w:type="dxa"/>
        </w:tblCellMar>
        <w:tblLook w:val="04A0" w:firstRow="1" w:lastRow="0" w:firstColumn="1" w:lastColumn="0" w:noHBand="0" w:noVBand="1"/>
      </w:tblPr>
      <w:tblGrid>
        <w:gridCol w:w="2127"/>
        <w:gridCol w:w="1202"/>
        <w:gridCol w:w="1202"/>
        <w:gridCol w:w="3215"/>
      </w:tblGrid>
      <w:tr w:rsidR="00BC3FE6" w:rsidRPr="00BC3FE6" w14:paraId="1827DD42" w14:textId="77777777" w:rsidTr="00BC3FE6">
        <w:trPr>
          <w:trHeight w:val="290"/>
          <w:jc w:val="center"/>
        </w:trPr>
        <w:tc>
          <w:tcPr>
            <w:tcW w:w="2127" w:type="dxa"/>
            <w:tcBorders>
              <w:top w:val="nil"/>
              <w:left w:val="nil"/>
              <w:bottom w:val="nil"/>
              <w:right w:val="nil"/>
            </w:tcBorders>
            <w:noWrap/>
            <w:vAlign w:val="bottom"/>
            <w:hideMark/>
          </w:tcPr>
          <w:p w14:paraId="538C3D31" w14:textId="77777777" w:rsidR="00BC3FE6" w:rsidRPr="00BC3FE6" w:rsidRDefault="00BC3FE6" w:rsidP="00BC3FE6">
            <w:pPr>
              <w:spacing w:after="0" w:line="240" w:lineRule="auto"/>
              <w:rPr>
                <w:rFonts w:ascii="Libre Franklin" w:eastAsia="Times New Roman" w:hAnsi="Libre Franklin" w:cs="Times New Roman"/>
                <w:kern w:val="0"/>
                <w:lang w:eastAsia="es-MX"/>
                <w14:ligatures w14:val="none"/>
              </w:rPr>
            </w:pPr>
          </w:p>
        </w:tc>
        <w:tc>
          <w:tcPr>
            <w:tcW w:w="5619" w:type="dxa"/>
            <w:gridSpan w:val="3"/>
            <w:tcBorders>
              <w:top w:val="single" w:sz="4" w:space="0" w:color="auto"/>
              <w:left w:val="single" w:sz="4" w:space="0" w:color="auto"/>
              <w:bottom w:val="single" w:sz="4" w:space="0" w:color="auto"/>
              <w:right w:val="single" w:sz="4" w:space="0" w:color="auto"/>
            </w:tcBorders>
            <w:noWrap/>
            <w:vAlign w:val="bottom"/>
            <w:hideMark/>
          </w:tcPr>
          <w:p w14:paraId="461469B3" w14:textId="77777777" w:rsidR="00BC3FE6" w:rsidRPr="00BC3FE6" w:rsidRDefault="00BC3FE6" w:rsidP="00BC3FE6">
            <w:pPr>
              <w:spacing w:after="0" w:line="240" w:lineRule="auto"/>
              <w:jc w:val="center"/>
              <w:rPr>
                <w:rFonts w:ascii="Libre Franklin" w:eastAsia="Times New Roman" w:hAnsi="Libre Franklin" w:cs="Times New Roman"/>
                <w:b/>
                <w:bCs/>
                <w:color w:val="000000"/>
                <w:kern w:val="0"/>
                <w:sz w:val="22"/>
                <w:szCs w:val="22"/>
                <w:lang w:eastAsia="es-MX"/>
                <w14:ligatures w14:val="none"/>
              </w:rPr>
            </w:pPr>
            <w:r w:rsidRPr="00BC3FE6">
              <w:rPr>
                <w:rFonts w:ascii="Libre Franklin" w:eastAsia="Times New Roman" w:hAnsi="Libre Franklin" w:cs="Times New Roman"/>
                <w:b/>
                <w:bCs/>
                <w:color w:val="000000"/>
                <w:kern w:val="0"/>
                <w:sz w:val="22"/>
                <w:szCs w:val="22"/>
                <w:lang w:eastAsia="es-MX"/>
                <w14:ligatures w14:val="none"/>
              </w:rPr>
              <w:t>Simulaciones</w:t>
            </w:r>
          </w:p>
        </w:tc>
      </w:tr>
      <w:tr w:rsidR="00BC3FE6" w:rsidRPr="00BC3FE6" w14:paraId="77F4014E" w14:textId="77777777" w:rsidTr="00BC3FE6">
        <w:trPr>
          <w:trHeight w:val="290"/>
          <w:jc w:val="center"/>
        </w:trPr>
        <w:tc>
          <w:tcPr>
            <w:tcW w:w="2127" w:type="dxa"/>
            <w:tcBorders>
              <w:top w:val="single" w:sz="4" w:space="0" w:color="auto"/>
              <w:left w:val="single" w:sz="4" w:space="0" w:color="auto"/>
              <w:bottom w:val="single" w:sz="4" w:space="0" w:color="auto"/>
              <w:right w:val="single" w:sz="4" w:space="0" w:color="auto"/>
            </w:tcBorders>
            <w:noWrap/>
            <w:vAlign w:val="bottom"/>
            <w:hideMark/>
          </w:tcPr>
          <w:p w14:paraId="4C5FEFAA" w14:textId="77777777" w:rsidR="00BC3FE6" w:rsidRPr="00BC3FE6" w:rsidRDefault="00BC3FE6" w:rsidP="00BC3FE6">
            <w:pPr>
              <w:spacing w:after="0" w:line="240" w:lineRule="auto"/>
              <w:rPr>
                <w:rFonts w:ascii="Libre Franklin" w:eastAsia="Times New Roman" w:hAnsi="Libre Franklin" w:cs="Times New Roman"/>
                <w:b/>
                <w:bCs/>
                <w:color w:val="000000"/>
                <w:kern w:val="0"/>
                <w:sz w:val="22"/>
                <w:szCs w:val="22"/>
                <w:lang w:eastAsia="es-MX"/>
                <w14:ligatures w14:val="none"/>
              </w:rPr>
            </w:pPr>
            <w:r w:rsidRPr="00BC3FE6">
              <w:rPr>
                <w:rFonts w:ascii="Libre Franklin" w:eastAsia="Times New Roman" w:hAnsi="Libre Franklin" w:cs="Times New Roman"/>
                <w:b/>
                <w:bCs/>
                <w:color w:val="000000"/>
                <w:kern w:val="0"/>
                <w:sz w:val="22"/>
                <w:szCs w:val="22"/>
                <w:lang w:eastAsia="es-MX"/>
                <w14:ligatures w14:val="none"/>
              </w:rPr>
              <w:t>Modelo</w:t>
            </w:r>
          </w:p>
        </w:tc>
        <w:tc>
          <w:tcPr>
            <w:tcW w:w="1202" w:type="dxa"/>
            <w:tcBorders>
              <w:top w:val="nil"/>
              <w:left w:val="nil"/>
              <w:bottom w:val="single" w:sz="4" w:space="0" w:color="auto"/>
              <w:right w:val="single" w:sz="4" w:space="0" w:color="auto"/>
            </w:tcBorders>
            <w:noWrap/>
            <w:vAlign w:val="bottom"/>
            <w:hideMark/>
          </w:tcPr>
          <w:p w14:paraId="177A1990" w14:textId="77777777" w:rsidR="00BC3FE6" w:rsidRPr="00BC3FE6" w:rsidRDefault="00BC3FE6" w:rsidP="00BC3FE6">
            <w:pPr>
              <w:spacing w:after="0" w:line="240" w:lineRule="auto"/>
              <w:rPr>
                <w:rFonts w:ascii="Libre Franklin" w:eastAsia="Times New Roman" w:hAnsi="Libre Franklin" w:cs="Times New Roman"/>
                <w:b/>
                <w:bCs/>
                <w:color w:val="000000"/>
                <w:kern w:val="0"/>
                <w:sz w:val="22"/>
                <w:szCs w:val="22"/>
                <w:lang w:eastAsia="es-MX"/>
                <w14:ligatures w14:val="none"/>
              </w:rPr>
            </w:pPr>
            <w:r w:rsidRPr="00BC3FE6">
              <w:rPr>
                <w:rFonts w:ascii="Libre Franklin" w:eastAsia="Times New Roman" w:hAnsi="Libre Franklin" w:cs="Times New Roman"/>
                <w:b/>
                <w:bCs/>
                <w:color w:val="000000"/>
                <w:kern w:val="0"/>
                <w:sz w:val="22"/>
                <w:szCs w:val="22"/>
                <w:lang w:eastAsia="es-MX"/>
                <w14:ligatures w14:val="none"/>
              </w:rPr>
              <w:t>media</w:t>
            </w:r>
          </w:p>
        </w:tc>
        <w:tc>
          <w:tcPr>
            <w:tcW w:w="1202" w:type="dxa"/>
            <w:tcBorders>
              <w:top w:val="nil"/>
              <w:left w:val="nil"/>
              <w:bottom w:val="single" w:sz="4" w:space="0" w:color="auto"/>
              <w:right w:val="single" w:sz="4" w:space="0" w:color="auto"/>
            </w:tcBorders>
            <w:noWrap/>
            <w:vAlign w:val="bottom"/>
            <w:hideMark/>
          </w:tcPr>
          <w:p w14:paraId="423363C2" w14:textId="77777777" w:rsidR="00BC3FE6" w:rsidRPr="00BC3FE6" w:rsidRDefault="00BC3FE6" w:rsidP="00BC3FE6">
            <w:pPr>
              <w:spacing w:after="0" w:line="240" w:lineRule="auto"/>
              <w:rPr>
                <w:rFonts w:ascii="Libre Franklin" w:eastAsia="Times New Roman" w:hAnsi="Libre Franklin" w:cs="Times New Roman"/>
                <w:b/>
                <w:bCs/>
                <w:color w:val="000000"/>
                <w:kern w:val="0"/>
                <w:sz w:val="22"/>
                <w:szCs w:val="22"/>
                <w:lang w:eastAsia="es-MX"/>
                <w14:ligatures w14:val="none"/>
              </w:rPr>
            </w:pPr>
            <w:r w:rsidRPr="00BC3FE6">
              <w:rPr>
                <w:rFonts w:ascii="Libre Franklin" w:eastAsia="Times New Roman" w:hAnsi="Libre Franklin" w:cs="Times New Roman"/>
                <w:b/>
                <w:bCs/>
                <w:color w:val="000000"/>
                <w:kern w:val="0"/>
                <w:sz w:val="22"/>
                <w:szCs w:val="22"/>
                <w:lang w:eastAsia="es-MX"/>
                <w14:ligatures w14:val="none"/>
              </w:rPr>
              <w:t>mediana</w:t>
            </w:r>
          </w:p>
        </w:tc>
        <w:tc>
          <w:tcPr>
            <w:tcW w:w="3215" w:type="dxa"/>
            <w:tcBorders>
              <w:top w:val="nil"/>
              <w:left w:val="nil"/>
              <w:bottom w:val="single" w:sz="4" w:space="0" w:color="auto"/>
              <w:right w:val="single" w:sz="4" w:space="0" w:color="auto"/>
            </w:tcBorders>
            <w:noWrap/>
            <w:vAlign w:val="bottom"/>
            <w:hideMark/>
          </w:tcPr>
          <w:p w14:paraId="4886D707" w14:textId="77777777" w:rsidR="00BC3FE6" w:rsidRPr="00BC3FE6" w:rsidRDefault="00BC3FE6" w:rsidP="00BC3FE6">
            <w:pPr>
              <w:spacing w:after="0" w:line="240" w:lineRule="auto"/>
              <w:rPr>
                <w:rFonts w:ascii="Libre Franklin" w:eastAsia="Times New Roman" w:hAnsi="Libre Franklin" w:cs="Times New Roman"/>
                <w:b/>
                <w:bCs/>
                <w:color w:val="000000"/>
                <w:kern w:val="0"/>
                <w:sz w:val="22"/>
                <w:szCs w:val="22"/>
                <w:lang w:eastAsia="es-MX"/>
                <w14:ligatures w14:val="none"/>
              </w:rPr>
            </w:pPr>
            <w:r w:rsidRPr="00BC3FE6">
              <w:rPr>
                <w:rFonts w:ascii="Libre Franklin" w:eastAsia="Times New Roman" w:hAnsi="Libre Franklin" w:cs="Times New Roman"/>
                <w:b/>
                <w:bCs/>
                <w:color w:val="000000"/>
                <w:kern w:val="0"/>
                <w:sz w:val="22"/>
                <w:szCs w:val="22"/>
                <w:lang w:eastAsia="es-MX"/>
                <w14:ligatures w14:val="none"/>
              </w:rPr>
              <w:t>Intervalo de confianza (90%)</w:t>
            </w:r>
          </w:p>
        </w:tc>
      </w:tr>
      <w:tr w:rsidR="00BC3FE6" w:rsidRPr="00BC3FE6" w14:paraId="28C74207" w14:textId="77777777" w:rsidTr="00BC3FE6">
        <w:trPr>
          <w:trHeight w:val="290"/>
          <w:jc w:val="center"/>
        </w:trPr>
        <w:tc>
          <w:tcPr>
            <w:tcW w:w="2127" w:type="dxa"/>
            <w:tcBorders>
              <w:top w:val="nil"/>
              <w:left w:val="single" w:sz="4" w:space="0" w:color="auto"/>
              <w:bottom w:val="single" w:sz="4" w:space="0" w:color="auto"/>
              <w:right w:val="single" w:sz="4" w:space="0" w:color="auto"/>
            </w:tcBorders>
            <w:noWrap/>
            <w:vAlign w:val="bottom"/>
            <w:hideMark/>
          </w:tcPr>
          <w:p w14:paraId="66E2FE67" w14:textId="77777777" w:rsidR="00BC3FE6" w:rsidRPr="00BC3FE6" w:rsidRDefault="00BC3FE6" w:rsidP="00BC3FE6">
            <w:pPr>
              <w:spacing w:after="0" w:line="240" w:lineRule="auto"/>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Inflación total</w:t>
            </w:r>
          </w:p>
        </w:tc>
        <w:tc>
          <w:tcPr>
            <w:tcW w:w="1202" w:type="dxa"/>
            <w:tcBorders>
              <w:top w:val="nil"/>
              <w:left w:val="nil"/>
              <w:bottom w:val="single" w:sz="4" w:space="0" w:color="auto"/>
              <w:right w:val="single" w:sz="4" w:space="0" w:color="auto"/>
            </w:tcBorders>
            <w:noWrap/>
            <w:vAlign w:val="bottom"/>
            <w:hideMark/>
          </w:tcPr>
          <w:p w14:paraId="2D469301" w14:textId="77777777" w:rsidR="00BC3FE6" w:rsidRPr="00BC3FE6" w:rsidRDefault="00BC3FE6" w:rsidP="00BC3FE6">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0.344341</w:t>
            </w:r>
          </w:p>
        </w:tc>
        <w:tc>
          <w:tcPr>
            <w:tcW w:w="1202" w:type="dxa"/>
            <w:tcBorders>
              <w:top w:val="nil"/>
              <w:left w:val="nil"/>
              <w:bottom w:val="single" w:sz="4" w:space="0" w:color="auto"/>
              <w:right w:val="single" w:sz="4" w:space="0" w:color="auto"/>
            </w:tcBorders>
            <w:noWrap/>
            <w:vAlign w:val="bottom"/>
            <w:hideMark/>
          </w:tcPr>
          <w:p w14:paraId="07826230" w14:textId="77777777" w:rsidR="00BC3FE6" w:rsidRPr="00BC3FE6" w:rsidRDefault="00BC3FE6" w:rsidP="00BC3FE6">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0.369469</w:t>
            </w:r>
          </w:p>
        </w:tc>
        <w:tc>
          <w:tcPr>
            <w:tcW w:w="3215" w:type="dxa"/>
            <w:tcBorders>
              <w:top w:val="nil"/>
              <w:left w:val="nil"/>
              <w:bottom w:val="single" w:sz="4" w:space="0" w:color="auto"/>
              <w:right w:val="single" w:sz="4" w:space="0" w:color="auto"/>
            </w:tcBorders>
            <w:noWrap/>
            <w:vAlign w:val="bottom"/>
            <w:hideMark/>
          </w:tcPr>
          <w:p w14:paraId="2FFD703B" w14:textId="77777777" w:rsidR="00BC3FE6" w:rsidRPr="00BC3FE6" w:rsidRDefault="00BC3FE6" w:rsidP="00BC3FE6">
            <w:pPr>
              <w:spacing w:after="0" w:line="240" w:lineRule="auto"/>
              <w:jc w:val="center"/>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(-0.7410, 1.3252)</w:t>
            </w:r>
          </w:p>
        </w:tc>
      </w:tr>
      <w:tr w:rsidR="00BC3FE6" w:rsidRPr="00BC3FE6" w14:paraId="7E616EF8" w14:textId="77777777" w:rsidTr="00BC3FE6">
        <w:trPr>
          <w:trHeight w:val="290"/>
          <w:jc w:val="center"/>
        </w:trPr>
        <w:tc>
          <w:tcPr>
            <w:tcW w:w="2127" w:type="dxa"/>
            <w:tcBorders>
              <w:top w:val="nil"/>
              <w:left w:val="single" w:sz="4" w:space="0" w:color="auto"/>
              <w:bottom w:val="single" w:sz="4" w:space="0" w:color="auto"/>
              <w:right w:val="single" w:sz="4" w:space="0" w:color="auto"/>
            </w:tcBorders>
            <w:noWrap/>
            <w:vAlign w:val="bottom"/>
            <w:hideMark/>
          </w:tcPr>
          <w:p w14:paraId="7F3CE207" w14:textId="77777777" w:rsidR="00BC3FE6" w:rsidRPr="00BC3FE6" w:rsidRDefault="00BC3FE6" w:rsidP="00BC3FE6">
            <w:pPr>
              <w:spacing w:after="0" w:line="240" w:lineRule="auto"/>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Media Ponderada</w:t>
            </w:r>
          </w:p>
        </w:tc>
        <w:tc>
          <w:tcPr>
            <w:tcW w:w="1202" w:type="dxa"/>
            <w:tcBorders>
              <w:top w:val="nil"/>
              <w:left w:val="nil"/>
              <w:bottom w:val="single" w:sz="4" w:space="0" w:color="auto"/>
              <w:right w:val="single" w:sz="4" w:space="0" w:color="auto"/>
            </w:tcBorders>
            <w:noWrap/>
            <w:vAlign w:val="bottom"/>
            <w:hideMark/>
          </w:tcPr>
          <w:p w14:paraId="5DB81E6D" w14:textId="77777777" w:rsidR="00BC3FE6" w:rsidRPr="00BC3FE6" w:rsidRDefault="00BC3FE6" w:rsidP="00BC3FE6">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0.455995</w:t>
            </w:r>
          </w:p>
        </w:tc>
        <w:tc>
          <w:tcPr>
            <w:tcW w:w="1202" w:type="dxa"/>
            <w:tcBorders>
              <w:top w:val="nil"/>
              <w:left w:val="nil"/>
              <w:bottom w:val="single" w:sz="4" w:space="0" w:color="auto"/>
              <w:right w:val="single" w:sz="4" w:space="0" w:color="auto"/>
            </w:tcBorders>
            <w:noWrap/>
            <w:vAlign w:val="bottom"/>
            <w:hideMark/>
          </w:tcPr>
          <w:p w14:paraId="7B742D69" w14:textId="77777777" w:rsidR="00BC3FE6" w:rsidRPr="00BC3FE6" w:rsidRDefault="00BC3FE6" w:rsidP="00BC3FE6">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0.488429</w:t>
            </w:r>
          </w:p>
        </w:tc>
        <w:tc>
          <w:tcPr>
            <w:tcW w:w="3215" w:type="dxa"/>
            <w:tcBorders>
              <w:top w:val="nil"/>
              <w:left w:val="nil"/>
              <w:bottom w:val="single" w:sz="4" w:space="0" w:color="auto"/>
              <w:right w:val="single" w:sz="4" w:space="0" w:color="auto"/>
            </w:tcBorders>
            <w:noWrap/>
            <w:vAlign w:val="bottom"/>
            <w:hideMark/>
          </w:tcPr>
          <w:p w14:paraId="32FF11FA" w14:textId="77777777" w:rsidR="00BC3FE6" w:rsidRPr="00BC3FE6" w:rsidRDefault="00BC3FE6" w:rsidP="00BC3FE6">
            <w:pPr>
              <w:spacing w:after="0" w:line="240" w:lineRule="auto"/>
              <w:jc w:val="center"/>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(-0.7660, 1.5775)</w:t>
            </w:r>
          </w:p>
        </w:tc>
      </w:tr>
      <w:tr w:rsidR="00BC3FE6" w:rsidRPr="00BC3FE6" w14:paraId="4E57373F" w14:textId="77777777" w:rsidTr="00BC3FE6">
        <w:trPr>
          <w:trHeight w:val="290"/>
          <w:jc w:val="center"/>
        </w:trPr>
        <w:tc>
          <w:tcPr>
            <w:tcW w:w="2127" w:type="dxa"/>
            <w:tcBorders>
              <w:top w:val="nil"/>
              <w:left w:val="single" w:sz="4" w:space="0" w:color="auto"/>
              <w:bottom w:val="single" w:sz="4" w:space="0" w:color="auto"/>
              <w:right w:val="single" w:sz="4" w:space="0" w:color="auto"/>
            </w:tcBorders>
            <w:noWrap/>
            <w:vAlign w:val="bottom"/>
            <w:hideMark/>
          </w:tcPr>
          <w:p w14:paraId="7AEB2769" w14:textId="77777777" w:rsidR="00BC3FE6" w:rsidRPr="00BC3FE6" w:rsidRDefault="00BC3FE6" w:rsidP="00BC3FE6">
            <w:pPr>
              <w:spacing w:after="0" w:line="240" w:lineRule="auto"/>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Optima MSE</w:t>
            </w:r>
          </w:p>
        </w:tc>
        <w:tc>
          <w:tcPr>
            <w:tcW w:w="1202" w:type="dxa"/>
            <w:tcBorders>
              <w:top w:val="nil"/>
              <w:left w:val="nil"/>
              <w:bottom w:val="single" w:sz="4" w:space="0" w:color="auto"/>
              <w:right w:val="single" w:sz="4" w:space="0" w:color="auto"/>
            </w:tcBorders>
            <w:noWrap/>
            <w:vAlign w:val="bottom"/>
            <w:hideMark/>
          </w:tcPr>
          <w:p w14:paraId="2A53E926" w14:textId="77777777" w:rsidR="00BC3FE6" w:rsidRPr="00BC3FE6" w:rsidRDefault="00BC3FE6" w:rsidP="00BC3FE6">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0.766667</w:t>
            </w:r>
          </w:p>
        </w:tc>
        <w:tc>
          <w:tcPr>
            <w:tcW w:w="1202" w:type="dxa"/>
            <w:tcBorders>
              <w:top w:val="nil"/>
              <w:left w:val="nil"/>
              <w:bottom w:val="single" w:sz="4" w:space="0" w:color="auto"/>
              <w:right w:val="single" w:sz="4" w:space="0" w:color="auto"/>
            </w:tcBorders>
            <w:noWrap/>
            <w:vAlign w:val="bottom"/>
            <w:hideMark/>
          </w:tcPr>
          <w:p w14:paraId="70240FF9" w14:textId="77777777" w:rsidR="00BC3FE6" w:rsidRPr="00BC3FE6" w:rsidRDefault="00BC3FE6" w:rsidP="00BC3FE6">
            <w:pPr>
              <w:spacing w:after="0" w:line="240" w:lineRule="auto"/>
              <w:jc w:val="right"/>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0.779371</w:t>
            </w:r>
          </w:p>
        </w:tc>
        <w:tc>
          <w:tcPr>
            <w:tcW w:w="3215" w:type="dxa"/>
            <w:tcBorders>
              <w:top w:val="nil"/>
              <w:left w:val="nil"/>
              <w:bottom w:val="single" w:sz="4" w:space="0" w:color="auto"/>
              <w:right w:val="single" w:sz="4" w:space="0" w:color="auto"/>
            </w:tcBorders>
            <w:noWrap/>
            <w:vAlign w:val="bottom"/>
            <w:hideMark/>
          </w:tcPr>
          <w:p w14:paraId="3285B400" w14:textId="77777777" w:rsidR="00BC3FE6" w:rsidRPr="00BC3FE6" w:rsidRDefault="00BC3FE6" w:rsidP="00BC3FE6">
            <w:pPr>
              <w:spacing w:after="0" w:line="240" w:lineRule="auto"/>
              <w:jc w:val="center"/>
              <w:rPr>
                <w:rFonts w:ascii="Libre Franklin" w:eastAsia="Times New Roman" w:hAnsi="Libre Franklin" w:cs="Times New Roman"/>
                <w:color w:val="000000"/>
                <w:kern w:val="0"/>
                <w:sz w:val="22"/>
                <w:szCs w:val="22"/>
                <w:lang w:eastAsia="es-MX"/>
                <w14:ligatures w14:val="none"/>
              </w:rPr>
            </w:pPr>
            <w:r w:rsidRPr="00BC3FE6">
              <w:rPr>
                <w:rFonts w:ascii="Libre Franklin" w:eastAsia="Times New Roman" w:hAnsi="Libre Franklin" w:cs="Times New Roman"/>
                <w:color w:val="000000"/>
                <w:kern w:val="0"/>
                <w:sz w:val="22"/>
                <w:szCs w:val="22"/>
                <w:lang w:eastAsia="es-MX"/>
                <w14:ligatures w14:val="none"/>
              </w:rPr>
              <w:t>(-0.6677, 2.1664)</w:t>
            </w:r>
          </w:p>
        </w:tc>
      </w:tr>
    </w:tbl>
    <w:p w14:paraId="56841751" w14:textId="77777777" w:rsidR="00BC3FE6" w:rsidRDefault="00BC3FE6" w:rsidP="00BC3FE6">
      <w:pPr>
        <w:jc w:val="both"/>
        <w:rPr>
          <w:rFonts w:ascii="Libre Franklin" w:hAnsi="Libre Franklin"/>
        </w:rPr>
      </w:pPr>
    </w:p>
    <w:p w14:paraId="5592870A" w14:textId="77777777" w:rsidR="00BC3FE6" w:rsidRDefault="00BC3FE6" w:rsidP="00BC3FE6">
      <w:pPr>
        <w:jc w:val="both"/>
        <w:rPr>
          <w:rFonts w:ascii="Libre Franklin" w:hAnsi="Libre Franklin"/>
          <w:b/>
          <w:bCs/>
        </w:rPr>
      </w:pPr>
    </w:p>
    <w:p w14:paraId="263F9345" w14:textId="77777777" w:rsidR="00BC3FE6" w:rsidRDefault="00BC3FE6" w:rsidP="00BC3FE6">
      <w:pPr>
        <w:jc w:val="both"/>
        <w:rPr>
          <w:rFonts w:ascii="Libre Franklin" w:hAnsi="Libre Franklin"/>
          <w:b/>
          <w:bCs/>
        </w:rPr>
      </w:pPr>
    </w:p>
    <w:p w14:paraId="063387B8" w14:textId="77777777" w:rsidR="00BC3FE6" w:rsidRDefault="00BC3FE6" w:rsidP="00BC3FE6">
      <w:pPr>
        <w:jc w:val="both"/>
        <w:rPr>
          <w:rFonts w:ascii="Libre Franklin" w:hAnsi="Libre Franklin"/>
          <w:b/>
          <w:bCs/>
        </w:rPr>
      </w:pPr>
    </w:p>
    <w:p w14:paraId="14A90F30" w14:textId="77777777" w:rsidR="00BC3FE6" w:rsidRDefault="00BC3FE6" w:rsidP="00BC3FE6">
      <w:pPr>
        <w:jc w:val="both"/>
        <w:rPr>
          <w:rFonts w:ascii="Libre Franklin" w:hAnsi="Libre Franklin"/>
          <w:b/>
          <w:bCs/>
        </w:rPr>
      </w:pPr>
    </w:p>
    <w:p w14:paraId="225EAEAA" w14:textId="77777777" w:rsidR="00BC3FE6" w:rsidRDefault="00BC3FE6" w:rsidP="00BC3FE6">
      <w:pPr>
        <w:jc w:val="both"/>
        <w:rPr>
          <w:rFonts w:ascii="Libre Franklin" w:hAnsi="Libre Franklin"/>
          <w:b/>
          <w:bCs/>
        </w:rPr>
      </w:pPr>
    </w:p>
    <w:p w14:paraId="5868DB37" w14:textId="77777777" w:rsidR="00BC3FE6" w:rsidRDefault="00BC3FE6" w:rsidP="00BC3FE6">
      <w:pPr>
        <w:jc w:val="both"/>
        <w:rPr>
          <w:rFonts w:ascii="Libre Franklin" w:hAnsi="Libre Franklin"/>
          <w:b/>
          <w:bCs/>
        </w:rPr>
      </w:pPr>
    </w:p>
    <w:p w14:paraId="4FF44D69" w14:textId="77777777" w:rsidR="00BC3FE6" w:rsidRDefault="00BC3FE6" w:rsidP="00BC3FE6">
      <w:pPr>
        <w:jc w:val="both"/>
        <w:rPr>
          <w:rFonts w:ascii="Libre Franklin" w:hAnsi="Libre Franklin"/>
          <w:b/>
          <w:bCs/>
        </w:rPr>
      </w:pPr>
    </w:p>
    <w:p w14:paraId="4D13A069" w14:textId="77777777" w:rsidR="00BC3FE6" w:rsidRDefault="00BC3FE6" w:rsidP="00BC3FE6">
      <w:pPr>
        <w:jc w:val="both"/>
        <w:rPr>
          <w:rFonts w:ascii="Libre Franklin" w:hAnsi="Libre Franklin"/>
          <w:b/>
          <w:bCs/>
        </w:rPr>
      </w:pPr>
    </w:p>
    <w:p w14:paraId="16B699A4" w14:textId="77777777" w:rsidR="00BC3FE6" w:rsidRDefault="00BC3FE6" w:rsidP="00BC3FE6">
      <w:pPr>
        <w:jc w:val="both"/>
        <w:rPr>
          <w:rFonts w:ascii="Libre Franklin" w:hAnsi="Libre Franklin"/>
          <w:b/>
          <w:bCs/>
        </w:rPr>
      </w:pPr>
    </w:p>
    <w:p w14:paraId="4CE3E655" w14:textId="77777777" w:rsidR="00BC3FE6" w:rsidRDefault="00BC3FE6" w:rsidP="00BC3FE6">
      <w:pPr>
        <w:jc w:val="both"/>
        <w:rPr>
          <w:rFonts w:ascii="Libre Franklin" w:hAnsi="Libre Franklin"/>
          <w:b/>
          <w:bCs/>
        </w:rPr>
      </w:pPr>
    </w:p>
    <w:p w14:paraId="7B75217E" w14:textId="77777777" w:rsidR="00BC3FE6" w:rsidRDefault="00BC3FE6" w:rsidP="00BC3FE6">
      <w:pPr>
        <w:jc w:val="both"/>
        <w:rPr>
          <w:rFonts w:ascii="Libre Franklin" w:hAnsi="Libre Franklin"/>
          <w:b/>
          <w:bCs/>
        </w:rPr>
      </w:pPr>
    </w:p>
    <w:p w14:paraId="37BD775D" w14:textId="77777777" w:rsidR="00BC3FE6" w:rsidRDefault="00BC3FE6" w:rsidP="00BC3FE6">
      <w:pPr>
        <w:jc w:val="both"/>
        <w:rPr>
          <w:rFonts w:ascii="Libre Franklin" w:hAnsi="Libre Franklin"/>
          <w:b/>
          <w:bCs/>
        </w:rPr>
      </w:pPr>
    </w:p>
    <w:p w14:paraId="584E0296" w14:textId="77777777" w:rsidR="00BC3FE6" w:rsidRDefault="00BC3FE6" w:rsidP="00BC3FE6">
      <w:pPr>
        <w:jc w:val="both"/>
        <w:rPr>
          <w:rFonts w:ascii="Libre Franklin" w:hAnsi="Libre Franklin"/>
          <w:b/>
          <w:bCs/>
        </w:rPr>
      </w:pPr>
    </w:p>
    <w:p w14:paraId="1F79EC0E" w14:textId="77777777" w:rsidR="00BC3FE6" w:rsidRDefault="00BC3FE6" w:rsidP="00BC3FE6">
      <w:pPr>
        <w:jc w:val="both"/>
        <w:rPr>
          <w:rFonts w:ascii="Libre Franklin" w:hAnsi="Libre Franklin"/>
          <w:b/>
          <w:bCs/>
        </w:rPr>
      </w:pPr>
    </w:p>
    <w:p w14:paraId="7102BF7F" w14:textId="77777777" w:rsidR="00BC3FE6" w:rsidRDefault="00BC3FE6" w:rsidP="00BC3FE6">
      <w:pPr>
        <w:jc w:val="both"/>
        <w:rPr>
          <w:rFonts w:ascii="Libre Franklin" w:hAnsi="Libre Franklin"/>
          <w:b/>
          <w:bCs/>
        </w:rPr>
      </w:pPr>
    </w:p>
    <w:p w14:paraId="79D87D32" w14:textId="77777777" w:rsidR="00BC3FE6" w:rsidRDefault="00BC3FE6" w:rsidP="00BC3FE6">
      <w:pPr>
        <w:jc w:val="both"/>
        <w:rPr>
          <w:rFonts w:ascii="Libre Franklin" w:hAnsi="Libre Franklin"/>
          <w:b/>
          <w:bCs/>
        </w:rPr>
      </w:pPr>
    </w:p>
    <w:p w14:paraId="3BD4D1BB" w14:textId="77777777" w:rsidR="00BC3FE6" w:rsidRDefault="00BC3FE6" w:rsidP="00BC3FE6">
      <w:pPr>
        <w:jc w:val="both"/>
        <w:rPr>
          <w:rFonts w:ascii="Libre Franklin" w:hAnsi="Libre Franklin"/>
          <w:b/>
          <w:bCs/>
        </w:rPr>
      </w:pPr>
    </w:p>
    <w:p w14:paraId="0F915B71" w14:textId="77777777" w:rsidR="00BC3FE6" w:rsidRDefault="00BC3FE6" w:rsidP="00BC3FE6">
      <w:pPr>
        <w:jc w:val="both"/>
        <w:rPr>
          <w:rFonts w:ascii="Libre Franklin" w:hAnsi="Libre Franklin"/>
          <w:b/>
          <w:bCs/>
        </w:rPr>
      </w:pPr>
    </w:p>
    <w:p w14:paraId="4B5CC167" w14:textId="77777777" w:rsidR="00BC3FE6" w:rsidRDefault="00BC3FE6" w:rsidP="00BC3FE6">
      <w:pPr>
        <w:jc w:val="both"/>
        <w:rPr>
          <w:rFonts w:ascii="Libre Franklin" w:hAnsi="Libre Franklin"/>
          <w:b/>
          <w:bCs/>
        </w:rPr>
      </w:pPr>
    </w:p>
    <w:p w14:paraId="4B53115B" w14:textId="77777777" w:rsidR="00BC3FE6" w:rsidRDefault="00BC3FE6" w:rsidP="00BC3FE6">
      <w:pPr>
        <w:jc w:val="both"/>
        <w:rPr>
          <w:rFonts w:ascii="Libre Franklin" w:hAnsi="Libre Franklin"/>
          <w:b/>
          <w:bCs/>
        </w:rPr>
      </w:pPr>
    </w:p>
    <w:p w14:paraId="2D8D54F9" w14:textId="77777777" w:rsidR="00BC3FE6" w:rsidRDefault="00BC3FE6" w:rsidP="00BC3FE6">
      <w:pPr>
        <w:jc w:val="both"/>
        <w:rPr>
          <w:rFonts w:ascii="Libre Franklin" w:hAnsi="Libre Franklin"/>
          <w:b/>
          <w:bCs/>
        </w:rPr>
      </w:pPr>
    </w:p>
    <w:p w14:paraId="725C1D45" w14:textId="4BF91451" w:rsidR="00BC3FE6" w:rsidRDefault="00BC3FE6" w:rsidP="00BC3FE6">
      <w:pPr>
        <w:jc w:val="both"/>
        <w:rPr>
          <w:rFonts w:ascii="Libre Franklin" w:hAnsi="Libre Franklin"/>
          <w:b/>
          <w:bCs/>
        </w:rPr>
      </w:pPr>
      <w:r w:rsidRPr="00BC3FE6">
        <w:rPr>
          <w:rFonts w:ascii="Libre Franklin" w:hAnsi="Libre Franklin"/>
          <w:b/>
          <w:bCs/>
        </w:rPr>
        <w:lastRenderedPageBreak/>
        <w:t>Anexos</w:t>
      </w:r>
    </w:p>
    <w:p w14:paraId="32FEC883" w14:textId="4E630A0C" w:rsidR="00BC3FE6" w:rsidRDefault="00BC3FE6" w:rsidP="00BC3FE6">
      <w:pPr>
        <w:jc w:val="both"/>
        <w:rPr>
          <w:rFonts w:ascii="Libre Franklin" w:hAnsi="Libre Franklin"/>
        </w:rPr>
      </w:pPr>
      <w:r>
        <w:rPr>
          <w:rFonts w:ascii="Libre Franklin" w:hAnsi="Libre Franklin"/>
        </w:rPr>
        <w:t>Impulso respuesta de los modelos estimados con inflación total</w:t>
      </w:r>
    </w:p>
    <w:p w14:paraId="3F9F36A0" w14:textId="2DD70F89" w:rsidR="00BC3FE6" w:rsidRDefault="00BC3FE6" w:rsidP="00BC3FE6">
      <w:pPr>
        <w:jc w:val="both"/>
        <w:rPr>
          <w:rFonts w:ascii="Libre Franklin" w:hAnsi="Libre Franklin"/>
        </w:rPr>
      </w:pPr>
      <w:r>
        <w:rPr>
          <w:noProof/>
        </w:rPr>
        <w:drawing>
          <wp:inline distT="0" distB="0" distL="0" distR="0" wp14:anchorId="4952343F" wp14:editId="18FBAC5F">
            <wp:extent cx="5612130" cy="4489450"/>
            <wp:effectExtent l="0" t="0" r="7620" b="6350"/>
            <wp:docPr id="13588278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4489450"/>
                    </a:xfrm>
                    <a:prstGeom prst="rect">
                      <a:avLst/>
                    </a:prstGeom>
                    <a:noFill/>
                    <a:ln>
                      <a:noFill/>
                    </a:ln>
                  </pic:spPr>
                </pic:pic>
              </a:graphicData>
            </a:graphic>
          </wp:inline>
        </w:drawing>
      </w:r>
    </w:p>
    <w:p w14:paraId="69C3D0DA" w14:textId="77777777" w:rsidR="00BC3FE6" w:rsidRDefault="00BC3FE6" w:rsidP="00BC3FE6">
      <w:pPr>
        <w:jc w:val="both"/>
        <w:rPr>
          <w:rFonts w:ascii="Libre Franklin" w:hAnsi="Libre Franklin"/>
        </w:rPr>
      </w:pPr>
    </w:p>
    <w:p w14:paraId="095018AD" w14:textId="77777777" w:rsidR="00BC3FE6" w:rsidRDefault="00BC3FE6" w:rsidP="00BC3FE6">
      <w:pPr>
        <w:jc w:val="both"/>
        <w:rPr>
          <w:rFonts w:ascii="Libre Franklin" w:hAnsi="Libre Franklin"/>
        </w:rPr>
      </w:pPr>
    </w:p>
    <w:p w14:paraId="0D625AFE" w14:textId="77777777" w:rsidR="00BC3FE6" w:rsidRDefault="00BC3FE6" w:rsidP="00BC3FE6">
      <w:pPr>
        <w:jc w:val="both"/>
        <w:rPr>
          <w:rFonts w:ascii="Libre Franklin" w:hAnsi="Libre Franklin"/>
        </w:rPr>
      </w:pPr>
    </w:p>
    <w:p w14:paraId="49F4FB65" w14:textId="77777777" w:rsidR="00BC3FE6" w:rsidRDefault="00BC3FE6" w:rsidP="00BC3FE6">
      <w:pPr>
        <w:jc w:val="both"/>
        <w:rPr>
          <w:rFonts w:ascii="Libre Franklin" w:hAnsi="Libre Franklin"/>
        </w:rPr>
      </w:pPr>
    </w:p>
    <w:p w14:paraId="51FF53B0" w14:textId="77777777" w:rsidR="00BC3FE6" w:rsidRDefault="00BC3FE6" w:rsidP="00BC3FE6">
      <w:pPr>
        <w:jc w:val="both"/>
        <w:rPr>
          <w:rFonts w:ascii="Libre Franklin" w:hAnsi="Libre Franklin"/>
        </w:rPr>
      </w:pPr>
    </w:p>
    <w:p w14:paraId="1826F4E9" w14:textId="77777777" w:rsidR="00BC3FE6" w:rsidRDefault="00BC3FE6" w:rsidP="00BC3FE6">
      <w:pPr>
        <w:jc w:val="both"/>
        <w:rPr>
          <w:rFonts w:ascii="Libre Franklin" w:hAnsi="Libre Franklin"/>
        </w:rPr>
      </w:pPr>
    </w:p>
    <w:p w14:paraId="51E48CEC" w14:textId="77777777" w:rsidR="00BC3FE6" w:rsidRDefault="00BC3FE6" w:rsidP="00BC3FE6">
      <w:pPr>
        <w:jc w:val="both"/>
        <w:rPr>
          <w:rFonts w:ascii="Libre Franklin" w:hAnsi="Libre Franklin"/>
        </w:rPr>
      </w:pPr>
    </w:p>
    <w:p w14:paraId="2367747E" w14:textId="77777777" w:rsidR="00BC3FE6" w:rsidRDefault="00BC3FE6" w:rsidP="00BC3FE6">
      <w:pPr>
        <w:jc w:val="both"/>
        <w:rPr>
          <w:rFonts w:ascii="Libre Franklin" w:hAnsi="Libre Franklin"/>
        </w:rPr>
      </w:pPr>
    </w:p>
    <w:p w14:paraId="631209CD" w14:textId="77777777" w:rsidR="00BC3FE6" w:rsidRDefault="00BC3FE6" w:rsidP="00BC3FE6">
      <w:pPr>
        <w:jc w:val="both"/>
        <w:rPr>
          <w:rFonts w:ascii="Libre Franklin" w:hAnsi="Libre Franklin"/>
        </w:rPr>
      </w:pPr>
    </w:p>
    <w:p w14:paraId="46691B91" w14:textId="7A410FFF" w:rsidR="00BC3FE6" w:rsidRDefault="00BC3FE6" w:rsidP="00BC3FE6">
      <w:pPr>
        <w:jc w:val="both"/>
        <w:rPr>
          <w:rFonts w:ascii="Libre Franklin" w:hAnsi="Libre Franklin"/>
        </w:rPr>
      </w:pPr>
      <w:r>
        <w:rPr>
          <w:rFonts w:ascii="Libre Franklin" w:hAnsi="Libre Franklin"/>
        </w:rPr>
        <w:lastRenderedPageBreak/>
        <w:t xml:space="preserve">Simulaciones </w:t>
      </w:r>
      <w:r>
        <w:rPr>
          <w:rFonts w:ascii="Libre Franklin" w:hAnsi="Libre Franklin"/>
        </w:rPr>
        <w:t>de los modelos estimados con inflación total</w:t>
      </w:r>
    </w:p>
    <w:p w14:paraId="31BE1A74" w14:textId="58CCA434" w:rsidR="00BC3FE6" w:rsidRDefault="00BC3FE6" w:rsidP="00BC3FE6">
      <w:pPr>
        <w:jc w:val="both"/>
        <w:rPr>
          <w:rFonts w:ascii="Libre Franklin" w:hAnsi="Libre Franklin"/>
        </w:rPr>
      </w:pPr>
      <w:r>
        <w:rPr>
          <w:noProof/>
        </w:rPr>
        <w:drawing>
          <wp:inline distT="0" distB="0" distL="0" distR="0" wp14:anchorId="555C5F7E" wp14:editId="66A31223">
            <wp:extent cx="5612130" cy="3741420"/>
            <wp:effectExtent l="0" t="0" r="7620" b="0"/>
            <wp:docPr id="1513173148" name="Imagen 2"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173148" name="Imagen 2" descr="Gráfico, Histogram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p>
    <w:p w14:paraId="44512BB3" w14:textId="01A6EB50" w:rsidR="00BC3FE6" w:rsidRDefault="00BC3FE6" w:rsidP="00BC3FE6">
      <w:pPr>
        <w:jc w:val="both"/>
        <w:rPr>
          <w:rFonts w:ascii="Libre Franklin" w:hAnsi="Libre Franklin"/>
        </w:rPr>
      </w:pPr>
    </w:p>
    <w:p w14:paraId="7C47F5F6" w14:textId="77777777" w:rsidR="00BC3FE6" w:rsidRDefault="00BC3FE6" w:rsidP="00BC3FE6">
      <w:pPr>
        <w:jc w:val="both"/>
        <w:rPr>
          <w:rFonts w:ascii="Libre Franklin" w:hAnsi="Libre Franklin"/>
        </w:rPr>
      </w:pPr>
    </w:p>
    <w:p w14:paraId="645CC28A" w14:textId="77777777" w:rsidR="00BC3FE6" w:rsidRDefault="00BC3FE6" w:rsidP="00BC3FE6">
      <w:pPr>
        <w:jc w:val="both"/>
        <w:rPr>
          <w:rFonts w:ascii="Libre Franklin" w:hAnsi="Libre Franklin"/>
        </w:rPr>
      </w:pPr>
    </w:p>
    <w:p w14:paraId="7A77D116" w14:textId="77777777" w:rsidR="00BC3FE6" w:rsidRDefault="00BC3FE6" w:rsidP="00BC3FE6">
      <w:pPr>
        <w:jc w:val="both"/>
        <w:rPr>
          <w:rFonts w:ascii="Libre Franklin" w:hAnsi="Libre Franklin"/>
        </w:rPr>
      </w:pPr>
    </w:p>
    <w:p w14:paraId="663255B9" w14:textId="77777777" w:rsidR="00BC3FE6" w:rsidRDefault="00BC3FE6" w:rsidP="00BC3FE6">
      <w:pPr>
        <w:jc w:val="both"/>
        <w:rPr>
          <w:rFonts w:ascii="Libre Franklin" w:hAnsi="Libre Franklin"/>
        </w:rPr>
      </w:pPr>
    </w:p>
    <w:p w14:paraId="50AA191B" w14:textId="77777777" w:rsidR="00BC3FE6" w:rsidRDefault="00BC3FE6" w:rsidP="00BC3FE6">
      <w:pPr>
        <w:jc w:val="both"/>
        <w:rPr>
          <w:rFonts w:ascii="Libre Franklin" w:hAnsi="Libre Franklin"/>
        </w:rPr>
      </w:pPr>
    </w:p>
    <w:p w14:paraId="06997DD4" w14:textId="77777777" w:rsidR="00BC3FE6" w:rsidRDefault="00BC3FE6" w:rsidP="00BC3FE6">
      <w:pPr>
        <w:jc w:val="both"/>
        <w:rPr>
          <w:rFonts w:ascii="Libre Franklin" w:hAnsi="Libre Franklin"/>
        </w:rPr>
      </w:pPr>
    </w:p>
    <w:p w14:paraId="589B3CA8" w14:textId="77777777" w:rsidR="00BC3FE6" w:rsidRDefault="00BC3FE6" w:rsidP="00BC3FE6">
      <w:pPr>
        <w:jc w:val="both"/>
        <w:rPr>
          <w:rFonts w:ascii="Libre Franklin" w:hAnsi="Libre Franklin"/>
        </w:rPr>
      </w:pPr>
    </w:p>
    <w:p w14:paraId="113E0216" w14:textId="77777777" w:rsidR="00BC3FE6" w:rsidRDefault="00BC3FE6" w:rsidP="00BC3FE6">
      <w:pPr>
        <w:jc w:val="both"/>
        <w:rPr>
          <w:rFonts w:ascii="Libre Franklin" w:hAnsi="Libre Franklin"/>
        </w:rPr>
      </w:pPr>
    </w:p>
    <w:p w14:paraId="29278B37" w14:textId="77777777" w:rsidR="00BC3FE6" w:rsidRDefault="00BC3FE6" w:rsidP="00BC3FE6">
      <w:pPr>
        <w:jc w:val="both"/>
        <w:rPr>
          <w:rFonts w:ascii="Libre Franklin" w:hAnsi="Libre Franklin"/>
        </w:rPr>
      </w:pPr>
    </w:p>
    <w:p w14:paraId="4716688D" w14:textId="77777777" w:rsidR="00BC3FE6" w:rsidRDefault="00BC3FE6" w:rsidP="00BC3FE6">
      <w:pPr>
        <w:jc w:val="both"/>
        <w:rPr>
          <w:rFonts w:ascii="Libre Franklin" w:hAnsi="Libre Franklin"/>
        </w:rPr>
      </w:pPr>
    </w:p>
    <w:p w14:paraId="75650A58" w14:textId="77777777" w:rsidR="00BC3FE6" w:rsidRDefault="00BC3FE6" w:rsidP="00BC3FE6">
      <w:pPr>
        <w:jc w:val="both"/>
        <w:rPr>
          <w:rFonts w:ascii="Libre Franklin" w:hAnsi="Libre Franklin"/>
        </w:rPr>
      </w:pPr>
    </w:p>
    <w:p w14:paraId="0ED8917B" w14:textId="77777777" w:rsidR="00BC3FE6" w:rsidRDefault="00BC3FE6" w:rsidP="00BC3FE6">
      <w:pPr>
        <w:jc w:val="both"/>
        <w:rPr>
          <w:rFonts w:ascii="Libre Franklin" w:hAnsi="Libre Franklin"/>
        </w:rPr>
      </w:pPr>
    </w:p>
    <w:p w14:paraId="22533B57" w14:textId="1CCFD152" w:rsidR="00BC3FE6" w:rsidRDefault="00BC3FE6" w:rsidP="00BC3FE6">
      <w:pPr>
        <w:jc w:val="both"/>
        <w:rPr>
          <w:rFonts w:ascii="Libre Franklin" w:hAnsi="Libre Franklin"/>
        </w:rPr>
      </w:pPr>
      <w:r>
        <w:rPr>
          <w:rFonts w:ascii="Libre Franklin" w:hAnsi="Libre Franklin"/>
        </w:rPr>
        <w:lastRenderedPageBreak/>
        <w:t>Impulso respuesta de los modelos estimados con media ponderada</w:t>
      </w:r>
    </w:p>
    <w:p w14:paraId="424469F4" w14:textId="7C984585" w:rsidR="00BC3FE6" w:rsidRDefault="00BC3FE6" w:rsidP="00BC3FE6">
      <w:pPr>
        <w:jc w:val="both"/>
        <w:rPr>
          <w:rFonts w:ascii="Libre Franklin" w:hAnsi="Libre Franklin"/>
        </w:rPr>
      </w:pPr>
      <w:r>
        <w:rPr>
          <w:noProof/>
        </w:rPr>
        <w:drawing>
          <wp:inline distT="0" distB="0" distL="0" distR="0" wp14:anchorId="63EE62DB" wp14:editId="1B7B5CC8">
            <wp:extent cx="5612130" cy="4676775"/>
            <wp:effectExtent l="0" t="0" r="7620" b="9525"/>
            <wp:docPr id="522886338" name="Imagen 3"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886338" name="Imagen 3" descr="Diagrama&#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4676775"/>
                    </a:xfrm>
                    <a:prstGeom prst="rect">
                      <a:avLst/>
                    </a:prstGeom>
                    <a:noFill/>
                    <a:ln>
                      <a:noFill/>
                    </a:ln>
                  </pic:spPr>
                </pic:pic>
              </a:graphicData>
            </a:graphic>
          </wp:inline>
        </w:drawing>
      </w:r>
    </w:p>
    <w:p w14:paraId="58B47A5D" w14:textId="77777777" w:rsidR="00BC3FE6" w:rsidRDefault="00BC3FE6" w:rsidP="00BC3FE6">
      <w:pPr>
        <w:jc w:val="both"/>
        <w:rPr>
          <w:rFonts w:ascii="Libre Franklin" w:hAnsi="Libre Franklin"/>
        </w:rPr>
      </w:pPr>
    </w:p>
    <w:p w14:paraId="56C0C334" w14:textId="77777777" w:rsidR="00BC3FE6" w:rsidRDefault="00BC3FE6" w:rsidP="00BC3FE6">
      <w:pPr>
        <w:jc w:val="both"/>
        <w:rPr>
          <w:rFonts w:ascii="Libre Franklin" w:hAnsi="Libre Franklin"/>
        </w:rPr>
      </w:pPr>
    </w:p>
    <w:p w14:paraId="6C25688B" w14:textId="77777777" w:rsidR="00BC3FE6" w:rsidRDefault="00BC3FE6" w:rsidP="00BC3FE6">
      <w:pPr>
        <w:jc w:val="both"/>
        <w:rPr>
          <w:rFonts w:ascii="Libre Franklin" w:hAnsi="Libre Franklin"/>
        </w:rPr>
      </w:pPr>
    </w:p>
    <w:p w14:paraId="18C30B5D" w14:textId="77777777" w:rsidR="00BC3FE6" w:rsidRDefault="00BC3FE6" w:rsidP="00BC3FE6">
      <w:pPr>
        <w:jc w:val="both"/>
        <w:rPr>
          <w:rFonts w:ascii="Libre Franklin" w:hAnsi="Libre Franklin"/>
        </w:rPr>
      </w:pPr>
    </w:p>
    <w:p w14:paraId="0F609D2F" w14:textId="77777777" w:rsidR="00BC3FE6" w:rsidRDefault="00BC3FE6" w:rsidP="00BC3FE6">
      <w:pPr>
        <w:jc w:val="both"/>
        <w:rPr>
          <w:rFonts w:ascii="Libre Franklin" w:hAnsi="Libre Franklin"/>
        </w:rPr>
      </w:pPr>
    </w:p>
    <w:p w14:paraId="6B5CE5D6" w14:textId="77777777" w:rsidR="00BC3FE6" w:rsidRDefault="00BC3FE6" w:rsidP="00BC3FE6">
      <w:pPr>
        <w:jc w:val="both"/>
        <w:rPr>
          <w:rFonts w:ascii="Libre Franklin" w:hAnsi="Libre Franklin"/>
        </w:rPr>
      </w:pPr>
    </w:p>
    <w:p w14:paraId="67228F24" w14:textId="77777777" w:rsidR="00BC3FE6" w:rsidRDefault="00BC3FE6" w:rsidP="00BC3FE6">
      <w:pPr>
        <w:jc w:val="both"/>
        <w:rPr>
          <w:rFonts w:ascii="Libre Franklin" w:hAnsi="Libre Franklin"/>
        </w:rPr>
      </w:pPr>
    </w:p>
    <w:p w14:paraId="58FB4507" w14:textId="77777777" w:rsidR="00BC3FE6" w:rsidRDefault="00BC3FE6" w:rsidP="00BC3FE6">
      <w:pPr>
        <w:jc w:val="both"/>
        <w:rPr>
          <w:rFonts w:ascii="Libre Franklin" w:hAnsi="Libre Franklin"/>
        </w:rPr>
      </w:pPr>
    </w:p>
    <w:p w14:paraId="5B1B8A0A" w14:textId="77777777" w:rsidR="00BC3FE6" w:rsidRDefault="00BC3FE6" w:rsidP="00BC3FE6">
      <w:pPr>
        <w:jc w:val="both"/>
        <w:rPr>
          <w:rFonts w:ascii="Libre Franklin" w:hAnsi="Libre Franklin"/>
        </w:rPr>
      </w:pPr>
    </w:p>
    <w:p w14:paraId="6323CD1A" w14:textId="77777777" w:rsidR="00BC3FE6" w:rsidRDefault="00BC3FE6" w:rsidP="00BC3FE6">
      <w:pPr>
        <w:jc w:val="both"/>
        <w:rPr>
          <w:rFonts w:ascii="Libre Franklin" w:hAnsi="Libre Franklin"/>
        </w:rPr>
      </w:pPr>
    </w:p>
    <w:p w14:paraId="56570471" w14:textId="05F782CC" w:rsidR="00BC3FE6" w:rsidRDefault="00BC3FE6" w:rsidP="00BC3FE6">
      <w:pPr>
        <w:jc w:val="both"/>
        <w:rPr>
          <w:rFonts w:ascii="Libre Franklin" w:hAnsi="Libre Franklin"/>
        </w:rPr>
      </w:pPr>
      <w:r>
        <w:rPr>
          <w:rFonts w:ascii="Libre Franklin" w:hAnsi="Libre Franklin"/>
        </w:rPr>
        <w:lastRenderedPageBreak/>
        <w:t xml:space="preserve">Simulaciones de los modelos estimados con </w:t>
      </w:r>
      <w:r>
        <w:rPr>
          <w:rFonts w:ascii="Libre Franklin" w:hAnsi="Libre Franklin"/>
        </w:rPr>
        <w:t>media ponderada</w:t>
      </w:r>
    </w:p>
    <w:p w14:paraId="28F2CC8B" w14:textId="159E58E9" w:rsidR="00BC3FE6" w:rsidRDefault="00BC3FE6" w:rsidP="00BC3FE6">
      <w:pPr>
        <w:jc w:val="both"/>
        <w:rPr>
          <w:rFonts w:ascii="Libre Franklin" w:hAnsi="Libre Franklin"/>
        </w:rPr>
      </w:pPr>
      <w:r>
        <w:rPr>
          <w:noProof/>
        </w:rPr>
        <w:drawing>
          <wp:inline distT="0" distB="0" distL="0" distR="0" wp14:anchorId="2F570728" wp14:editId="6B28E8E4">
            <wp:extent cx="5612130" cy="3741420"/>
            <wp:effectExtent l="0" t="0" r="7620" b="0"/>
            <wp:docPr id="1495896691" name="Imagen 4"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896691" name="Imagen 4" descr="Gráfico, Histo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p>
    <w:p w14:paraId="0CF60086" w14:textId="77777777" w:rsidR="00BC3FE6" w:rsidRDefault="00BC3FE6" w:rsidP="00BC3FE6">
      <w:pPr>
        <w:jc w:val="both"/>
        <w:rPr>
          <w:rFonts w:ascii="Libre Franklin" w:hAnsi="Libre Franklin"/>
        </w:rPr>
      </w:pPr>
    </w:p>
    <w:p w14:paraId="1E55DDC4" w14:textId="77777777" w:rsidR="00BC3FE6" w:rsidRDefault="00BC3FE6" w:rsidP="00BC3FE6">
      <w:pPr>
        <w:jc w:val="both"/>
        <w:rPr>
          <w:rFonts w:ascii="Libre Franklin" w:hAnsi="Libre Franklin"/>
        </w:rPr>
      </w:pPr>
    </w:p>
    <w:p w14:paraId="542CEBA9" w14:textId="77777777" w:rsidR="00BC3FE6" w:rsidRDefault="00BC3FE6" w:rsidP="00BC3FE6">
      <w:pPr>
        <w:jc w:val="both"/>
        <w:rPr>
          <w:rFonts w:ascii="Libre Franklin" w:hAnsi="Libre Franklin"/>
        </w:rPr>
      </w:pPr>
    </w:p>
    <w:p w14:paraId="3BBB650F" w14:textId="77777777" w:rsidR="00BC3FE6" w:rsidRDefault="00BC3FE6" w:rsidP="00BC3FE6">
      <w:pPr>
        <w:jc w:val="both"/>
        <w:rPr>
          <w:rFonts w:ascii="Libre Franklin" w:hAnsi="Libre Franklin"/>
        </w:rPr>
      </w:pPr>
    </w:p>
    <w:p w14:paraId="4878E4FE" w14:textId="77777777" w:rsidR="00BC3FE6" w:rsidRDefault="00BC3FE6" w:rsidP="00BC3FE6">
      <w:pPr>
        <w:jc w:val="both"/>
        <w:rPr>
          <w:rFonts w:ascii="Libre Franklin" w:hAnsi="Libre Franklin"/>
        </w:rPr>
      </w:pPr>
    </w:p>
    <w:p w14:paraId="50AA77C4" w14:textId="77777777" w:rsidR="00BC3FE6" w:rsidRDefault="00BC3FE6" w:rsidP="00BC3FE6">
      <w:pPr>
        <w:jc w:val="both"/>
        <w:rPr>
          <w:rFonts w:ascii="Libre Franklin" w:hAnsi="Libre Franklin"/>
        </w:rPr>
      </w:pPr>
    </w:p>
    <w:p w14:paraId="34BED07E" w14:textId="77777777" w:rsidR="00BC3FE6" w:rsidRDefault="00BC3FE6" w:rsidP="00BC3FE6">
      <w:pPr>
        <w:jc w:val="both"/>
        <w:rPr>
          <w:rFonts w:ascii="Libre Franklin" w:hAnsi="Libre Franklin"/>
        </w:rPr>
      </w:pPr>
    </w:p>
    <w:p w14:paraId="20AFA72C" w14:textId="77777777" w:rsidR="00BC3FE6" w:rsidRDefault="00BC3FE6" w:rsidP="00BC3FE6">
      <w:pPr>
        <w:jc w:val="both"/>
        <w:rPr>
          <w:rFonts w:ascii="Libre Franklin" w:hAnsi="Libre Franklin"/>
        </w:rPr>
      </w:pPr>
    </w:p>
    <w:p w14:paraId="41D66340" w14:textId="77777777" w:rsidR="00BC3FE6" w:rsidRDefault="00BC3FE6" w:rsidP="00BC3FE6">
      <w:pPr>
        <w:jc w:val="both"/>
        <w:rPr>
          <w:rFonts w:ascii="Libre Franklin" w:hAnsi="Libre Franklin"/>
        </w:rPr>
      </w:pPr>
    </w:p>
    <w:p w14:paraId="1E4256B1" w14:textId="77777777" w:rsidR="00BC3FE6" w:rsidRDefault="00BC3FE6" w:rsidP="00BC3FE6">
      <w:pPr>
        <w:jc w:val="both"/>
        <w:rPr>
          <w:rFonts w:ascii="Libre Franklin" w:hAnsi="Libre Franklin"/>
        </w:rPr>
      </w:pPr>
    </w:p>
    <w:p w14:paraId="31F7ED82" w14:textId="77777777" w:rsidR="00BC3FE6" w:rsidRDefault="00BC3FE6" w:rsidP="00BC3FE6">
      <w:pPr>
        <w:jc w:val="both"/>
        <w:rPr>
          <w:rFonts w:ascii="Libre Franklin" w:hAnsi="Libre Franklin"/>
        </w:rPr>
      </w:pPr>
    </w:p>
    <w:p w14:paraId="581D35BB" w14:textId="77777777" w:rsidR="00BC3FE6" w:rsidRDefault="00BC3FE6" w:rsidP="00BC3FE6">
      <w:pPr>
        <w:jc w:val="both"/>
        <w:rPr>
          <w:rFonts w:ascii="Libre Franklin" w:hAnsi="Libre Franklin"/>
        </w:rPr>
      </w:pPr>
    </w:p>
    <w:p w14:paraId="05C91A5B" w14:textId="77777777" w:rsidR="00BC3FE6" w:rsidRDefault="00BC3FE6" w:rsidP="00BC3FE6">
      <w:pPr>
        <w:jc w:val="both"/>
        <w:rPr>
          <w:rFonts w:ascii="Libre Franklin" w:hAnsi="Libre Franklin"/>
        </w:rPr>
      </w:pPr>
    </w:p>
    <w:p w14:paraId="3C951E10" w14:textId="0FDF2C55" w:rsidR="00BC3FE6" w:rsidRDefault="00BC3FE6" w:rsidP="00BC3FE6">
      <w:pPr>
        <w:jc w:val="both"/>
        <w:rPr>
          <w:rFonts w:ascii="Libre Franklin" w:hAnsi="Libre Franklin"/>
        </w:rPr>
      </w:pPr>
      <w:r>
        <w:rPr>
          <w:rFonts w:ascii="Libre Franklin" w:hAnsi="Libre Franklin"/>
        </w:rPr>
        <w:lastRenderedPageBreak/>
        <w:t xml:space="preserve">Impulso respuesta de los modelos estimados con </w:t>
      </w:r>
      <w:r>
        <w:rPr>
          <w:rFonts w:ascii="Libre Franklin" w:hAnsi="Libre Franklin"/>
        </w:rPr>
        <w:t>inflación subyacente optima MSE</w:t>
      </w:r>
    </w:p>
    <w:p w14:paraId="4693FD67" w14:textId="0AF2E685" w:rsidR="00BC3FE6" w:rsidRDefault="00BC3FE6" w:rsidP="00BC3FE6">
      <w:pPr>
        <w:jc w:val="both"/>
        <w:rPr>
          <w:rFonts w:ascii="Libre Franklin" w:hAnsi="Libre Franklin"/>
        </w:rPr>
      </w:pPr>
      <w:r>
        <w:rPr>
          <w:noProof/>
        </w:rPr>
        <w:drawing>
          <wp:inline distT="0" distB="0" distL="0" distR="0" wp14:anchorId="3186EFD5" wp14:editId="565A8EE6">
            <wp:extent cx="5612130" cy="4676775"/>
            <wp:effectExtent l="0" t="0" r="7620" b="9525"/>
            <wp:docPr id="1374734273" name="Imagen 5"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34273" name="Imagen 5" descr="Diagrama&#10;&#10;El contenido generado por IA puede ser incorrec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4676775"/>
                    </a:xfrm>
                    <a:prstGeom prst="rect">
                      <a:avLst/>
                    </a:prstGeom>
                    <a:noFill/>
                    <a:ln>
                      <a:noFill/>
                    </a:ln>
                  </pic:spPr>
                </pic:pic>
              </a:graphicData>
            </a:graphic>
          </wp:inline>
        </w:drawing>
      </w:r>
    </w:p>
    <w:p w14:paraId="47656C3B" w14:textId="77777777" w:rsidR="00BC3FE6" w:rsidRDefault="00BC3FE6" w:rsidP="00BC3FE6">
      <w:pPr>
        <w:jc w:val="both"/>
        <w:rPr>
          <w:rFonts w:ascii="Libre Franklin" w:hAnsi="Libre Franklin"/>
        </w:rPr>
      </w:pPr>
    </w:p>
    <w:p w14:paraId="71BB8507" w14:textId="77777777" w:rsidR="00BC3FE6" w:rsidRDefault="00BC3FE6" w:rsidP="00BC3FE6">
      <w:pPr>
        <w:jc w:val="both"/>
        <w:rPr>
          <w:rFonts w:ascii="Libre Franklin" w:hAnsi="Libre Franklin"/>
        </w:rPr>
      </w:pPr>
    </w:p>
    <w:p w14:paraId="7E5E2FC9" w14:textId="77777777" w:rsidR="00BC3FE6" w:rsidRDefault="00BC3FE6" w:rsidP="00BC3FE6">
      <w:pPr>
        <w:jc w:val="both"/>
        <w:rPr>
          <w:rFonts w:ascii="Libre Franklin" w:hAnsi="Libre Franklin"/>
        </w:rPr>
      </w:pPr>
    </w:p>
    <w:p w14:paraId="2F8FC298" w14:textId="77777777" w:rsidR="00BC3FE6" w:rsidRDefault="00BC3FE6" w:rsidP="00BC3FE6">
      <w:pPr>
        <w:jc w:val="both"/>
        <w:rPr>
          <w:rFonts w:ascii="Libre Franklin" w:hAnsi="Libre Franklin"/>
        </w:rPr>
      </w:pPr>
    </w:p>
    <w:p w14:paraId="7711765D" w14:textId="77777777" w:rsidR="00BC3FE6" w:rsidRDefault="00BC3FE6" w:rsidP="00BC3FE6">
      <w:pPr>
        <w:jc w:val="both"/>
        <w:rPr>
          <w:rFonts w:ascii="Libre Franklin" w:hAnsi="Libre Franklin"/>
        </w:rPr>
      </w:pPr>
    </w:p>
    <w:p w14:paraId="5B359817" w14:textId="77777777" w:rsidR="00BC3FE6" w:rsidRDefault="00BC3FE6" w:rsidP="00BC3FE6">
      <w:pPr>
        <w:jc w:val="both"/>
        <w:rPr>
          <w:rFonts w:ascii="Libre Franklin" w:hAnsi="Libre Franklin"/>
        </w:rPr>
      </w:pPr>
    </w:p>
    <w:p w14:paraId="750F5BBE" w14:textId="77777777" w:rsidR="00BC3FE6" w:rsidRDefault="00BC3FE6" w:rsidP="00BC3FE6">
      <w:pPr>
        <w:jc w:val="both"/>
        <w:rPr>
          <w:rFonts w:ascii="Libre Franklin" w:hAnsi="Libre Franklin"/>
        </w:rPr>
      </w:pPr>
    </w:p>
    <w:p w14:paraId="438DFF82" w14:textId="77777777" w:rsidR="00BC3FE6" w:rsidRDefault="00BC3FE6" w:rsidP="00BC3FE6">
      <w:pPr>
        <w:jc w:val="both"/>
        <w:rPr>
          <w:rFonts w:ascii="Libre Franklin" w:hAnsi="Libre Franklin"/>
        </w:rPr>
      </w:pPr>
    </w:p>
    <w:p w14:paraId="653A7E2E" w14:textId="77777777" w:rsidR="00BC3FE6" w:rsidRDefault="00BC3FE6" w:rsidP="00BC3FE6">
      <w:pPr>
        <w:jc w:val="both"/>
        <w:rPr>
          <w:rFonts w:ascii="Libre Franklin" w:hAnsi="Libre Franklin"/>
        </w:rPr>
      </w:pPr>
    </w:p>
    <w:p w14:paraId="6B46A01A" w14:textId="635A9AAD" w:rsidR="00BC3FE6" w:rsidRDefault="00BC3FE6" w:rsidP="00BC3FE6">
      <w:pPr>
        <w:jc w:val="both"/>
        <w:rPr>
          <w:rFonts w:ascii="Libre Franklin" w:hAnsi="Libre Franklin"/>
        </w:rPr>
      </w:pPr>
      <w:r>
        <w:rPr>
          <w:rFonts w:ascii="Libre Franklin" w:hAnsi="Libre Franklin"/>
        </w:rPr>
        <w:lastRenderedPageBreak/>
        <w:t xml:space="preserve">Simulaciones de los modelos estimados con </w:t>
      </w:r>
      <w:r>
        <w:rPr>
          <w:rFonts w:ascii="Libre Franklin" w:hAnsi="Libre Franklin"/>
        </w:rPr>
        <w:t>inflación subyacente optima MSE</w:t>
      </w:r>
    </w:p>
    <w:p w14:paraId="07D48E53" w14:textId="088DEA5D" w:rsidR="00BC3FE6" w:rsidRDefault="00BC3FE6" w:rsidP="00BC3FE6">
      <w:pPr>
        <w:jc w:val="both"/>
        <w:rPr>
          <w:rFonts w:ascii="Libre Franklin" w:hAnsi="Libre Franklin"/>
        </w:rPr>
      </w:pPr>
      <w:r>
        <w:rPr>
          <w:noProof/>
        </w:rPr>
        <w:drawing>
          <wp:inline distT="0" distB="0" distL="0" distR="0" wp14:anchorId="3977693F" wp14:editId="0DFDA2C8">
            <wp:extent cx="5612130" cy="3741420"/>
            <wp:effectExtent l="0" t="0" r="7620" b="0"/>
            <wp:docPr id="1061241826" name="Imagen 6" descr="Gráfico, Histo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241826" name="Imagen 6" descr="Gráfico, Histograma&#10;&#10;El contenido generado por IA puede ser incorrec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3741420"/>
                    </a:xfrm>
                    <a:prstGeom prst="rect">
                      <a:avLst/>
                    </a:prstGeom>
                    <a:noFill/>
                    <a:ln>
                      <a:noFill/>
                    </a:ln>
                  </pic:spPr>
                </pic:pic>
              </a:graphicData>
            </a:graphic>
          </wp:inline>
        </w:drawing>
      </w:r>
    </w:p>
    <w:p w14:paraId="0D5AB10B" w14:textId="77777777" w:rsidR="00BC3FE6" w:rsidRPr="00BC3FE6" w:rsidRDefault="00BC3FE6" w:rsidP="00BC3FE6">
      <w:pPr>
        <w:jc w:val="both"/>
        <w:rPr>
          <w:rFonts w:ascii="Libre Franklin" w:hAnsi="Libre Franklin"/>
        </w:rPr>
      </w:pPr>
    </w:p>
    <w:sectPr w:rsidR="00BC3FE6" w:rsidRPr="00BC3FE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18C7E7" w14:textId="77777777" w:rsidR="00940CC1" w:rsidRDefault="00940CC1" w:rsidP="00403AA0">
      <w:pPr>
        <w:spacing w:after="0" w:line="240" w:lineRule="auto"/>
      </w:pPr>
      <w:r>
        <w:separator/>
      </w:r>
    </w:p>
  </w:endnote>
  <w:endnote w:type="continuationSeparator" w:id="0">
    <w:p w14:paraId="18FB57F2" w14:textId="77777777" w:rsidR="00940CC1" w:rsidRDefault="00940CC1" w:rsidP="00403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re Franklin">
    <w:panose1 w:val="00000000000000000000"/>
    <w:charset w:val="00"/>
    <w:family w:val="auto"/>
    <w:pitch w:val="variable"/>
    <w:sig w:usb0="A00002FF" w:usb1="4000205B" w:usb2="00000000" w:usb3="00000000" w:csb0="00000197"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6B2C39" w14:textId="77777777" w:rsidR="00940CC1" w:rsidRDefault="00940CC1" w:rsidP="00403AA0">
      <w:pPr>
        <w:spacing w:after="0" w:line="240" w:lineRule="auto"/>
      </w:pPr>
      <w:r>
        <w:separator/>
      </w:r>
    </w:p>
  </w:footnote>
  <w:footnote w:type="continuationSeparator" w:id="0">
    <w:p w14:paraId="01EEE247" w14:textId="77777777" w:rsidR="00940CC1" w:rsidRDefault="00940CC1" w:rsidP="00403AA0">
      <w:pPr>
        <w:spacing w:after="0" w:line="240" w:lineRule="auto"/>
      </w:pPr>
      <w:r>
        <w:continuationSeparator/>
      </w:r>
    </w:p>
  </w:footnote>
  <w:footnote w:id="1">
    <w:p w14:paraId="18E078D1" w14:textId="701D5418" w:rsidR="00403AA0" w:rsidRDefault="00403AA0">
      <w:pPr>
        <w:pStyle w:val="Textonotapie"/>
      </w:pPr>
      <w:r>
        <w:rPr>
          <w:rStyle w:val="Refdenotaalpie"/>
        </w:rPr>
        <w:footnoteRef/>
      </w:r>
      <w:r>
        <w:t xml:space="preserve"> </w:t>
      </w:r>
      <w:proofErr w:type="spellStart"/>
      <w:r w:rsidR="00EC7E33">
        <w:rPr>
          <w:rFonts w:ascii="Libre Franklin" w:hAnsi="Libre Franklin"/>
        </w:rPr>
        <w:t>Belke</w:t>
      </w:r>
      <w:proofErr w:type="spellEnd"/>
      <w:r w:rsidR="00EC7E33">
        <w:rPr>
          <w:rFonts w:ascii="Libre Franklin" w:hAnsi="Libre Franklin"/>
        </w:rPr>
        <w:t xml:space="preserve">, </w:t>
      </w:r>
      <w:proofErr w:type="spellStart"/>
      <w:r w:rsidR="00EC7E33">
        <w:rPr>
          <w:rFonts w:ascii="Libre Franklin" w:hAnsi="Libre Franklin"/>
        </w:rPr>
        <w:t>Ansgar</w:t>
      </w:r>
      <w:proofErr w:type="spellEnd"/>
      <w:r w:rsidR="00EC7E33">
        <w:rPr>
          <w:rFonts w:ascii="Libre Franklin" w:hAnsi="Libre Franklin"/>
        </w:rPr>
        <w:t xml:space="preserve"> </w:t>
      </w:r>
      <w:proofErr w:type="spellStart"/>
      <w:r w:rsidR="00EC7E33">
        <w:rPr>
          <w:rFonts w:ascii="Libre Franklin" w:hAnsi="Libre Franklin"/>
        </w:rPr>
        <w:t>Böing</w:t>
      </w:r>
      <w:proofErr w:type="spellEnd"/>
      <w:r w:rsidR="00EC7E33">
        <w:rPr>
          <w:rFonts w:ascii="Libre Franklin" w:hAnsi="Libre Franklin"/>
        </w:rPr>
        <w:t xml:space="preserve"> y </w:t>
      </w:r>
      <w:proofErr w:type="spellStart"/>
      <w:r w:rsidR="00EC7E33">
        <w:rPr>
          <w:rFonts w:ascii="Libre Franklin" w:hAnsi="Libre Franklin"/>
        </w:rPr>
        <w:t>Tobias</w:t>
      </w:r>
      <w:proofErr w:type="spellEnd"/>
      <w:r w:rsidR="00EC7E33">
        <w:rPr>
          <w:rFonts w:ascii="Libre Franklin" w:hAnsi="Libre Franklin"/>
        </w:rPr>
        <w:t xml:space="preserve"> muestran sus resultados con un VAR de orden 4</w:t>
      </w:r>
    </w:p>
  </w:footnote>
  <w:footnote w:id="2">
    <w:p w14:paraId="5D980302" w14:textId="173F486D" w:rsidR="00EC7E33" w:rsidRDefault="00EC7E33">
      <w:pPr>
        <w:pStyle w:val="Textonotapie"/>
      </w:pPr>
      <w:r>
        <w:rPr>
          <w:rStyle w:val="Refdenotaalpie"/>
        </w:rPr>
        <w:footnoteRef/>
      </w:r>
      <w:r>
        <w:t xml:space="preserve"> En términos más intuitivos se puede decir que el coeficiente de sacrificio es una elasticidad.</w:t>
      </w:r>
    </w:p>
  </w:footnote>
  <w:footnote w:id="3">
    <w:p w14:paraId="2BB41616" w14:textId="56FAB2C7" w:rsidR="004B5DDC" w:rsidRDefault="004B5DDC">
      <w:pPr>
        <w:pStyle w:val="Textonotapie"/>
      </w:pPr>
      <w:r>
        <w:rPr>
          <w:rStyle w:val="Refdenotaalpie"/>
        </w:rPr>
        <w:footnoteRef/>
      </w:r>
      <w:r>
        <w:t xml:space="preserve"> Notar como la definición está propuesta para un VAR de orden 1. </w:t>
      </w:r>
      <w:r>
        <w:rPr>
          <w:rFonts w:ascii="Libre Franklin" w:hAnsi="Libre Franklin"/>
        </w:rPr>
        <w:t>(</w:t>
      </w:r>
      <w:proofErr w:type="spellStart"/>
      <w:r>
        <w:rPr>
          <w:rFonts w:ascii="Libre Franklin" w:hAnsi="Libre Franklin"/>
        </w:rPr>
        <w:t>Belke</w:t>
      </w:r>
      <w:proofErr w:type="spellEnd"/>
      <w:r>
        <w:rPr>
          <w:rFonts w:ascii="Libre Franklin" w:hAnsi="Libre Franklin"/>
        </w:rPr>
        <w:t xml:space="preserve">, </w:t>
      </w:r>
      <w:proofErr w:type="spellStart"/>
      <w:r>
        <w:rPr>
          <w:rFonts w:ascii="Libre Franklin" w:hAnsi="Libre Franklin"/>
        </w:rPr>
        <w:t>Ansgar</w:t>
      </w:r>
      <w:proofErr w:type="spellEnd"/>
      <w:r>
        <w:rPr>
          <w:rFonts w:ascii="Libre Franklin" w:hAnsi="Libre Franklin"/>
        </w:rPr>
        <w:t xml:space="preserve"> </w:t>
      </w:r>
      <w:proofErr w:type="spellStart"/>
      <w:r>
        <w:rPr>
          <w:rFonts w:ascii="Libre Franklin" w:hAnsi="Libre Franklin"/>
        </w:rPr>
        <w:t>Böing</w:t>
      </w:r>
      <w:proofErr w:type="spellEnd"/>
      <w:r>
        <w:rPr>
          <w:rFonts w:ascii="Libre Franklin" w:hAnsi="Libre Franklin"/>
        </w:rPr>
        <w:t xml:space="preserve"> y </w:t>
      </w:r>
      <w:proofErr w:type="spellStart"/>
      <w:r>
        <w:rPr>
          <w:rFonts w:ascii="Libre Franklin" w:hAnsi="Libre Franklin"/>
        </w:rPr>
        <w:t>Tobias</w:t>
      </w:r>
      <w:proofErr w:type="spellEnd"/>
      <w:r>
        <w:rPr>
          <w:rFonts w:ascii="Libre Franklin" w:hAnsi="Libre Franklin"/>
        </w:rPr>
        <w:t xml:space="preserve"> 2007)</w:t>
      </w:r>
      <w:r>
        <w:rPr>
          <w:rFonts w:ascii="Libre Franklin" w:hAnsi="Libre Franklin"/>
        </w:rPr>
        <w:t xml:space="preserve"> proponen la especificación para un VAR de orden superior</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210D8"/>
    <w:multiLevelType w:val="hybridMultilevel"/>
    <w:tmpl w:val="DE04F3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87004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F"/>
    <w:rsid w:val="00205FEC"/>
    <w:rsid w:val="00403AA0"/>
    <w:rsid w:val="004B5DDC"/>
    <w:rsid w:val="007D6E55"/>
    <w:rsid w:val="0087372E"/>
    <w:rsid w:val="008D4C42"/>
    <w:rsid w:val="00940CC1"/>
    <w:rsid w:val="00A150AC"/>
    <w:rsid w:val="00B016F6"/>
    <w:rsid w:val="00BC3FE6"/>
    <w:rsid w:val="00C81340"/>
    <w:rsid w:val="00D616A3"/>
    <w:rsid w:val="00EC7E33"/>
    <w:rsid w:val="00ED5B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337D1"/>
  <w15:chartTrackingRefBased/>
  <w15:docId w15:val="{9AAC69AA-C39E-4548-AEA5-196B44A0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5B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5B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5BE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5BE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5BE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5BE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5BE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5BE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5BE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5BE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5BE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5BE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5BE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5BE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5BE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5BE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5BE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5BEF"/>
    <w:rPr>
      <w:rFonts w:eastAsiaTheme="majorEastAsia" w:cstheme="majorBidi"/>
      <w:color w:val="272727" w:themeColor="text1" w:themeTint="D8"/>
    </w:rPr>
  </w:style>
  <w:style w:type="paragraph" w:styleId="Ttulo">
    <w:name w:val="Title"/>
    <w:basedOn w:val="Normal"/>
    <w:next w:val="Normal"/>
    <w:link w:val="TtuloCar"/>
    <w:uiPriority w:val="10"/>
    <w:qFormat/>
    <w:rsid w:val="00ED5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5BE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5BE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5BE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5BEF"/>
    <w:pPr>
      <w:spacing w:before="160"/>
      <w:jc w:val="center"/>
    </w:pPr>
    <w:rPr>
      <w:i/>
      <w:iCs/>
      <w:color w:val="404040" w:themeColor="text1" w:themeTint="BF"/>
    </w:rPr>
  </w:style>
  <w:style w:type="character" w:customStyle="1" w:styleId="CitaCar">
    <w:name w:val="Cita Car"/>
    <w:basedOn w:val="Fuentedeprrafopredeter"/>
    <w:link w:val="Cita"/>
    <w:uiPriority w:val="29"/>
    <w:rsid w:val="00ED5BEF"/>
    <w:rPr>
      <w:i/>
      <w:iCs/>
      <w:color w:val="404040" w:themeColor="text1" w:themeTint="BF"/>
    </w:rPr>
  </w:style>
  <w:style w:type="paragraph" w:styleId="Prrafodelista">
    <w:name w:val="List Paragraph"/>
    <w:basedOn w:val="Normal"/>
    <w:uiPriority w:val="34"/>
    <w:qFormat/>
    <w:rsid w:val="00ED5BEF"/>
    <w:pPr>
      <w:ind w:left="720"/>
      <w:contextualSpacing/>
    </w:pPr>
  </w:style>
  <w:style w:type="character" w:styleId="nfasisintenso">
    <w:name w:val="Intense Emphasis"/>
    <w:basedOn w:val="Fuentedeprrafopredeter"/>
    <w:uiPriority w:val="21"/>
    <w:qFormat/>
    <w:rsid w:val="00ED5BEF"/>
    <w:rPr>
      <w:i/>
      <w:iCs/>
      <w:color w:val="0F4761" w:themeColor="accent1" w:themeShade="BF"/>
    </w:rPr>
  </w:style>
  <w:style w:type="paragraph" w:styleId="Citadestacada">
    <w:name w:val="Intense Quote"/>
    <w:basedOn w:val="Normal"/>
    <w:next w:val="Normal"/>
    <w:link w:val="CitadestacadaCar"/>
    <w:uiPriority w:val="30"/>
    <w:qFormat/>
    <w:rsid w:val="00ED5B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5BEF"/>
    <w:rPr>
      <w:i/>
      <w:iCs/>
      <w:color w:val="0F4761" w:themeColor="accent1" w:themeShade="BF"/>
    </w:rPr>
  </w:style>
  <w:style w:type="character" w:styleId="Referenciaintensa">
    <w:name w:val="Intense Reference"/>
    <w:basedOn w:val="Fuentedeprrafopredeter"/>
    <w:uiPriority w:val="32"/>
    <w:qFormat/>
    <w:rsid w:val="00ED5BEF"/>
    <w:rPr>
      <w:b/>
      <w:bCs/>
      <w:smallCaps/>
      <w:color w:val="0F4761" w:themeColor="accent1" w:themeShade="BF"/>
      <w:spacing w:val="5"/>
    </w:rPr>
  </w:style>
  <w:style w:type="character" w:styleId="Textodelmarcadordeposicin">
    <w:name w:val="Placeholder Text"/>
    <w:basedOn w:val="Fuentedeprrafopredeter"/>
    <w:uiPriority w:val="99"/>
    <w:semiHidden/>
    <w:rsid w:val="00403AA0"/>
    <w:rPr>
      <w:color w:val="666666"/>
    </w:rPr>
  </w:style>
  <w:style w:type="paragraph" w:styleId="Textonotapie">
    <w:name w:val="footnote text"/>
    <w:basedOn w:val="Normal"/>
    <w:link w:val="TextonotapieCar"/>
    <w:uiPriority w:val="99"/>
    <w:semiHidden/>
    <w:unhideWhenUsed/>
    <w:rsid w:val="00403AA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03AA0"/>
    <w:rPr>
      <w:sz w:val="20"/>
      <w:szCs w:val="20"/>
    </w:rPr>
  </w:style>
  <w:style w:type="character" w:styleId="Refdenotaalpie">
    <w:name w:val="footnote reference"/>
    <w:basedOn w:val="Fuentedeprrafopredeter"/>
    <w:uiPriority w:val="99"/>
    <w:semiHidden/>
    <w:unhideWhenUsed/>
    <w:rsid w:val="00403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3619BC-3E41-4E11-899E-FD66F474B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540</Words>
  <Characters>3893</Characters>
  <Application>Microsoft Office Word</Application>
  <DocSecurity>0</DocSecurity>
  <Lines>216</Lines>
  <Paragraphs>119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Orenos</dc:creator>
  <cp:keywords/>
  <dc:description/>
  <cp:lastModifiedBy>Jorge Orenos</cp:lastModifiedBy>
  <cp:revision>1</cp:revision>
  <dcterms:created xsi:type="dcterms:W3CDTF">2025-10-30T19:32:00Z</dcterms:created>
  <dcterms:modified xsi:type="dcterms:W3CDTF">2025-10-30T22:27:00Z</dcterms:modified>
</cp:coreProperties>
</file>