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D0FB6" w14:textId="77777777" w:rsidR="006654A0" w:rsidRDefault="00000000">
      <w:pPr>
        <w:pStyle w:val="Title"/>
        <w:spacing w:after="150"/>
      </w:pPr>
      <w:r>
        <w:t>Plantilla — Historia de Usuario SAP</w:t>
      </w:r>
    </w:p>
    <w:p w14:paraId="1D10639B" w14:textId="77777777" w:rsidR="006654A0" w:rsidRDefault="00000000">
      <w:pPr>
        <w:spacing w:after="300"/>
      </w:pPr>
      <w:r>
        <w:rPr>
          <w:i/>
          <w:iCs/>
        </w:rPr>
        <w:t>Plantilla reutilizable para documentar historias de usuario en proyectos de implementación, evolutivos o soporte SAP. Copia el bloque completo por cada historia nueva.</w:t>
      </w:r>
    </w:p>
    <w:p w14:paraId="18C9E46A" w14:textId="77777777" w:rsidR="006654A0" w:rsidRDefault="00000000">
      <w:pPr>
        <w:pStyle w:val="Heading1"/>
        <w:spacing w:before="300" w:after="150"/>
      </w:pPr>
      <w:r>
        <w:t>1. Encabezado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654A0" w14:paraId="7A092A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144C6557" w14:textId="77777777" w:rsidR="006654A0" w:rsidRDefault="00000000">
            <w:r>
              <w:rPr>
                <w:b/>
                <w:bCs/>
              </w:rPr>
              <w:t>ID</w:t>
            </w:r>
          </w:p>
        </w:tc>
        <w:tc>
          <w:tcPr>
            <w:tcW w:w="6960" w:type="dxa"/>
          </w:tcPr>
          <w:p w14:paraId="51D8823C" w14:textId="77777777" w:rsidR="006654A0" w:rsidRDefault="00000000">
            <w:r>
              <w:rPr>
                <w:i/>
                <w:iCs/>
                <w:color w:val="777777"/>
              </w:rPr>
              <w:t>US-AAAA-###</w:t>
            </w:r>
          </w:p>
        </w:tc>
      </w:tr>
      <w:tr w:rsidR="006654A0" w14:paraId="4278AE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4CB0C0F3" w14:textId="77777777" w:rsidR="006654A0" w:rsidRDefault="00000000">
            <w:r>
              <w:rPr>
                <w:b/>
                <w:bCs/>
              </w:rPr>
              <w:t>Título</w:t>
            </w:r>
          </w:p>
        </w:tc>
        <w:tc>
          <w:tcPr>
            <w:tcW w:w="6960" w:type="dxa"/>
          </w:tcPr>
          <w:p w14:paraId="33E710B5" w14:textId="77777777" w:rsidR="006654A0" w:rsidRDefault="00000000">
            <w:r>
              <w:rPr>
                <w:i/>
                <w:iCs/>
                <w:color w:val="777777"/>
              </w:rPr>
              <w:t>(frase corta y accionable, ej. "Bloquear contabilización de facturas sin OC asociada")</w:t>
            </w:r>
          </w:p>
        </w:tc>
      </w:tr>
      <w:tr w:rsidR="006654A0" w:rsidRPr="00506C67" w14:paraId="2EE413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2AD86C10" w14:textId="77777777" w:rsidR="006654A0" w:rsidRDefault="00000000">
            <w:r>
              <w:rPr>
                <w:b/>
                <w:bCs/>
              </w:rPr>
              <w:t>Módulo SAP</w:t>
            </w:r>
          </w:p>
        </w:tc>
        <w:tc>
          <w:tcPr>
            <w:tcW w:w="6960" w:type="dxa"/>
          </w:tcPr>
          <w:p w14:paraId="4BB66240" w14:textId="77777777" w:rsidR="006654A0" w:rsidRPr="00506C67" w:rsidRDefault="00000000">
            <w:pPr>
              <w:rPr>
                <w:lang w:val="en-US"/>
              </w:rPr>
            </w:pPr>
            <w:r w:rsidRPr="00506C67">
              <w:rPr>
                <w:i/>
                <w:iCs/>
                <w:color w:val="777777"/>
                <w:lang w:val="en-US"/>
              </w:rPr>
              <w:t>(FI, CO, MM, SD, PP, QM, HCM, Fiori/UI5, BASIS, ...)</w:t>
            </w:r>
          </w:p>
        </w:tc>
      </w:tr>
      <w:tr w:rsidR="006654A0" w14:paraId="057241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7EC0B50E" w14:textId="77777777" w:rsidR="006654A0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6960" w:type="dxa"/>
          </w:tcPr>
          <w:p w14:paraId="41EEE920" w14:textId="77777777" w:rsidR="006654A0" w:rsidRDefault="00000000">
            <w:r>
              <w:rPr>
                <w:i/>
                <w:iCs/>
                <w:color w:val="777777"/>
              </w:rPr>
              <w:t>(</w:t>
            </w:r>
            <w:proofErr w:type="spellStart"/>
            <w:r>
              <w:rPr>
                <w:i/>
                <w:iCs/>
                <w:color w:val="777777"/>
              </w:rPr>
              <w:t>Customizing</w:t>
            </w:r>
            <w:proofErr w:type="spellEnd"/>
            <w:r>
              <w:rPr>
                <w:i/>
                <w:iCs/>
                <w:color w:val="777777"/>
              </w:rPr>
              <w:t xml:space="preserve"> / Desarrollo ABAP / Fiori App / Interfaz / Reporte / Autorización)</w:t>
            </w:r>
          </w:p>
        </w:tc>
      </w:tr>
      <w:tr w:rsidR="006654A0" w14:paraId="101B2E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0B355933" w14:textId="77777777" w:rsidR="006654A0" w:rsidRDefault="00000000">
            <w:r>
              <w:rPr>
                <w:b/>
                <w:bCs/>
              </w:rPr>
              <w:t>Prioridad</w:t>
            </w:r>
          </w:p>
        </w:tc>
        <w:tc>
          <w:tcPr>
            <w:tcW w:w="6960" w:type="dxa"/>
          </w:tcPr>
          <w:p w14:paraId="18ABC116" w14:textId="77777777" w:rsidR="006654A0" w:rsidRDefault="00000000">
            <w:r>
              <w:rPr>
                <w:i/>
                <w:iCs/>
                <w:color w:val="777777"/>
              </w:rPr>
              <w:t>(Alta / Media / Baja)</w:t>
            </w:r>
          </w:p>
        </w:tc>
      </w:tr>
      <w:tr w:rsidR="006654A0" w14:paraId="00196A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7DCEFA5A" w14:textId="77777777" w:rsidR="006654A0" w:rsidRDefault="00000000">
            <w:r>
              <w:rPr>
                <w:b/>
                <w:bCs/>
              </w:rPr>
              <w:t xml:space="preserve">Sprint / </w:t>
            </w:r>
            <w:proofErr w:type="spellStart"/>
            <w:r>
              <w:rPr>
                <w:b/>
                <w:bCs/>
              </w:rPr>
              <w:t>Release</w:t>
            </w:r>
            <w:proofErr w:type="spellEnd"/>
          </w:p>
        </w:tc>
        <w:tc>
          <w:tcPr>
            <w:tcW w:w="6960" w:type="dxa"/>
          </w:tcPr>
          <w:p w14:paraId="08675AF7" w14:textId="77777777" w:rsidR="006654A0" w:rsidRDefault="006654A0"/>
        </w:tc>
      </w:tr>
    </w:tbl>
    <w:p w14:paraId="6A13E5DB" w14:textId="77777777" w:rsidR="006654A0" w:rsidRDefault="00000000">
      <w:pPr>
        <w:pStyle w:val="Heading1"/>
        <w:spacing w:before="300" w:after="150"/>
      </w:pPr>
      <w:r>
        <w:t>2. Narrativa</w:t>
      </w:r>
    </w:p>
    <w:p w14:paraId="1865E6BE" w14:textId="77777777" w:rsidR="006654A0" w:rsidRDefault="00000000">
      <w:r>
        <w:t xml:space="preserve">Como </w:t>
      </w:r>
      <w:r>
        <w:rPr>
          <w:b/>
          <w:bCs/>
        </w:rPr>
        <w:t>[rol/perfil de usuario]</w:t>
      </w:r>
    </w:p>
    <w:p w14:paraId="1851C285" w14:textId="77777777" w:rsidR="006654A0" w:rsidRDefault="00000000">
      <w:r>
        <w:t xml:space="preserve">Quiero </w:t>
      </w:r>
      <w:r>
        <w:rPr>
          <w:b/>
          <w:bCs/>
        </w:rPr>
        <w:t>[funcionalidad o comportamiento deseado]</w:t>
      </w:r>
    </w:p>
    <w:p w14:paraId="13A02456" w14:textId="77777777" w:rsidR="006654A0" w:rsidRDefault="00000000">
      <w:pPr>
        <w:spacing w:after="150"/>
      </w:pPr>
      <w:r>
        <w:t xml:space="preserve">Para </w:t>
      </w:r>
      <w:r>
        <w:rPr>
          <w:b/>
          <w:bCs/>
        </w:rPr>
        <w:t>[beneficio de negocio / objetivo]</w:t>
      </w:r>
    </w:p>
    <w:p w14:paraId="019EBDAE" w14:textId="77777777" w:rsidR="006654A0" w:rsidRDefault="00000000">
      <w:pPr>
        <w:spacing w:after="200"/>
      </w:pPr>
      <w:r>
        <w:rPr>
          <w:i/>
          <w:iCs/>
          <w:color w:val="555555"/>
        </w:rPr>
        <w:t>El rol debe ser específico al negocio (ej. "analista de cuentas por pagar", no solo "usuario").</w:t>
      </w:r>
    </w:p>
    <w:p w14:paraId="41DF65CC" w14:textId="77777777" w:rsidR="006654A0" w:rsidRDefault="00000000">
      <w:pPr>
        <w:pStyle w:val="Heading1"/>
        <w:spacing w:before="300" w:after="150"/>
      </w:pPr>
      <w:r>
        <w:t>3. Contexto funcional</w:t>
      </w:r>
    </w:p>
    <w:p w14:paraId="325115AF" w14:textId="77777777" w:rsidR="006654A0" w:rsidRPr="00506C67" w:rsidRDefault="00000000">
      <w:pPr>
        <w:pStyle w:val="ListParagraph"/>
        <w:numPr>
          <w:ilvl w:val="0"/>
          <w:numId w:val="2"/>
        </w:numPr>
        <w:rPr>
          <w:lang w:val="en-US"/>
        </w:rPr>
      </w:pPr>
      <w:r>
        <w:t xml:space="preserve">Proceso de negocio afectado: (ej. </w:t>
      </w:r>
      <w:r w:rsidRPr="00506C67">
        <w:rPr>
          <w:lang w:val="en-US"/>
        </w:rPr>
        <w:t>Order-to-Cash, Procure-to-Pay)</w:t>
      </w:r>
    </w:p>
    <w:p w14:paraId="6BB99FF5" w14:textId="77777777" w:rsidR="006654A0" w:rsidRDefault="00000000">
      <w:pPr>
        <w:pStyle w:val="ListParagraph"/>
        <w:numPr>
          <w:ilvl w:val="0"/>
          <w:numId w:val="2"/>
        </w:numPr>
      </w:pPr>
      <w:r>
        <w:t>Transacciones SAP involucradas: (t-</w:t>
      </w:r>
      <w:proofErr w:type="spellStart"/>
      <w:r>
        <w:t>codes</w:t>
      </w:r>
      <w:proofErr w:type="spellEnd"/>
      <w:r>
        <w:t xml:space="preserve"> actuales o nuevas)</w:t>
      </w:r>
    </w:p>
    <w:p w14:paraId="4B3A5B7C" w14:textId="77777777" w:rsidR="006654A0" w:rsidRDefault="00000000">
      <w:pPr>
        <w:pStyle w:val="ListParagraph"/>
        <w:numPr>
          <w:ilvl w:val="0"/>
          <w:numId w:val="2"/>
        </w:numPr>
      </w:pPr>
      <w:r>
        <w:t>Datos maestros relevantes: (materiales, clientes, proveedores, centros de costo)</w:t>
      </w:r>
    </w:p>
    <w:p w14:paraId="18D48A07" w14:textId="77777777" w:rsidR="006654A0" w:rsidRDefault="00000000">
      <w:pPr>
        <w:pStyle w:val="ListParagraph"/>
        <w:numPr>
          <w:ilvl w:val="0"/>
          <w:numId w:val="2"/>
        </w:numPr>
      </w:pPr>
      <w:r>
        <w:t xml:space="preserve">Organización donde aplica: (sociedad, centro, división, </w:t>
      </w:r>
      <w:proofErr w:type="spellStart"/>
      <w:r>
        <w:t>org</w:t>
      </w:r>
      <w:proofErr w:type="spellEnd"/>
      <w:r>
        <w:t>. de ventas)</w:t>
      </w:r>
    </w:p>
    <w:p w14:paraId="2CBFEA30" w14:textId="77777777" w:rsidR="006654A0" w:rsidRDefault="00000000">
      <w:pPr>
        <w:pStyle w:val="Heading1"/>
        <w:spacing w:before="300" w:after="150"/>
      </w:pPr>
      <w:r>
        <w:t>4. Criterios de aceptación</w:t>
      </w:r>
    </w:p>
    <w:p w14:paraId="5987FD64" w14:textId="77777777" w:rsidR="006654A0" w:rsidRDefault="00000000">
      <w:pPr>
        <w:pStyle w:val="ListParagraph"/>
        <w:numPr>
          <w:ilvl w:val="0"/>
          <w:numId w:val="2"/>
        </w:numPr>
      </w:pPr>
      <w:r>
        <w:t>Dado que [condición inicial en SAP]</w:t>
      </w:r>
    </w:p>
    <w:p w14:paraId="5110C9E2" w14:textId="77777777" w:rsidR="006654A0" w:rsidRDefault="00000000">
      <w:pPr>
        <w:pStyle w:val="ListParagraph"/>
        <w:numPr>
          <w:ilvl w:val="0"/>
          <w:numId w:val="2"/>
        </w:numPr>
      </w:pPr>
      <w:r>
        <w:t>Cuando [acción del usuario/transacción]</w:t>
      </w:r>
    </w:p>
    <w:p w14:paraId="0C1DB3CE" w14:textId="77777777" w:rsidR="006654A0" w:rsidRDefault="00000000">
      <w:pPr>
        <w:pStyle w:val="ListParagraph"/>
        <w:numPr>
          <w:ilvl w:val="0"/>
          <w:numId w:val="2"/>
        </w:numPr>
      </w:pPr>
      <w:r>
        <w:t>Entonces [resultado esperado, incluyendo mensajes de error/validación]</w:t>
      </w:r>
    </w:p>
    <w:p w14:paraId="6A878B00" w14:textId="07FA492E" w:rsidR="006654A0" w:rsidRDefault="00000000">
      <w:pPr>
        <w:spacing w:after="200"/>
      </w:pPr>
      <w:r>
        <w:rPr>
          <w:i/>
          <w:iCs/>
          <w:color w:val="555555"/>
        </w:rPr>
        <w:t xml:space="preserve">(Repetir el bloque </w:t>
      </w:r>
      <w:r w:rsidR="00E86594">
        <w:rPr>
          <w:i/>
          <w:iCs/>
          <w:color w:val="555555"/>
        </w:rPr>
        <w:t>Dado que</w:t>
      </w:r>
      <w:r>
        <w:rPr>
          <w:i/>
          <w:iCs/>
          <w:color w:val="555555"/>
        </w:rPr>
        <w:t>/</w:t>
      </w:r>
      <w:r w:rsidR="00E86594">
        <w:rPr>
          <w:i/>
          <w:iCs/>
          <w:color w:val="555555"/>
        </w:rPr>
        <w:t>Cuando</w:t>
      </w:r>
      <w:r>
        <w:rPr>
          <w:i/>
          <w:iCs/>
          <w:color w:val="555555"/>
        </w:rPr>
        <w:t>/</w:t>
      </w:r>
      <w:r w:rsidR="00E86594">
        <w:rPr>
          <w:i/>
          <w:iCs/>
          <w:color w:val="555555"/>
        </w:rPr>
        <w:t>Entonces</w:t>
      </w:r>
      <w:r>
        <w:rPr>
          <w:i/>
          <w:iCs/>
          <w:color w:val="555555"/>
        </w:rPr>
        <w:t xml:space="preserve"> por cada escenario)</w:t>
      </w:r>
    </w:p>
    <w:p w14:paraId="6CEC5C6F" w14:textId="77777777" w:rsidR="006654A0" w:rsidRDefault="00000000">
      <w:pPr>
        <w:pStyle w:val="Heading1"/>
        <w:spacing w:before="300" w:after="150"/>
      </w:pPr>
      <w:r>
        <w:t>5. Reglas de negocio</w:t>
      </w:r>
    </w:p>
    <w:p w14:paraId="42A2FB92" w14:textId="77777777" w:rsidR="006654A0" w:rsidRDefault="00000000">
      <w:pPr>
        <w:pStyle w:val="ListParagraph"/>
        <w:numPr>
          <w:ilvl w:val="0"/>
          <w:numId w:val="2"/>
        </w:numPr>
      </w:pPr>
      <w:r>
        <w:t>[lógica específica que debe cumplirse: validaciones, cálculos, condiciones de bloqueo, jerarquías de aprobación]</w:t>
      </w:r>
    </w:p>
    <w:p w14:paraId="0199E397" w14:textId="77777777" w:rsidR="006654A0" w:rsidRDefault="00000000">
      <w:pPr>
        <w:pStyle w:val="Heading1"/>
        <w:spacing w:before="300" w:after="150"/>
      </w:pPr>
      <w:r>
        <w:t>6. Impacto técnico</w:t>
      </w:r>
    </w:p>
    <w:p w14:paraId="07BCB947" w14:textId="1546FD01" w:rsidR="006654A0" w:rsidRDefault="00000000">
      <w:pPr>
        <w:pStyle w:val="ListParagraph"/>
        <w:numPr>
          <w:ilvl w:val="0"/>
          <w:numId w:val="2"/>
        </w:numPr>
      </w:pPr>
      <w:r>
        <w:t xml:space="preserve">Objetos SAP afectados: tablas, estructuras, </w:t>
      </w:r>
      <w:proofErr w:type="spellStart"/>
      <w:r>
        <w:t>BAdIs</w:t>
      </w:r>
      <w:proofErr w:type="spellEnd"/>
      <w:r>
        <w:t xml:space="preserve">, </w:t>
      </w:r>
      <w:proofErr w:type="spellStart"/>
      <w:r>
        <w:t>exits</w:t>
      </w:r>
      <w:proofErr w:type="spellEnd"/>
      <w:r>
        <w:t xml:space="preserve">, </w:t>
      </w:r>
      <w:proofErr w:type="spellStart"/>
      <w:r>
        <w:t>enhancement</w:t>
      </w:r>
      <w:proofErr w:type="spellEnd"/>
      <w:r>
        <w:t xml:space="preserve"> </w:t>
      </w:r>
      <w:proofErr w:type="spellStart"/>
      <w:r>
        <w:t>points</w:t>
      </w:r>
      <w:proofErr w:type="spellEnd"/>
      <w:r w:rsidR="00506C67">
        <w:t xml:space="preserve"> - Opcional</w:t>
      </w:r>
    </w:p>
    <w:p w14:paraId="6E1C8CB8" w14:textId="477DB156" w:rsidR="006654A0" w:rsidRDefault="00000000">
      <w:pPr>
        <w:pStyle w:val="ListParagraph"/>
        <w:numPr>
          <w:ilvl w:val="0"/>
          <w:numId w:val="2"/>
        </w:numPr>
      </w:pPr>
      <w:r>
        <w:t xml:space="preserve">Interfaces: </w:t>
      </w:r>
      <w:proofErr w:type="spellStart"/>
      <w:r>
        <w:t>IDocs</w:t>
      </w:r>
      <w:proofErr w:type="spellEnd"/>
      <w:r>
        <w:t xml:space="preserve">, </w:t>
      </w:r>
      <w:proofErr w:type="spellStart"/>
      <w:r>
        <w:t>RFCs</w:t>
      </w:r>
      <w:proofErr w:type="spellEnd"/>
      <w:r>
        <w:t xml:space="preserve">, </w:t>
      </w:r>
      <w:proofErr w:type="spellStart"/>
      <w:r>
        <w:t>BAPIs</w:t>
      </w:r>
      <w:proofErr w:type="spellEnd"/>
      <w:r>
        <w:t>, API/</w:t>
      </w:r>
      <w:proofErr w:type="spellStart"/>
      <w:r>
        <w:t>OData</w:t>
      </w:r>
      <w:proofErr w:type="spellEnd"/>
      <w:r>
        <w:t xml:space="preserve"> (si aplica integración)</w:t>
      </w:r>
      <w:r w:rsidR="00506C67">
        <w:t xml:space="preserve"> - Opcional</w:t>
      </w:r>
    </w:p>
    <w:p w14:paraId="584F4F76" w14:textId="77777777" w:rsidR="006654A0" w:rsidRDefault="00000000">
      <w:pPr>
        <w:pStyle w:val="ListParagraph"/>
        <w:numPr>
          <w:ilvl w:val="0"/>
          <w:numId w:val="2"/>
        </w:numPr>
      </w:pPr>
      <w:r>
        <w:t>Impacto en otros módulos: (ej. un cambio en MM que afecta FI)</w:t>
      </w:r>
    </w:p>
    <w:p w14:paraId="75A85794" w14:textId="77777777" w:rsidR="006654A0" w:rsidRDefault="00000000">
      <w:pPr>
        <w:pStyle w:val="Heading1"/>
        <w:spacing w:before="300" w:after="150"/>
      </w:pPr>
      <w:r>
        <w:t>7. No funcionales / restricciones</w:t>
      </w:r>
    </w:p>
    <w:p w14:paraId="5634B051" w14:textId="77777777" w:rsidR="006654A0" w:rsidRDefault="00000000">
      <w:pPr>
        <w:pStyle w:val="ListParagraph"/>
        <w:numPr>
          <w:ilvl w:val="0"/>
          <w:numId w:val="2"/>
        </w:numPr>
      </w:pPr>
      <w:r>
        <w:t>Autorizaciones y roles (PFCG) requeridos</w:t>
      </w:r>
    </w:p>
    <w:p w14:paraId="3E5CEE77" w14:textId="77777777" w:rsidR="006654A0" w:rsidRDefault="00000000">
      <w:pPr>
        <w:pStyle w:val="ListParagraph"/>
        <w:numPr>
          <w:ilvl w:val="0"/>
          <w:numId w:val="2"/>
        </w:numPr>
      </w:pPr>
      <w:r>
        <w:t xml:space="preserve">Performance: (si involucra procesos </w:t>
      </w:r>
      <w:proofErr w:type="spellStart"/>
      <w:r>
        <w:t>batch</w:t>
      </w:r>
      <w:proofErr w:type="spellEnd"/>
      <w:r>
        <w:t xml:space="preserve"> o grandes volúmenes)</w:t>
      </w:r>
    </w:p>
    <w:p w14:paraId="0E35194F" w14:textId="77777777" w:rsidR="006654A0" w:rsidRDefault="00000000">
      <w:pPr>
        <w:pStyle w:val="ListParagraph"/>
        <w:numPr>
          <w:ilvl w:val="0"/>
          <w:numId w:val="2"/>
        </w:numPr>
      </w:pPr>
      <w:r>
        <w:t>Ambientes de prueba: DEV → QA → PRD, y necesidad de datos de prueba específicos</w:t>
      </w:r>
    </w:p>
    <w:p w14:paraId="4BA827AB" w14:textId="77777777" w:rsidR="0035060E" w:rsidRDefault="0035060E" w:rsidP="0035060E"/>
    <w:p w14:paraId="2618A984" w14:textId="77777777" w:rsidR="006654A0" w:rsidRDefault="00000000">
      <w:pPr>
        <w:pStyle w:val="Heading1"/>
        <w:spacing w:before="300" w:after="150"/>
      </w:pPr>
      <w:r>
        <w:lastRenderedPageBreak/>
        <w:t>8. Dependencias</w:t>
      </w:r>
    </w:p>
    <w:p w14:paraId="1B2C012D" w14:textId="77777777" w:rsidR="006654A0" w:rsidRDefault="00000000">
      <w:pPr>
        <w:pStyle w:val="ListParagraph"/>
        <w:numPr>
          <w:ilvl w:val="0"/>
          <w:numId w:val="2"/>
        </w:numPr>
      </w:pPr>
      <w:r>
        <w:t>[otras historias, transportes o desarrollos previos necesarios]</w:t>
      </w:r>
    </w:p>
    <w:p w14:paraId="0235D51F" w14:textId="77777777" w:rsidR="006654A0" w:rsidRDefault="00000000">
      <w:pPr>
        <w:pStyle w:val="Heading1"/>
        <w:spacing w:before="300" w:after="150"/>
      </w:pPr>
      <w:r>
        <w:t xml:space="preserve">9.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Done</w:t>
      </w:r>
    </w:p>
    <w:p w14:paraId="663DBB75" w14:textId="4D968839" w:rsidR="006654A0" w:rsidRDefault="00000000">
      <w:proofErr w:type="gramStart"/>
      <w:r>
        <w:rPr>
          <w:rFonts w:ascii="Segoe UI Symbol" w:eastAsia="Segoe UI Symbol" w:hAnsi="Segoe UI Symbol" w:cs="Segoe UI Symbol"/>
        </w:rPr>
        <w:t xml:space="preserve">☐  </w:t>
      </w:r>
      <w:r>
        <w:t>Desarrollado</w:t>
      </w:r>
      <w:proofErr w:type="gramEnd"/>
      <w:r>
        <w:t xml:space="preserve"> </w:t>
      </w:r>
      <w:r w:rsidR="00506C67">
        <w:t>con practicas establecidas por CHAPTER ABAP</w:t>
      </w:r>
    </w:p>
    <w:p w14:paraId="694D765C" w14:textId="77777777" w:rsidR="006654A0" w:rsidRDefault="00000000">
      <w:proofErr w:type="gramStart"/>
      <w:r>
        <w:rPr>
          <w:rFonts w:ascii="Segoe UI Symbol" w:eastAsia="Segoe UI Symbol" w:hAnsi="Segoe UI Symbol" w:cs="Segoe UI Symbol"/>
        </w:rPr>
        <w:t xml:space="preserve">☐  </w:t>
      </w:r>
      <w:r>
        <w:t>Transportado</w:t>
      </w:r>
      <w:proofErr w:type="gramEnd"/>
      <w:r>
        <w:t xml:space="preserve"> a QA</w:t>
      </w:r>
    </w:p>
    <w:p w14:paraId="5BC285C1" w14:textId="77777777" w:rsidR="006654A0" w:rsidRDefault="00000000">
      <w:proofErr w:type="gramStart"/>
      <w:r>
        <w:rPr>
          <w:rFonts w:ascii="Segoe UI Symbol" w:eastAsia="Segoe UI Symbol" w:hAnsi="Segoe UI Symbol" w:cs="Segoe UI Symbol"/>
        </w:rPr>
        <w:t xml:space="preserve">☐  </w:t>
      </w:r>
      <w:r>
        <w:t>Caso</w:t>
      </w:r>
      <w:proofErr w:type="gramEnd"/>
      <w:r>
        <w:t xml:space="preserve"> de prueba ejecutado y validado por el usuario clave (</w:t>
      </w:r>
      <w:proofErr w:type="spellStart"/>
      <w:r>
        <w:t>key</w:t>
      </w:r>
      <w:proofErr w:type="spellEnd"/>
      <w:r>
        <w:t xml:space="preserve"> </w:t>
      </w:r>
      <w:proofErr w:type="spellStart"/>
      <w:r>
        <w:t>user</w:t>
      </w:r>
      <w:proofErr w:type="spellEnd"/>
      <w:r>
        <w:t>)</w:t>
      </w:r>
    </w:p>
    <w:p w14:paraId="50923140" w14:textId="77777777" w:rsidR="006654A0" w:rsidRDefault="00000000">
      <w:proofErr w:type="gramStart"/>
      <w:r>
        <w:rPr>
          <w:rFonts w:ascii="Segoe UI Symbol" w:eastAsia="Segoe UI Symbol" w:hAnsi="Segoe UI Symbol" w:cs="Segoe UI Symbol"/>
        </w:rPr>
        <w:t xml:space="preserve">☐  </w:t>
      </w:r>
      <w:r>
        <w:t>Documentación</w:t>
      </w:r>
      <w:proofErr w:type="gramEnd"/>
      <w:r>
        <w:t xml:space="preserve"> funcional/técnica actualizada</w:t>
      </w:r>
    </w:p>
    <w:p w14:paraId="137852EC" w14:textId="77777777" w:rsidR="006654A0" w:rsidRDefault="00000000">
      <w:proofErr w:type="gramStart"/>
      <w:r>
        <w:rPr>
          <w:rFonts w:ascii="Segoe UI Symbol" w:eastAsia="Segoe UI Symbol" w:hAnsi="Segoe UI Symbol" w:cs="Segoe UI Symbol"/>
        </w:rPr>
        <w:t xml:space="preserve">☐  </w:t>
      </w:r>
      <w:r>
        <w:t>Aprobado</w:t>
      </w:r>
      <w:proofErr w:type="gramEnd"/>
      <w:r>
        <w:t xml:space="preserve"> por el dueño de proceso</w:t>
      </w:r>
    </w:p>
    <w:p w14:paraId="0A11E614" w14:textId="77777777" w:rsidR="006654A0" w:rsidRDefault="00000000">
      <w:pPr>
        <w:pStyle w:val="Heading1"/>
        <w:spacing w:before="300" w:after="150"/>
      </w:pPr>
      <w:r>
        <w:t>10. Adjuntos</w:t>
      </w:r>
    </w:p>
    <w:p w14:paraId="6BB44589" w14:textId="1C681734" w:rsidR="006654A0" w:rsidRDefault="00000000">
      <w:pPr>
        <w:pStyle w:val="ListParagraph"/>
        <w:numPr>
          <w:ilvl w:val="0"/>
          <w:numId w:val="2"/>
        </w:numPr>
      </w:pPr>
      <w:r>
        <w:t>[mockups (Fiori), diagramas de proceso, ejemplos de datos, capturas de mensajes de error actuales]</w:t>
      </w:r>
    </w:p>
    <w:sectPr w:rsidR="006654A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A28C5"/>
    <w:multiLevelType w:val="hybridMultilevel"/>
    <w:tmpl w:val="4C6C2D4C"/>
    <w:lvl w:ilvl="0" w:tplc="2DAA5480">
      <w:start w:val="1"/>
      <w:numFmt w:val="bullet"/>
      <w:lvlText w:val="●"/>
      <w:lvlJc w:val="left"/>
      <w:pPr>
        <w:ind w:left="720" w:hanging="360"/>
      </w:pPr>
    </w:lvl>
    <w:lvl w:ilvl="1" w:tplc="12D82DFC">
      <w:start w:val="1"/>
      <w:numFmt w:val="bullet"/>
      <w:lvlText w:val="○"/>
      <w:lvlJc w:val="left"/>
      <w:pPr>
        <w:ind w:left="1440" w:hanging="360"/>
      </w:pPr>
    </w:lvl>
    <w:lvl w:ilvl="2" w:tplc="7D906406">
      <w:start w:val="1"/>
      <w:numFmt w:val="bullet"/>
      <w:lvlText w:val="■"/>
      <w:lvlJc w:val="left"/>
      <w:pPr>
        <w:ind w:left="2160" w:hanging="360"/>
      </w:pPr>
    </w:lvl>
    <w:lvl w:ilvl="3" w:tplc="C6BCCEFC">
      <w:start w:val="1"/>
      <w:numFmt w:val="bullet"/>
      <w:lvlText w:val="●"/>
      <w:lvlJc w:val="left"/>
      <w:pPr>
        <w:ind w:left="2880" w:hanging="360"/>
      </w:pPr>
    </w:lvl>
    <w:lvl w:ilvl="4" w:tplc="27F40108">
      <w:start w:val="1"/>
      <w:numFmt w:val="bullet"/>
      <w:lvlText w:val="○"/>
      <w:lvlJc w:val="left"/>
      <w:pPr>
        <w:ind w:left="3600" w:hanging="360"/>
      </w:pPr>
    </w:lvl>
    <w:lvl w:ilvl="5" w:tplc="E0608892">
      <w:start w:val="1"/>
      <w:numFmt w:val="bullet"/>
      <w:lvlText w:val="■"/>
      <w:lvlJc w:val="left"/>
      <w:pPr>
        <w:ind w:left="4320" w:hanging="360"/>
      </w:pPr>
    </w:lvl>
    <w:lvl w:ilvl="6" w:tplc="C40E04BC">
      <w:start w:val="1"/>
      <w:numFmt w:val="bullet"/>
      <w:lvlText w:val="●"/>
      <w:lvlJc w:val="left"/>
      <w:pPr>
        <w:ind w:left="5040" w:hanging="360"/>
      </w:pPr>
    </w:lvl>
    <w:lvl w:ilvl="7" w:tplc="1ED066B2">
      <w:start w:val="1"/>
      <w:numFmt w:val="bullet"/>
      <w:lvlText w:val="●"/>
      <w:lvlJc w:val="left"/>
      <w:pPr>
        <w:ind w:left="5760" w:hanging="360"/>
      </w:pPr>
    </w:lvl>
    <w:lvl w:ilvl="8" w:tplc="23B8A8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237DF3"/>
    <w:multiLevelType w:val="hybridMultilevel"/>
    <w:tmpl w:val="6EECD656"/>
    <w:lvl w:ilvl="0" w:tplc="3BAED7BA">
      <w:start w:val="1"/>
      <w:numFmt w:val="bullet"/>
      <w:lvlText w:val="•"/>
      <w:lvlJc w:val="left"/>
      <w:pPr>
        <w:ind w:left="360" w:hanging="360"/>
      </w:pPr>
    </w:lvl>
    <w:lvl w:ilvl="1" w:tplc="A9688A9C">
      <w:numFmt w:val="decimal"/>
      <w:lvlText w:val=""/>
      <w:lvlJc w:val="left"/>
    </w:lvl>
    <w:lvl w:ilvl="2" w:tplc="13F03B18">
      <w:numFmt w:val="decimal"/>
      <w:lvlText w:val=""/>
      <w:lvlJc w:val="left"/>
    </w:lvl>
    <w:lvl w:ilvl="3" w:tplc="757A5332">
      <w:numFmt w:val="decimal"/>
      <w:lvlText w:val=""/>
      <w:lvlJc w:val="left"/>
    </w:lvl>
    <w:lvl w:ilvl="4" w:tplc="30A0BAAE">
      <w:numFmt w:val="decimal"/>
      <w:lvlText w:val=""/>
      <w:lvlJc w:val="left"/>
    </w:lvl>
    <w:lvl w:ilvl="5" w:tplc="21BA63E2">
      <w:numFmt w:val="decimal"/>
      <w:lvlText w:val=""/>
      <w:lvlJc w:val="left"/>
    </w:lvl>
    <w:lvl w:ilvl="6" w:tplc="6C428C68">
      <w:numFmt w:val="decimal"/>
      <w:lvlText w:val=""/>
      <w:lvlJc w:val="left"/>
    </w:lvl>
    <w:lvl w:ilvl="7" w:tplc="F2BEEE12">
      <w:numFmt w:val="decimal"/>
      <w:lvlText w:val=""/>
      <w:lvlJc w:val="left"/>
    </w:lvl>
    <w:lvl w:ilvl="8" w:tplc="D898F1CC">
      <w:numFmt w:val="decimal"/>
      <w:lvlText w:val=""/>
      <w:lvlJc w:val="left"/>
    </w:lvl>
  </w:abstractNum>
  <w:num w:numId="1" w16cid:durableId="1706559780">
    <w:abstractNumId w:val="0"/>
    <w:lvlOverride w:ilvl="0">
      <w:startOverride w:val="1"/>
    </w:lvlOverride>
  </w:num>
  <w:num w:numId="2" w16cid:durableId="7268739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4A0"/>
    <w:rsid w:val="0001365E"/>
    <w:rsid w:val="0035060E"/>
    <w:rsid w:val="00506C67"/>
    <w:rsid w:val="006654A0"/>
    <w:rsid w:val="00E8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BC3A1"/>
  <w15:docId w15:val="{289B9F90-7BC6-4F15-A457-6AFF63F5E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360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Jorge Andres Velasquez Serna</cp:lastModifiedBy>
  <cp:revision>3</cp:revision>
  <dcterms:created xsi:type="dcterms:W3CDTF">2026-08-24T16:36:00Z</dcterms:created>
  <dcterms:modified xsi:type="dcterms:W3CDTF">2026-08-24T16:52:00Z</dcterms:modified>
</cp:coreProperties>
</file>