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40"/>
          <w:szCs w:val="40"/>
        </w:rPr>
        <w:t xml:space="preserve">PARTILOT</w:t>
      </w:r>
    </w:p>
    <w:p>
      <w:pPr>
        <w:spacing w:after="60" w:before="60"/>
        <w:jc w:val="center"/>
      </w:pPr>
      <w:r>
        <w:rPr>
          <w:rFonts w:ascii="Times New Roman" w:cs="Times New Roman" w:eastAsia="Times New Roman" w:hAnsi="Times New Roman"/>
          <w:b/>
          <w:bCs/>
          <w:sz w:val="30"/>
          <w:szCs w:val="30"/>
        </w:rPr>
        <w:t xml:space="preserve">MARCO LEGAL INTEGRAL</w:t>
      </w:r>
    </w:p>
    <w:p>
      <w:pPr>
        <w:spacing w:after="0" w:before="100"/>
      </w:pPr>
      <w:r>
        <w:t xml:space="preserve"/>
      </w:r>
    </w:p>
    <w:p>
      <w:pPr>
        <w:spacing w:after="60" w:before="60"/>
        <w:jc w:val="center"/>
      </w:pPr>
      <w:r>
        <w:rPr>
          <w:rFonts w:ascii="Times New Roman" w:cs="Times New Roman" w:eastAsia="Times New Roman" w:hAnsi="Times New Roman"/>
          <w:i/>
          <w:iCs/>
          <w:sz w:val="20"/>
          <w:szCs w:val="20"/>
        </w:rPr>
        <w:t xml:space="preserve">Términos y Condiciones de Uso · Política de Privacidad · Política de Cookies · Acuerdo de Tratamiento de Datos</w:t>
      </w:r>
    </w:p>
    <w:p>
      <w:pPr>
        <w:spacing w:after="0" w:before="100"/>
      </w:pPr>
      <w:r>
        <w:t xml:space="preserve"/>
      </w:r>
    </w:p>
    <w:p>
      <w:pPr>
        <w:spacing w:after="60" w:before="60"/>
        <w:jc w:val="center"/>
      </w:pPr>
      <w:r>
        <w:rPr>
          <w:rFonts w:ascii="Times New Roman" w:cs="Times New Roman" w:eastAsia="Times New Roman" w:hAnsi="Times New Roman"/>
          <w:sz w:val="20"/>
          <w:szCs w:val="20"/>
        </w:rPr>
        <w:t xml:space="preserve">Versión 11.1 | Entrada en vigor: [FECHA DE PUBLICACIÓN]</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Este documento contiene el marco legal completo que regula el acceso y uso de la plataforma PARTILOT en todos sus canales: panel web, aplicación móvil y web de entidad. Su lectura íntegra y aceptación son requisito imprescindible para la utilización del servicio en cualquiera de sus modalidades.</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Los campos marcados entre corchetes deben completarse con los datos reales antes de la publicación de este documento. Mientras contengan corchetes, el documento no identifica plenamente al titular y carece de eficacia plena.</w:t>
            </w:r>
          </w:p>
        </w:tc>
      </w:tr>
    </w:tbl>
    <w:p>
      <w:pPr>
        <w:spacing w:after="0" w:before="400"/>
      </w:pPr>
      <w:r>
        <w:t xml:space="preserve"/>
      </w:r>
    </w:p>
    <w:p>
      <w:r>
        <w:br w:type="page"/>
      </w:r>
    </w:p>
    <w:p>
      <w:pPr>
        <w:pBdr>
          <w:top w:val="double" w:color="000000" w:sz="6" w:space="8"/>
          <w:bottom w:val="double" w:color="000000" w:sz="6" w:space="8"/>
        </w:pBdr>
        <w:spacing w:after="180" w:before="300"/>
        <w:jc w:val="center"/>
      </w:pPr>
      <w:r>
        <w:rPr>
          <w:rFonts w:ascii="Times New Roman" w:cs="Times New Roman" w:eastAsia="Times New Roman" w:hAnsi="Times New Roman"/>
          <w:b/>
          <w:bCs/>
          <w:sz w:val="30"/>
          <w:szCs w:val="30"/>
        </w:rPr>
        <w:t xml:space="preserve">DOCUMENTO I — TÉRMINOS Y CONDICIONES DE USO</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Preámbulo e identificación del titular</w:t>
      </w:r>
    </w:p>
    <w:p>
      <w:pPr>
        <w:spacing w:after="90" w:before="90" w:line="300"/>
        <w:jc w:val="both"/>
      </w:pPr>
      <w:r>
        <w:rPr>
          <w:rFonts w:ascii="Times New Roman" w:cs="Times New Roman" w:eastAsia="Times New Roman" w:hAnsi="Times New Roman"/>
          <w:sz w:val="22"/>
          <w:szCs w:val="22"/>
        </w:rPr>
        <w:t xml:space="preserve">Los presentes Términos y Condiciones de Uso (en adelante, «TCU») regulan el acceso, registro y utilización de la plataforma tecnológica denominada PARTILOT (en adelante, «la Plataforma»), titularidad de PARTILOT, SOCIEDAD LIMITADA UNIPERSONAL, con domicilio social en Calle Lope de Vega, 5, 1º B, 26007 Logroño (La Rioja), inscrita en el Registro Mercantil de La Rioja, Hoja LO-21703, Inscripción 1, con NIF B26681551 (en adelante, «PARTILOT» o «el Titular»). Contacto legal: [EMAIL LEGAL]. Contacto de protección de datos: [EMAIL PROTECCIÓN DE DATOS].</w:t>
      </w:r>
    </w:p>
    <w:p>
      <w:pPr>
        <w:spacing w:after="90" w:before="90" w:line="300"/>
        <w:jc w:val="both"/>
      </w:pPr>
      <w:r>
        <w:rPr>
          <w:rFonts w:ascii="Times New Roman" w:cs="Times New Roman" w:eastAsia="Times New Roman" w:hAnsi="Times New Roman"/>
          <w:sz w:val="22"/>
          <w:szCs w:val="22"/>
        </w:rPr>
        <w:t xml:space="preserve">La Plataforma comprende todos los canales de acceso al servicio: el panel de gestión web, la aplicación móvil disponible en App Store de Apple y Google Play de Google (en adelante, «la App»), y el espacio web habilitado para cada Entidad. Los presentes TCU son de aplicación a todos estos canales de forma conjunta e indistinta, salvo en aquellos aspectos en los que se establezcan condiciones específicas para alguno de ellos.</w:t>
      </w:r>
    </w:p>
    <w:p>
      <w:pPr>
        <w:spacing w:after="90" w:before="90" w:line="300"/>
        <w:jc w:val="both"/>
      </w:pPr>
      <w:r>
        <w:rPr>
          <w:rFonts w:ascii="Times New Roman" w:cs="Times New Roman" w:eastAsia="Times New Roman" w:hAnsi="Times New Roman"/>
          <w:sz w:val="22"/>
          <w:szCs w:val="22"/>
        </w:rPr>
        <w:t xml:space="preserve">El acceso y uso de la Plataforma en cualquiera de sus canales implica la aceptación plena, expresa e inequívoca de la totalidad del presente marco legal. Quien no esté de acuerdo con alguna de estas condiciones deberá abstenerse de utilizar la Plataforma.</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Tarifas del servicio</w:t>
      </w:r>
    </w:p>
    <w:p>
      <w:pPr>
        <w:spacing w:after="90" w:before="90" w:line="300"/>
        <w:jc w:val="both"/>
      </w:pPr>
      <w:r>
        <w:rPr>
          <w:rFonts w:ascii="Times New Roman" w:cs="Times New Roman" w:eastAsia="Times New Roman" w:hAnsi="Times New Roman"/>
          <w:sz w:val="22"/>
          <w:szCs w:val="22"/>
        </w:rPr>
        <w:t xml:space="preserve">Las tarifas vigentes aplicables al servicio de gestión de PARTILOT están disponibles en la página de precios de la Plataforma, accesible en [URL PÁGINA DE PRECIOS], y en la sección de configuración del panel de cada Punto de Venta Autorizado. Las tarifas aplicables a cada operación son las vigentes en el momento de la contratación del servicio correspondiente.</w:t>
      </w:r>
    </w:p>
    <w:p>
      <w:pPr>
        <w:spacing w:after="90" w:before="90" w:line="300"/>
        <w:jc w:val="both"/>
      </w:pPr>
      <w:r>
        <w:rPr>
          <w:rFonts w:ascii="Times New Roman" w:cs="Times New Roman" w:eastAsia="Times New Roman" w:hAnsi="Times New Roman"/>
          <w:sz w:val="22"/>
          <w:szCs w:val="22"/>
        </w:rPr>
        <w:t xml:space="preserve">PARTILOT se reserva el derecho a modificar sus tarifas en cualquier momento, notificando los cambios con un mínimo de treinta (30) días de antelación. Las modificaciones de tarifa no afectarán a los servicios ya contratados y abonados antes de la entrada en vigor del cambio.</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I. Definiciones</w:t>
      </w:r>
    </w:p>
    <w:p>
      <w:pPr>
        <w:spacing w:after="90" w:before="90" w:line="300"/>
        <w:jc w:val="both"/>
      </w:pPr>
      <w:r>
        <w:rPr>
          <w:rFonts w:ascii="Times New Roman" w:cs="Times New Roman" w:eastAsia="Times New Roman" w:hAnsi="Times New Roman"/>
          <w:sz w:val="22"/>
          <w:szCs w:val="22"/>
        </w:rPr>
        <w:t xml:space="preserve">A efectos de los presentes TCU, los términos siguientes tendrán el significado que se indica:</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Plataforma: </w:t>
      </w:r>
      <w:r>
        <w:rPr>
          <w:rFonts w:ascii="Times New Roman" w:cs="Times New Roman" w:eastAsia="Times New Roman" w:hAnsi="Times New Roman"/>
          <w:sz w:val="22"/>
          <w:szCs w:val="22"/>
        </w:rPr>
        <w:t xml:space="preserve">Sistema de software como servicio (SaaS) de gestión integral para Puntos de Venta Autorizados, Entidades, Vendedores y Usuarios Finales, accesible mediante panel web, aplicación móvil y web de entidad.</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App: </w:t>
      </w:r>
      <w:r>
        <w:rPr>
          <w:rFonts w:ascii="Times New Roman" w:cs="Times New Roman" w:eastAsia="Times New Roman" w:hAnsi="Times New Roman"/>
          <w:sz w:val="22"/>
          <w:szCs w:val="22"/>
        </w:rPr>
        <w:t xml:space="preserve">Aplicación móvil de PARTILOT disponible en App Store (Apple) y Google Play (Google).</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Punto de Venta Autorizado: </w:t>
      </w:r>
      <w:r>
        <w:rPr>
          <w:rFonts w:ascii="Times New Roman" w:cs="Times New Roman" w:eastAsia="Times New Roman" w:hAnsi="Times New Roman"/>
          <w:sz w:val="22"/>
          <w:szCs w:val="22"/>
        </w:rPr>
        <w:t xml:space="preserve">Persona física o jurídica autorizada por Loterías y Apuestas del Estado (SELAE) para la venta de lotería, en cualquiera de sus dos modalidades: Administración de Lotería o Punto Mixto. A los efectos de la Plataforma, ambas modalidades tienen idéntico régimen de derechos, obligaciones y responsabilidades, salvo la limitación técnica descrita en el artículo 5.1 respecto a la gestión de reservas sobre décimos físicos preimpresos, exclusiva de las Administraciones de Lotería.</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Administración de Lotería: </w:t>
      </w:r>
      <w:r>
        <w:rPr>
          <w:rFonts w:ascii="Times New Roman" w:cs="Times New Roman" w:eastAsia="Times New Roman" w:hAnsi="Times New Roman"/>
          <w:sz w:val="22"/>
          <w:szCs w:val="22"/>
        </w:rPr>
        <w:t xml:space="preserve">Punto de Venta Autorizado en su modalidad integral, con capacidad para operar tanto con lotería en formato de décimo físico preimpreso como con lotería por terminal.</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Punto Mixto: </w:t>
      </w:r>
      <w:r>
        <w:rPr>
          <w:rFonts w:ascii="Times New Roman" w:cs="Times New Roman" w:eastAsia="Times New Roman" w:hAnsi="Times New Roman"/>
          <w:sz w:val="22"/>
          <w:szCs w:val="22"/>
        </w:rPr>
        <w:t xml:space="preserve">Punto de Venta Autorizado que opera exclusivamente mediante terminal de validación de juego, sin capacidad para la venta de décimos físicos preimpresos, función reservada en exclusiva a las Administraciones de Lotería.</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Entidad: </w:t>
      </w:r>
      <w:r>
        <w:rPr>
          <w:rFonts w:ascii="Times New Roman" w:cs="Times New Roman" w:eastAsia="Times New Roman" w:hAnsi="Times New Roman"/>
          <w:sz w:val="22"/>
          <w:szCs w:val="22"/>
        </w:rPr>
        <w:t xml:space="preserve">Club, asociación, empresa u organismo con personalidad jurídica propia, vinculado a un Punto de Venta Autorizado, que utiliza la Plataforma para gestionar la venta de participaciones entre sus socios, afiliados o colaboradores.</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Organizador: </w:t>
      </w:r>
      <w:r>
        <w:rPr>
          <w:rFonts w:ascii="Times New Roman" w:cs="Times New Roman" w:eastAsia="Times New Roman" w:hAnsi="Times New Roman"/>
          <w:sz w:val="22"/>
          <w:szCs w:val="22"/>
        </w:rPr>
        <w:t xml:space="preserve">Persona física que, sin actuar en representación de una Entidad con personalidad jurídica propia, organiza de forma puntual una iniciativa de venta de participaciones de lotería (a título de ejemplo, un viaje de estudios o un grupo informal). El Organizador asume simultáneamente las funciones de Firmante Autorizado y de Gestor Responsable, y responde personal e ilimitadamente de las obligaciones derivadas de su actuación en la Plataforma, conforme al artículo 2.3 bis.</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Firmante Autorizado: </w:t>
      </w:r>
      <w:r>
        <w:rPr>
          <w:rFonts w:ascii="Times New Roman" w:cs="Times New Roman" w:eastAsia="Times New Roman" w:hAnsi="Times New Roman"/>
          <w:sz w:val="22"/>
          <w:szCs w:val="22"/>
        </w:rPr>
        <w:t xml:space="preserve">Persona física con capacidad legal de representación de la Entidad (representante legal, presidente, administrador o apoderado, según los estatutos o normas de gobierno de la Entidad) que suscribe el Contrato Marco con PARTILOT en nombre de esta y que designa al Gestor Responsable. Es asimismo quien suscribe, en su caso, cada Acuerdo Específico de Mandato de Pago.</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Gestor Responsable: </w:t>
      </w:r>
      <w:r>
        <w:rPr>
          <w:rFonts w:ascii="Times New Roman" w:cs="Times New Roman" w:eastAsia="Times New Roman" w:hAnsi="Times New Roman"/>
          <w:sz w:val="22"/>
          <w:szCs w:val="22"/>
        </w:rPr>
        <w:t xml:space="preserve">Usuario registrado en PARTILOT designado por el Firmante Autorizado de la Entidad para ejercer la gestión operativa de esta en la Plataforma. Este cargo es de existencia obligatoria e ininterrumpida: no puede quedar vacante ni eliminarse, únicamente sustituirse por otro usuario que acepte expresamente el cargo. La designación del Gestor Responsable no implica delegación de la representación legal de la Entidad ni faculta para modificar o resolver el Contrato Marco ni para suscribir el Acuerdo Específico de Mandato de Pago, salvo que el Firmante Autorizado le confiera expresamente dicha facultad.</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Gestor: </w:t>
      </w:r>
      <w:r>
        <w:rPr>
          <w:rFonts w:ascii="Times New Roman" w:cs="Times New Roman" w:eastAsia="Times New Roman" w:hAnsi="Times New Roman"/>
          <w:sz w:val="22"/>
          <w:szCs w:val="22"/>
        </w:rPr>
        <w:t xml:space="preserve">Usuario registrado en PARTILOT que, bajo delegación expresa del Gestor Responsable, puede ejercer las funciones que le sean asignadas dentro de la Entidad.</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Vendedor: </w:t>
      </w:r>
      <w:r>
        <w:rPr>
          <w:rFonts w:ascii="Times New Roman" w:cs="Times New Roman" w:eastAsia="Times New Roman" w:hAnsi="Times New Roman"/>
          <w:sz w:val="22"/>
          <w:szCs w:val="22"/>
        </w:rPr>
        <w:t xml:space="preserve">Usuario registrado en PARTILOT que ha aceptado el rol de vendedor en el seno de una Entidad.</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Usuario Final: </w:t>
      </w:r>
      <w:r>
        <w:rPr>
          <w:rFonts w:ascii="Times New Roman" w:cs="Times New Roman" w:eastAsia="Times New Roman" w:hAnsi="Times New Roman"/>
          <w:sz w:val="22"/>
          <w:szCs w:val="22"/>
        </w:rPr>
        <w:t xml:space="preserve">Persona física mayor de 18 años que, tras completar el proceso de registro, accede a la Plataforma para adquirir o gestionar participaciones. La cartera del Usuario Final es un espacio de visualización de participaciones y gestión de premios; no constituye monedero electrónico ni cuenta de acumulación de saldo.</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Participación Física: </w:t>
      </w:r>
      <w:r>
        <w:rPr>
          <w:rFonts w:ascii="Times New Roman" w:cs="Times New Roman" w:eastAsia="Times New Roman" w:hAnsi="Times New Roman"/>
          <w:sz w:val="22"/>
          <w:szCs w:val="22"/>
        </w:rPr>
        <w:t xml:space="preserve">Fracción de décimo de lotería impresa en soporte papel, identificada mediante elementos de seguridad únicos.</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Participación Digital: </w:t>
      </w:r>
      <w:r>
        <w:rPr>
          <w:rFonts w:ascii="Times New Roman" w:cs="Times New Roman" w:eastAsia="Times New Roman" w:hAnsi="Times New Roman"/>
          <w:sz w:val="22"/>
          <w:szCs w:val="22"/>
        </w:rPr>
        <w:t xml:space="preserve">Fracción de décimo de lotería en formato electrónico vinculada a la cuenta del Usuario Final en la Plataforma.</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Donativo: </w:t>
      </w:r>
      <w:r>
        <w:rPr>
          <w:rFonts w:ascii="Times New Roman" w:cs="Times New Roman" w:eastAsia="Times New Roman" w:hAnsi="Times New Roman"/>
          <w:sz w:val="22"/>
          <w:szCs w:val="22"/>
        </w:rPr>
        <w:t xml:space="preserve">Cantidad adicional al importe de lotería que integra el precio total de la participación y se destina a la Entidad. Su importe no podrá superar el 20% del valor de la lotería jugada conforme a la normativa SELAE.</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Liquidación definitiva: </w:t>
      </w:r>
      <w:r>
        <w:rPr>
          <w:rFonts w:ascii="Times New Roman" w:cs="Times New Roman" w:eastAsia="Times New Roman" w:hAnsi="Times New Roman"/>
          <w:sz w:val="22"/>
          <w:szCs w:val="22"/>
        </w:rPr>
        <w:t xml:space="preserve">Acto formal, irrevocable y vinculante mediante el cual el Gestor Responsable cierra el ciclo comercial con el Punto de Venta Autorizado, declarando las participaciones vendidas y no vendidas.</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Servicio de gestión de pagos de premios: </w:t>
      </w:r>
      <w:r>
        <w:rPr>
          <w:rFonts w:ascii="Times New Roman" w:cs="Times New Roman" w:eastAsia="Times New Roman" w:hAnsi="Times New Roman"/>
          <w:sz w:val="22"/>
          <w:szCs w:val="22"/>
        </w:rPr>
        <w:t xml:space="preserve">Servicio opcional contratado mediante Acuerdo Específico de Mandato de Pago entre la Entidad y PARTILOT, por el que PARTILOT gestiona técnicamente el pago de premios menores a los Usuarios Finales por cuenta y encargo de la Entidad, sin adquirir titularidad sobre los fondos ni actuar como entidad financiera o de pago.</w:t>
      </w:r>
    </w:p>
    <w:p>
      <w:pPr>
        <w:pStyle w:val="ListParagraph"/>
        <w:numPr>
          <w:ilvl w:val="0"/>
          <w:numId w:val="2"/>
        </w:numPr>
        <w:spacing w:after="50" w:before="50" w:line="300"/>
        <w:jc w:val="both"/>
      </w:pPr>
      <w:r>
        <w:rPr>
          <w:rFonts w:ascii="Times New Roman" w:cs="Times New Roman" w:eastAsia="Times New Roman" w:hAnsi="Times New Roman"/>
          <w:b/>
          <w:bCs/>
          <w:sz w:val="22"/>
          <w:szCs w:val="22"/>
        </w:rPr>
        <w:t xml:space="preserve">Relación operativa entre el Punto de Venta Autorizado y la Entidad: </w:t>
      </w:r>
      <w:r>
        <w:rPr>
          <w:rFonts w:ascii="Times New Roman" w:cs="Times New Roman" w:eastAsia="Times New Roman" w:hAnsi="Times New Roman"/>
          <w:sz w:val="22"/>
          <w:szCs w:val="22"/>
        </w:rPr>
        <w:t xml:space="preserve">La relación jurídica y comercial privada entre ambos referida a la reserva de números y cantidades de lotería, el diseño de las participaciones, y el proceso de devolución y liquidación, de la que PARTILOT no es parte, conforme al artículo 4.1 bis.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II. Régimen de acceso, roles y aceptación</w:t>
      </w:r>
    </w:p>
    <w:p>
      <w:pPr>
        <w:keepNext/>
        <w:spacing w:after="110" w:before="220"/>
      </w:pPr>
      <w:r>
        <w:rPr>
          <w:rFonts w:ascii="Times New Roman" w:cs="Times New Roman" w:eastAsia="Times New Roman" w:hAnsi="Times New Roman"/>
          <w:b/>
          <w:bCs/>
          <w:sz w:val="22"/>
          <w:szCs w:val="22"/>
        </w:rPr>
        <w:t xml:space="preserve">Artículo 2.1. Requisitos generales de acceso</w:t>
      </w:r>
    </w:p>
    <w:p>
      <w:pPr>
        <w:spacing w:after="90" w:before="90" w:line="300"/>
        <w:jc w:val="both"/>
      </w:pPr>
      <w:r>
        <w:rPr>
          <w:rFonts w:ascii="Times New Roman" w:cs="Times New Roman" w:eastAsia="Times New Roman" w:hAnsi="Times New Roman"/>
          <w:sz w:val="22"/>
          <w:szCs w:val="22"/>
        </w:rPr>
        <w:t xml:space="preserve">El acceso a la Plataforma, en cualquiera de sus canales, está condicionado al cumplimiento acumulativo de los siguientes requisitos: ser persona física mayor de 18 años en el momento del registro, para los roles de Usuario Final, Vendedor, Gestor, Gestor Responsable y Firmante Autorizado; disponer de dirección de correo electrónico válida, que actúa como identificador único e intransferible de la cuenta; proporcionar información veraz, completa y actualizada en todos los formularios de registro; aceptar expresamente el presente marco legal en su totalidad; y no haber sido previamente excluido de la Plataforma por incumplimiento de estas condiciones.</w:t>
      </w:r>
    </w:p>
    <w:p>
      <w:pPr>
        <w:spacing w:after="90" w:before="90" w:line="300"/>
        <w:jc w:val="both"/>
      </w:pPr>
      <w:r>
        <w:rPr>
          <w:rFonts w:ascii="Times New Roman" w:cs="Times New Roman" w:eastAsia="Times New Roman" w:hAnsi="Times New Roman"/>
          <w:sz w:val="22"/>
          <w:szCs w:val="22"/>
        </w:rPr>
        <w:t xml:space="preserve">Todas las partes declaran expresamente que la información que facilitan a PARTILOT en el momento del registro y durante el uso de la Plataforma es veraz, completa y actualizada. Cada parte asume plena responsabilidad por las consecuencias derivadas de la facilitación de información falsa, inexacta o desactualizada, incluyendo las de naturaleza civil, administrativa o penal que pudieran corresponder. La falsedad en los datos facilitados podrá ser causa de suspensión o baja inmediata de la cuenta, sin derecho a indemnización ni a la devolución de las cantidades abonadas.</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2.2. Punto de Venta Autorizado: contratación y obligaciones</w:t>
      </w:r>
    </w:p>
    <w:p>
      <w:pPr>
        <w:spacing w:after="90" w:before="90" w:line="300"/>
        <w:jc w:val="both"/>
      </w:pPr>
      <w:r>
        <w:rPr>
          <w:rFonts w:ascii="Times New Roman" w:cs="Times New Roman" w:eastAsia="Times New Roman" w:hAnsi="Times New Roman"/>
          <w:sz w:val="22"/>
          <w:szCs w:val="22"/>
        </w:rPr>
        <w:t xml:space="preserve">El Punto de Venta Autorizado (Administración de Lotería o Punto Mixto) formaliza su relación con PARTILOT mediante la suscripción de un contrato de prestación de servicios que se perfecciona mediante firma electrónica en el momento de la activación inicial del acceso. El sistema registra dicho evento con identificación del firmante, marca temporal, dirección IP y versión del documento aceptado.</w:t>
      </w:r>
    </w:p>
    <w:p>
      <w:pPr>
        <w:spacing w:after="90" w:before="90" w:line="300"/>
        <w:jc w:val="both"/>
      </w:pPr>
      <w:r>
        <w:rPr>
          <w:rFonts w:ascii="Times New Roman" w:cs="Times New Roman" w:eastAsia="Times New Roman" w:hAnsi="Times New Roman"/>
          <w:sz w:val="22"/>
          <w:szCs w:val="22"/>
        </w:rPr>
        <w:t xml:space="preserve">El Punto de Venta Autorizado se compromete a: proporcionar datos verídicos y mantenerlos actualizados; custodiar con la máxima diligencia sus credenciales de acceso; gestionar las Entidades vinculadas con diligencia y buena fe; verificar y validar los resultados oficiales de SELAE antes de confirmar el escrutinio de cada sorteo, asumiendo plena responsabilidad sobre dicha validación y sus consecuencias económicas; custodiar con la máxima diligencia los archivos digitales de participaciones físicas generados por la Plataforma; y no utilizar la Plataforma para fines distintos de los previstos en estos TCU.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activación de las credenciales de acceso mediante el procedimiento establecido constituye la firma electrónica del contrato de servicios y la aceptación plena del presente marco legal. Cláusula de aceptación obligatoria.</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2.3. Entidad: designación del Firmante Autorizado y del Gestor Responsable</w:t>
      </w:r>
    </w:p>
    <w:p>
      <w:pPr>
        <w:spacing w:after="90" w:before="90" w:line="300"/>
        <w:jc w:val="both"/>
      </w:pPr>
      <w:r>
        <w:rPr>
          <w:rFonts w:ascii="Times New Roman" w:cs="Times New Roman" w:eastAsia="Times New Roman" w:hAnsi="Times New Roman"/>
          <w:sz w:val="22"/>
          <w:szCs w:val="22"/>
        </w:rPr>
        <w:t xml:space="preserve">La Entidad accede a la Plataforma a través del Punto de Venta Autorizado con el que opera, que la da de alta como registro inicial. La Entidad no queda operativa en la Plataforma hasta que se complete el procedimiento descrito en este artículo, no pudiendo ejercer con anterioridad ninguna de las funciones propias de su rol.</w:t>
      </w:r>
    </w:p>
    <w:p>
      <w:pPr>
        <w:spacing w:after="90" w:before="160"/>
      </w:pPr>
      <w:r>
        <w:rPr>
          <w:rFonts w:ascii="Times New Roman" w:cs="Times New Roman" w:eastAsia="Times New Roman" w:hAnsi="Times New Roman"/>
          <w:b/>
          <w:bCs/>
          <w:i/>
          <w:iCs/>
          <w:sz w:val="22"/>
          <w:szCs w:val="22"/>
        </w:rPr>
        <w:t xml:space="preserve">a) Firma del Contrato Marco por el Firmante Autorizado</w:t>
      </w:r>
    </w:p>
    <w:p>
      <w:pPr>
        <w:spacing w:after="90" w:before="90" w:line="300"/>
        <w:jc w:val="both"/>
      </w:pPr>
      <w:r>
        <w:rPr>
          <w:rFonts w:ascii="Times New Roman" w:cs="Times New Roman" w:eastAsia="Times New Roman" w:hAnsi="Times New Roman"/>
          <w:sz w:val="22"/>
          <w:szCs w:val="22"/>
        </w:rPr>
        <w:t xml:space="preserve">El Contrato Marco entre PARTILOT y la Entidad debe ser aceptado por el Firmante Autorizado, es decir, por la persona física con capacidad legal de representación de la Entidad. En el momento de aceptar el contrato, el Firmante Autorizado declara bajo su exclusiva responsabilidad, personal y, en su caso, penal, contar con poder suficiente para vincular contractualmente a la Entidad. La Entidad queda en todo caso obligada frente a PARTILOT por los actos de quien haya actuado invocando dicha representación, sin perjuicio de las acciones que la Entidad pueda ejercitar internamente contra el firmante si la declaración resultase falsa o insuficiente, y sin perjuicio de la responsabilidad penal que, conforme al artículo 31 bis del Código Penal, pudiera corresponder a la propia Entidad por los delitos cometidos en su nombre y en su beneficio.</w:t>
      </w:r>
    </w:p>
    <w:p>
      <w:pPr>
        <w:spacing w:after="90" w:before="160"/>
      </w:pPr>
      <w:r>
        <w:rPr>
          <w:rFonts w:ascii="Times New Roman" w:cs="Times New Roman" w:eastAsia="Times New Roman" w:hAnsi="Times New Roman"/>
          <w:b/>
          <w:bCs/>
          <w:i/>
          <w:iCs/>
          <w:sz w:val="22"/>
          <w:szCs w:val="22"/>
        </w:rPr>
        <w:t xml:space="preserve">b) Designación y aceptación del Gestor Responsable</w:t>
      </w:r>
    </w:p>
    <w:p>
      <w:pPr>
        <w:spacing w:after="90" w:before="90" w:line="300"/>
        <w:jc w:val="both"/>
      </w:pPr>
      <w:r>
        <w:rPr>
          <w:rFonts w:ascii="Times New Roman" w:cs="Times New Roman" w:eastAsia="Times New Roman" w:hAnsi="Times New Roman"/>
          <w:sz w:val="22"/>
          <w:szCs w:val="22"/>
        </w:rPr>
        <w:t xml:space="preserve">En el mismo acto de aceptación del Contrato Marco, el Firmante Autorizado designa a la persona que ejercerá como Gestor Responsable, que puede ser él mismo u otra persona distinta.</w:t>
      </w:r>
    </w:p>
    <w:p>
      <w:pPr>
        <w:spacing w:after="90" w:before="90" w:line="300"/>
        <w:jc w:val="both"/>
      </w:pPr>
      <w:r>
        <w:rPr>
          <w:rFonts w:ascii="Times New Roman" w:cs="Times New Roman" w:eastAsia="Times New Roman" w:hAnsi="Times New Roman"/>
          <w:sz w:val="22"/>
          <w:szCs w:val="22"/>
        </w:rPr>
        <w:t xml:space="preserve">Si el Firmante Autorizado se designa a sí mismo como Gestor Responsable, la aceptación del Contrato Marco implica automáticamente la aceptación del rol de Gestor Responsable, sin necesidad de un trámite adicional.</w:t>
      </w:r>
    </w:p>
    <w:p>
      <w:pPr>
        <w:spacing w:after="90" w:before="90" w:line="300"/>
        <w:jc w:val="both"/>
      </w:pPr>
      <w:r>
        <w:rPr>
          <w:rFonts w:ascii="Times New Roman" w:cs="Times New Roman" w:eastAsia="Times New Roman" w:hAnsi="Times New Roman"/>
          <w:sz w:val="22"/>
          <w:szCs w:val="22"/>
        </w:rPr>
        <w:t xml:space="preserve">Si el Firmante Autorizado designa a un tercero, este recibirá una notificación instándole a aceptar el cargo. Mientras no se produzca dicha aceptación, la Entidad permanecerá en estado pendiente y no podrá operar. Si el designado deniega el cargo o no responde en el plazo habilitado en la Plataforma, el Firmante Autorizado podrá designar a otra persona en su lugar, en cualquier momento anterior a la aceptación.</w:t>
      </w:r>
    </w:p>
    <w:p>
      <w:pPr>
        <w:spacing w:after="90" w:before="160"/>
      </w:pPr>
      <w:r>
        <w:rPr>
          <w:rFonts w:ascii="Times New Roman" w:cs="Times New Roman" w:eastAsia="Times New Roman" w:hAnsi="Times New Roman"/>
          <w:b/>
          <w:bCs/>
          <w:i/>
          <w:iCs/>
          <w:sz w:val="22"/>
          <w:szCs w:val="22"/>
        </w:rPr>
        <w:t xml:space="preserve">c) Alta efectiva</w:t>
      </w:r>
    </w:p>
    <w:p>
      <w:pPr>
        <w:spacing w:after="90" w:before="90" w:line="300"/>
        <w:jc w:val="both"/>
      </w:pPr>
      <w:r>
        <w:rPr>
          <w:rFonts w:ascii="Times New Roman" w:cs="Times New Roman" w:eastAsia="Times New Roman" w:hAnsi="Times New Roman"/>
          <w:sz w:val="22"/>
          <w:szCs w:val="22"/>
        </w:rPr>
        <w:t xml:space="preserve">La Entidad queda operativa únicamente cuando concurren de forma acumulativa: la aceptación del Contrato Marco por el Firmante Autorizado, y la aceptación del cargo de Gestor Responsable, ya sea de forma automática conforme al párrafo anterior o mediante aceptación expresa del tercero designado.</w:t>
      </w:r>
    </w:p>
    <w:p>
      <w:pPr>
        <w:spacing w:after="90" w:before="160"/>
      </w:pPr>
      <w:r>
        <w:rPr>
          <w:rFonts w:ascii="Times New Roman" w:cs="Times New Roman" w:eastAsia="Times New Roman" w:hAnsi="Times New Roman"/>
          <w:b/>
          <w:bCs/>
          <w:i/>
          <w:iCs/>
          <w:sz w:val="22"/>
          <w:szCs w:val="22"/>
        </w:rPr>
        <w:t xml:space="preserve">d) Sustitución del Gestor Responsable</w:t>
      </w:r>
    </w:p>
    <w:p>
      <w:pPr>
        <w:spacing w:after="90" w:before="90" w:line="300"/>
        <w:jc w:val="both"/>
      </w:pPr>
      <w:r>
        <w:rPr>
          <w:rFonts w:ascii="Times New Roman" w:cs="Times New Roman" w:eastAsia="Times New Roman" w:hAnsi="Times New Roman"/>
          <w:sz w:val="22"/>
          <w:szCs w:val="22"/>
        </w:rPr>
        <w:t xml:space="preserve">Para sustituir al Gestor Responsable en activo, el Firmante Autorizado designará a un sustituto que deberá aceptar expresamente el cargo. El relevo solo se produce tras dicha aceptación; hasta ese momento el Gestor Responsable anterior conserva su cargo y todas sus responsabilidades. El cargo de Gestor Responsable no puede quedar vacante en ningún momento.</w:t>
      </w:r>
    </w:p>
    <w:p>
      <w:pPr>
        <w:spacing w:after="90" w:before="90" w:line="300"/>
        <w:jc w:val="both"/>
      </w:pPr>
      <w:r>
        <w:rPr>
          <w:rFonts w:ascii="Times New Roman" w:cs="Times New Roman" w:eastAsia="Times New Roman" w:hAnsi="Times New Roman"/>
          <w:sz w:val="22"/>
          <w:szCs w:val="22"/>
        </w:rPr>
        <w:t xml:space="preserve">El Gestor Responsable asume, con carácter exclusivo e indelegable salvo lo dispuesto en este artículo: la supervisión de la integridad de todas las operaciones de la Entidad en la Plataforma, la gestión del estado operativo de los Vendedores vinculados a la Entidad, y la ejecución de la liquidación definitiva con el Punto de Venta Autorizado. La ejecución de la liquidación definitiva por el Gestor Responsable no requiere autorización adicional del Firmante Autorizado, al tratarse de un acto de gestión operativa ordinaria; queda excluido de esta habilitación general el Acuerdo Específico de Mandato de Pago, que se rige por el artículo 2.3 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aceptación del cargo de Gestor Responsable, en cualquiera de las formas descritas en este artículo, tiene plenos efectos jurídicos de aceptación del presente marco legal y de las responsabilidades específicas del rol. Cláusula de aceptación obligatoria.</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2.3 bis. Organizador: iniciativas sin Entidad con personalidad jurídica propia</w:t>
      </w:r>
    </w:p>
    <w:p>
      <w:pPr>
        <w:spacing w:after="90" w:before="90" w:line="300"/>
        <w:jc w:val="both"/>
      </w:pPr>
      <w:r>
        <w:rPr>
          <w:rFonts w:ascii="Times New Roman" w:cs="Times New Roman" w:eastAsia="Times New Roman" w:hAnsi="Times New Roman"/>
          <w:sz w:val="22"/>
          <w:szCs w:val="22"/>
        </w:rPr>
        <w:t xml:space="preserve">Cuando no exista una Entidad con personalidad jurídica propia detrás de la iniciativa de venta de participaciones, la persona física que la organiza actúa como Organizador, asumiendo simultáneamente las funciones de Firmante Autorizado y de Gestor Responsable.</w:t>
      </w:r>
    </w:p>
    <w:p>
      <w:pPr>
        <w:spacing w:after="90" w:before="90" w:line="300"/>
        <w:jc w:val="both"/>
      </w:pPr>
      <w:r>
        <w:rPr>
          <w:rFonts w:ascii="Times New Roman" w:cs="Times New Roman" w:eastAsia="Times New Roman" w:hAnsi="Times New Roman"/>
          <w:sz w:val="22"/>
          <w:szCs w:val="22"/>
        </w:rPr>
        <w:t xml:space="preserve">En el momento de aceptar el Contrato Marco, el Organizador declara expresamente: «Declaro que actúo en nombre propio y no en representación de ninguna entidad, y asumo personal e ilimitadamente las obligaciones derivadas de este contrato.» Dicha declaración se presenta de forma destacada e independiente del resto del proceso de aceptación, de manera que el Organizador sea plenamente consciente de que responde con su propio patrimonio, sin que exista una persona jurídica que limite dicha responsabilidad.</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2.3 ter. Acuerdo Específico de Mandato de Pago: firma</w:t>
      </w:r>
    </w:p>
    <w:p>
      <w:pPr>
        <w:spacing w:after="90" w:before="90" w:line="300"/>
        <w:jc w:val="both"/>
      </w:pPr>
      <w:r>
        <w:rPr>
          <w:rFonts w:ascii="Times New Roman" w:cs="Times New Roman" w:eastAsia="Times New Roman" w:hAnsi="Times New Roman"/>
          <w:sz w:val="22"/>
          <w:szCs w:val="22"/>
        </w:rPr>
        <w:t xml:space="preserve">El Acuerdo Específico de Mandato de Pago que se suscribe por cada sorteo con premios, conforme al artículo 4.2, debe ser firmado por el Firmante Autorizado de la Entidad, sin perjuicio de que este pueda delegar expresamente dicha facultad en el Gestor Responsable mediante declaración específica realizada en el momento de su designación o con posterioridad.</w:t>
      </w:r>
    </w:p>
    <w:p>
      <w:pPr>
        <w:spacing w:after="90" w:before="90" w:line="300"/>
        <w:jc w:val="both"/>
      </w:pPr>
      <w:r>
        <w:rPr>
          <w:rFonts w:ascii="Times New Roman" w:cs="Times New Roman" w:eastAsia="Times New Roman" w:hAnsi="Times New Roman"/>
          <w:sz w:val="22"/>
          <w:szCs w:val="22"/>
        </w:rPr>
        <w:t xml:space="preserve">El Acuerdo Específico de Mandato de Pago vincula a la Entidad con independencia de los cambios que puedan producirse en la persona que ostente el cargo de Gestor Responsable durante su vigencia. El Gestor Responsable en cada momento asume las funciones de supervisión operativa del Acuerdo, sin que ello afecte a la validez de la firma ni a las obligaciones asumidas por la Entidad.</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2.4. Gestores</w:t>
      </w:r>
    </w:p>
    <w:p>
      <w:pPr>
        <w:spacing w:after="90" w:before="90" w:line="300"/>
        <w:jc w:val="both"/>
      </w:pPr>
      <w:r>
        <w:rPr>
          <w:rFonts w:ascii="Times New Roman" w:cs="Times New Roman" w:eastAsia="Times New Roman" w:hAnsi="Times New Roman"/>
          <w:sz w:val="22"/>
          <w:szCs w:val="22"/>
        </w:rPr>
        <w:t xml:space="preserve">El Gestor Responsable puede delegar funciones específicas en otros usuarios mediante invitación. El invitado deberá aceptar expresamente; si denegase la invitación no se incorporará como Gestor.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aceptación del rol mediante el procedimiento establecido constituye la aceptación del presente marco legal y de las responsabilidades de las funciones delegadas. Cláusula de aceptación obligatoria.</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2.5. Vendedores</w:t>
      </w:r>
    </w:p>
    <w:p>
      <w:pPr>
        <w:spacing w:after="90" w:before="90" w:line="300"/>
        <w:jc w:val="both"/>
      </w:pPr>
      <w:r>
        <w:rPr>
          <w:rFonts w:ascii="Times New Roman" w:cs="Times New Roman" w:eastAsia="Times New Roman" w:hAnsi="Times New Roman"/>
          <w:sz w:val="22"/>
          <w:szCs w:val="22"/>
        </w:rPr>
        <w:t xml:space="preserve">El Vendedor asume plena responsabilidad sobre el material físico que le sea asignado desde el momento en que suscribe el justificante de recepción, sobre las cantidades recaudadas en el ejercicio de su actividad, y sobre la verificación de la mayoría de edad de los compradores.</w:t>
      </w:r>
    </w:p>
    <w:p>
      <w:pPr>
        <w:spacing w:after="90" w:before="90" w:line="300"/>
        <w:jc w:val="both"/>
      </w:pPr>
      <w:r>
        <w:rPr>
          <w:rFonts w:ascii="Times New Roman" w:cs="Times New Roman" w:eastAsia="Times New Roman" w:hAnsi="Times New Roman"/>
          <w:sz w:val="22"/>
          <w:szCs w:val="22"/>
        </w:rPr>
        <w:t xml:space="preserve">El Vendedor declara conocer y aceptar expresamente que el Punto de Venta Autorizado vinculado a la Entidad en la que ejerce su rol puede acceder a sus datos operativos en la Plataforma cuando sea necesario para la resolución de incidencias operativas vinculadas a los sorteos que gestiona, quedando dicho acceso limitado a esa finalidad.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aceptación del rol mediante el procedimiento establecido constituye la aceptación del presente marco legal y de las responsabilidades operativas del rol. Cláusula de aceptación obligatoria.</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2.6. Usuario Final</w:t>
      </w:r>
    </w:p>
    <w:p>
      <w:pPr>
        <w:spacing w:after="90" w:before="90" w:line="300"/>
        <w:jc w:val="both"/>
      </w:pPr>
      <w:r>
        <w:rPr>
          <w:rFonts w:ascii="Times New Roman" w:cs="Times New Roman" w:eastAsia="Times New Roman" w:hAnsi="Times New Roman"/>
          <w:sz w:val="22"/>
          <w:szCs w:val="22"/>
        </w:rPr>
        <w:t xml:space="preserve">El Usuario Final es cualquier persona física mayor de 18 años que complete el proceso de registro. El sistema verificará automáticamente la mayoría de edad, bloqueando el alta en caso de minoría de edad. La cartera del Usuario Final no constituye monedero electrónico, cuenta de pago ni sistema de acumulación de saldo.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finalización del proceso de registro, con verificación de identidad y mayoría de edad, constituye la aceptación plena del presente marco legal. Cláusula de aceptación obligatoria.</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III. Duración y extinción de las relaciones en la Plataforma</w:t>
      </w:r>
    </w:p>
    <w:p>
      <w:pPr>
        <w:keepNext/>
        <w:spacing w:after="110" w:before="220"/>
      </w:pPr>
      <w:r>
        <w:rPr>
          <w:rFonts w:ascii="Times New Roman" w:cs="Times New Roman" w:eastAsia="Times New Roman" w:hAnsi="Times New Roman"/>
          <w:b/>
          <w:bCs/>
          <w:sz w:val="22"/>
          <w:szCs w:val="22"/>
        </w:rPr>
        <w:t xml:space="preserve">Artículo 3.1. Relación PARTILOT — Punto de Venta Autorizado</w:t>
      </w:r>
    </w:p>
    <w:p>
      <w:pPr>
        <w:spacing w:after="90" w:before="90" w:line="300"/>
        <w:jc w:val="both"/>
      </w:pPr>
      <w:r>
        <w:rPr>
          <w:rFonts w:ascii="Times New Roman" w:cs="Times New Roman" w:eastAsia="Times New Roman" w:hAnsi="Times New Roman"/>
          <w:sz w:val="22"/>
          <w:szCs w:val="22"/>
        </w:rPr>
        <w:t xml:space="preserve">El contrato de prestación de servicios entre PARTILOT y el Punto de Venta Autorizado tiene una duración inicial de un (1) año desde la fecha de activación del acceso, con renovación automática por períodos anuales sucesivos salvo denuncia con un mínimo de treinta (30) días de antelación.</w:t>
      </w:r>
    </w:p>
    <w:p>
      <w:pPr>
        <w:spacing w:after="90" w:before="90" w:line="300"/>
        <w:jc w:val="both"/>
      </w:pPr>
      <w:r>
        <w:rPr>
          <w:rFonts w:ascii="Times New Roman" w:cs="Times New Roman" w:eastAsia="Times New Roman" w:hAnsi="Times New Roman"/>
          <w:sz w:val="22"/>
          <w:szCs w:val="22"/>
        </w:rPr>
        <w:t xml:space="preserve">Son causas de resolución anticipada: incumplimiento grave o reiterado; impago de cuotas; uso fraudulento; pérdida de la autorización SELAE; y cese voluntario de la actividad, con preaviso mínimo de treinta (30) días. La resolución no producirá efectos inmediatos mientras existan sorteos activos, participaciones emitidas o premios pendientes de cobro.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3.2. Relación Punto de Venta Autorizado — Entidad</w:t>
      </w:r>
    </w:p>
    <w:p>
      <w:pPr>
        <w:spacing w:after="90" w:before="90" w:line="300"/>
        <w:jc w:val="both"/>
      </w:pPr>
      <w:r>
        <w:rPr>
          <w:rFonts w:ascii="Times New Roman" w:cs="Times New Roman" w:eastAsia="Times New Roman" w:hAnsi="Times New Roman"/>
          <w:sz w:val="22"/>
          <w:szCs w:val="22"/>
        </w:rPr>
        <w:t xml:space="preserve">La vinculación de una Entidad a un Punto de Venta Autorizado no tiene plazo mínimo de permanencia. La baja no podrá ejecutarse mientras existan sorteos activos, participaciones pendientes de liquidar o premios pendientes de cobro.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3.3. Relación Entidad — Firmante Autorizado, Gestor Responsable y Gestores</w:t>
      </w:r>
    </w:p>
    <w:p>
      <w:pPr>
        <w:spacing w:after="90" w:before="90" w:line="300"/>
        <w:jc w:val="both"/>
      </w:pPr>
      <w:r>
        <w:rPr>
          <w:rFonts w:ascii="Times New Roman" w:cs="Times New Roman" w:eastAsia="Times New Roman" w:hAnsi="Times New Roman"/>
          <w:sz w:val="22"/>
          <w:szCs w:val="22"/>
        </w:rPr>
        <w:t xml:space="preserve">La vinculación del Gestor Responsable a la Entidad es indefinida mientras no se produzca su sustitución conforme al artículo 2.3.d). El cargo no puede quedar vacante en ningún momento.</w:t>
      </w:r>
    </w:p>
    <w:p>
      <w:pPr>
        <w:spacing w:after="90" w:before="90" w:line="300"/>
        <w:jc w:val="both"/>
      </w:pPr>
      <w:r>
        <w:rPr>
          <w:rFonts w:ascii="Times New Roman" w:cs="Times New Roman" w:eastAsia="Times New Roman" w:hAnsi="Times New Roman"/>
          <w:sz w:val="22"/>
          <w:szCs w:val="22"/>
        </w:rPr>
        <w:t xml:space="preserve">El Firmante Autorizado que deje de ostentar la representación legal de la Entidad deberá ser sustituido mediante la aceptación de un nuevo Contrato Marco por quien le suceda en dicha representación, sin que ello afecte a la validez de las operaciones realizadas hasta ese momento ni a los Acuerdos Específicos de Mandato de Pago en curso.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3.4. Relación Entidad — Vendedor</w:t>
      </w:r>
    </w:p>
    <w:p>
      <w:pPr>
        <w:spacing w:after="90" w:before="90" w:line="300"/>
        <w:jc w:val="both"/>
      </w:pPr>
      <w:r>
        <w:rPr>
          <w:rFonts w:ascii="Times New Roman" w:cs="Times New Roman" w:eastAsia="Times New Roman" w:hAnsi="Times New Roman"/>
          <w:sz w:val="22"/>
          <w:szCs w:val="22"/>
        </w:rPr>
        <w:t xml:space="preserve">La vinculación del Vendedor a la Entidad no tiene plazo mínimo. El Vendedor no podrá ser desvinculado mientras tenga participaciones físicas asignadas pendientes de devolución o liquidación.</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3.5. Cese de actividad de PARTILOT</w:t>
      </w:r>
    </w:p>
    <w:p>
      <w:pPr>
        <w:spacing w:after="90" w:before="90" w:line="300"/>
        <w:jc w:val="both"/>
      </w:pPr>
      <w:r>
        <w:rPr>
          <w:rFonts w:ascii="Times New Roman" w:cs="Times New Roman" w:eastAsia="Times New Roman" w:hAnsi="Times New Roman"/>
          <w:sz w:val="22"/>
          <w:szCs w:val="22"/>
        </w:rPr>
        <w:t xml:space="preserve">En caso de cese de actividad, PARTILOT se compromete a: notificarlo con un mínimo de noventa (90) días de antelación; devolver íntegramente a cada Entidad los fondos depositados para el pago de premios pendientes de aplicación, en el plazo máximo de treinta (30) días; mantener operativos los sistemas de cobro durante el preaviso; y facilitar la exportación de datos antes de la fecha efectiva del cese.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Los fondos depositados por las Entidades para el pago de premios están separados operativamente del patrimonio de PARTILOT. En ningún caso podrán verse afectados por situaciones de insolvencia o concurso de acreedores de PARTILOT, siendo restituidos a las Entidades con carácter preferente.</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IV. Naturaleza del servicio y posición jurídica de PARTILOT</w:t>
      </w:r>
    </w:p>
    <w:p>
      <w:pPr>
        <w:keepNext/>
        <w:spacing w:after="110" w:before="220"/>
      </w:pPr>
      <w:r>
        <w:rPr>
          <w:rFonts w:ascii="Times New Roman" w:cs="Times New Roman" w:eastAsia="Times New Roman" w:hAnsi="Times New Roman"/>
          <w:b/>
          <w:bCs/>
          <w:sz w:val="22"/>
          <w:szCs w:val="22"/>
        </w:rPr>
        <w:t xml:space="preserve">Artículo 4.1. Plataforma de gestión: delimitación de la actividad</w:t>
      </w:r>
    </w:p>
    <w:p>
      <w:pPr>
        <w:spacing w:after="90" w:before="90" w:line="300"/>
        <w:jc w:val="both"/>
      </w:pPr>
      <w:r>
        <w:rPr>
          <w:rFonts w:ascii="Times New Roman" w:cs="Times New Roman" w:eastAsia="Times New Roman" w:hAnsi="Times New Roman"/>
          <w:sz w:val="22"/>
          <w:szCs w:val="22"/>
        </w:rPr>
        <w:t xml:space="preserve">PARTILOT es exclusivamente una plataforma de software de gestión. En ningún caso actúa como operador de loterías o juegos de azar, intermediario financiero, entidad de pago o entidad de dinero electrónico. Las relaciones comerciales entre Puntos de Venta Autorizados, Entidades, Vendedores y Usuarios Finales derivadas de la compraventa de participaciones son privadas y externas a la Plataforma, sin intervención ni responsabilidad de PARTILOT.</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4.1 bis. Deslinde de responsabilidad sobre la relación operativa entre el Punto de Venta Autorizado y la Entidad</w:t>
      </w:r>
    </w:p>
    <w:p>
      <w:pPr>
        <w:spacing w:after="90" w:before="90" w:line="300"/>
        <w:jc w:val="both"/>
      </w:pPr>
      <w:r>
        <w:rPr>
          <w:rFonts w:ascii="Times New Roman" w:cs="Times New Roman" w:eastAsia="Times New Roman" w:hAnsi="Times New Roman"/>
          <w:sz w:val="22"/>
          <w:szCs w:val="22"/>
        </w:rPr>
        <w:t xml:space="preserve">El presente marco legal regula exclusivamente el acceso y uso de la Plataforma como herramienta tecnológica. Los procesos operativos que la Entidad realice a través de la Plataforma en su relación con el Punto de Venta Autorizado —incluyendo, sin carácter limitativo, la reserva de números y cantidades de lotería, el diseño de las participaciones, y el proceso de devolución y liquidación— constituyen una relación jurídica y operativa exclusivamente entre el Punto de Venta Autorizado y la Entidad, de la que PARTILOT no es parte.</w:t>
      </w:r>
    </w:p>
    <w:p>
      <w:pPr>
        <w:spacing w:after="90" w:before="90" w:line="300"/>
        <w:jc w:val="both"/>
      </w:pPr>
      <w:r>
        <w:rPr>
          <w:rFonts w:ascii="Times New Roman" w:cs="Times New Roman" w:eastAsia="Times New Roman" w:hAnsi="Times New Roman"/>
          <w:sz w:val="22"/>
          <w:szCs w:val="22"/>
        </w:rPr>
        <w:t xml:space="preserve">PARTILOT actúa en dichos procesos como proveedor de una herramienta técnica neutral que registra, documenta y da soporte a las decisiones e instrucciones introducidas por el Punto de Venta Autorizado y la Entidad, sin intervenir en su contenido, corrección, adecuación o conveniencia. Las validaciones automáticas que el sistema pueda aplicar (a título de ejemplo, que el número de participaciones configurado no exceda la reserva introducida) tienen naturaleza puramente técnica y no implican supervisión, revisión ni responsabilidad de PARTILOT sobre la corrección sustantiva de dichos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PARTILOT no asume responsabilidad alguna por errores, discrepancias, defectos o incumplimientos derivados de la relación operativa entre el Punto de Venta Autorizado y la Entidad, incluyendo entre otros: reservas de números o cantidades incorrectas, diseños de participaciones con errores, o devoluciones y liquidaciones incorrectas entre ambos, con independencia de que dichos errores se hayan producido en el uso de la Plataforma.</w:t>
            </w:r>
          </w:p>
        </w:tc>
      </w:tr>
    </w:tbl>
    <w:p>
      <w:pPr>
        <w:spacing w:after="90" w:before="90" w:line="300"/>
        <w:jc w:val="both"/>
      </w:pPr>
      <w:r>
        <w:rPr>
          <w:rFonts w:ascii="Times New Roman" w:cs="Times New Roman" w:eastAsia="Times New Roman" w:hAnsi="Times New Roman"/>
          <w:sz w:val="22"/>
          <w:szCs w:val="22"/>
        </w:rPr>
        <w:t xml:space="preserve">En particular, el pago del importe de la lotería adquirida por la Entidad, la devolución de las participaciones no vendidas y el cumplimiento de los términos económicos de la liquidación acordada entre el Punto de Venta Autorizado y la Entidad son obligaciones que ambos asumen entre sí, no frente a PARTILOT. PARTILOT no es acreedora de dichas obligaciones ni interviene en su exigencia o cumplimiento, sin perjuicio de las herramientas técnicas que la Plataforma pueda ofrecer para documentar dicha relación.</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4.2. Servicio de gestión de pagos de premios</w:t>
      </w:r>
    </w:p>
    <w:p>
      <w:pPr>
        <w:spacing w:after="90" w:before="90" w:line="300"/>
        <w:jc w:val="both"/>
      </w:pPr>
      <w:r>
        <w:rPr>
          <w:rFonts w:ascii="Times New Roman" w:cs="Times New Roman" w:eastAsia="Times New Roman" w:hAnsi="Times New Roman"/>
          <w:sz w:val="22"/>
          <w:szCs w:val="22"/>
        </w:rPr>
        <w:t xml:space="preserve">La única intervención de PARTILOT en materia económica es la prestación del servicio opcional de gestión técnica de pagos de premios menores, por cuenta y encargo exclusivo de la Entidad, bajo las siguientes condiciones acumulativas: formalización previa de un Acuerdo Específico de Mandato de Pago entre la Entidad y PARTILOT para cada sorteo con premios, firmado conforme al artículo 2.3 ter; ingreso previo por la Entidad del importe íntegro de los premios a gestionar; y validación por PARTILOT de la recepción de dichos fondos, acto que no implica apropiación, titularidad ni gestión financiera propia.</w:t>
      </w:r>
    </w:p>
    <w:p>
      <w:pPr>
        <w:spacing w:after="90" w:before="90" w:line="300"/>
        <w:jc w:val="both"/>
      </w:pPr>
      <w:r>
        <w:rPr>
          <w:rFonts w:ascii="Times New Roman" w:cs="Times New Roman" w:eastAsia="Times New Roman" w:hAnsi="Times New Roman"/>
          <w:sz w:val="22"/>
          <w:szCs w:val="22"/>
        </w:rPr>
        <w:t xml:space="preserve">PARTILOT gestiona exclusivamente premios menores, es decir, aquellos cuyo importe individual no supera el umbral a partir del cual la normativa fiscal española establece la obligación de practicar retención de IRPF. Los premios que superen dicho umbral deben ser cobrados directamente por la Entidad, fuera del ámbito de este servicio.</w:t>
      </w:r>
    </w:p>
    <w:p>
      <w:pPr>
        <w:spacing w:after="90" w:before="90" w:line="300"/>
        <w:jc w:val="both"/>
      </w:pPr>
      <w:r>
        <w:rPr>
          <w:rFonts w:ascii="Times New Roman" w:cs="Times New Roman" w:eastAsia="Times New Roman" w:hAnsi="Times New Roman"/>
          <w:sz w:val="22"/>
          <w:szCs w:val="22"/>
        </w:rPr>
        <w:t xml:space="preserve">PARTILOT no ostenta en ningún momento la titularidad de los fondos destinados al pago de premios. Dichos fondos son propiedad de la Entidad, que ya los ha percibido con carácter previo del Punto de Venta Autorizado como titular de los décimos premiados, y que encarga a PARTILOT su distribución técnica entre los participantes con derecho a cobro. Los fondos quedan afectados exclusivamente al pago de los premios acordados. Una vez concluido el plazo legal de cobro (tres meses desde la fecha del sorteo), los fondos no aplicados serán devueltos íntegramente a la Entidad en el plazo máximo de treinta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PARTILOT no es entidad bancaria ni de pago. Los fondos para el pago de premios son propiedad de la Entidad en todo momento y solo son gestionados técnicamente por PARTILOT en virtud de un mandato documentado. Si la Entidad no realiza el ingreso previo, PARTILOT no podrá habilitar las opciones de cobro, siendo la Entidad la única responsable frente a los titulares de participaciones premiadas.</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4.3. Cobro de premios por el Usuario Final: modalidades e irrevocabilidad</w:t>
      </w:r>
    </w:p>
    <w:p>
      <w:pPr>
        <w:spacing w:after="90" w:before="90" w:line="300"/>
        <w:jc w:val="both"/>
      </w:pPr>
      <w:r>
        <w:rPr>
          <w:rFonts w:ascii="Times New Roman" w:cs="Times New Roman" w:eastAsia="Times New Roman" w:hAnsi="Times New Roman"/>
          <w:sz w:val="22"/>
          <w:szCs w:val="22"/>
        </w:rPr>
        <w:t xml:space="preserve">Cuando una participación resulta premiada y la Entidad ha habilitado el servicio de gestión de pagos, el Usuario Final deberá elegir el destino del premio en el mismo acto de cobro, entre transferencia bancaria, donación a la Entidad, o generación de código de recarga. Las tres modalidades son excluyentes entre sí para cada operación y, una vez confirmadas, completamente irreversibles. No existe saldo, bolsa ni acumulación de importes premiados en la Plataforma a nombre del Usuario Final.</w:t>
      </w:r>
    </w:p>
    <w:p>
      <w:pPr>
        <w:spacing w:after="90" w:before="160"/>
      </w:pPr>
      <w:r>
        <w:rPr>
          <w:rFonts w:ascii="Times New Roman" w:cs="Times New Roman" w:eastAsia="Times New Roman" w:hAnsi="Times New Roman"/>
          <w:b/>
          <w:bCs/>
          <w:i/>
          <w:iCs/>
          <w:sz w:val="22"/>
          <w:szCs w:val="22"/>
        </w:rPr>
        <w:t xml:space="preserve">Modalidad A — Transferencia bancaria</w:t>
      </w:r>
    </w:p>
    <w:p>
      <w:pPr>
        <w:spacing w:after="90" w:before="90" w:line="300"/>
        <w:jc w:val="both"/>
      </w:pPr>
      <w:r>
        <w:rPr>
          <w:rFonts w:ascii="Times New Roman" w:cs="Times New Roman" w:eastAsia="Times New Roman" w:hAnsi="Times New Roman"/>
          <w:sz w:val="22"/>
          <w:szCs w:val="22"/>
        </w:rPr>
        <w:t xml:space="preserve">El usuario solicita la transferencia del importe premiado a su IBAN. Una vez confirmada, la operación es irreversible. Si el banco rechaza la transferencia por datos incorrectos, la participación retorna al estado pendiente de cobro.</w:t>
      </w:r>
    </w:p>
    <w:p>
      <w:pPr>
        <w:spacing w:after="90" w:before="160"/>
      </w:pPr>
      <w:r>
        <w:rPr>
          <w:rFonts w:ascii="Times New Roman" w:cs="Times New Roman" w:eastAsia="Times New Roman" w:hAnsi="Times New Roman"/>
          <w:b/>
          <w:bCs/>
          <w:i/>
          <w:iCs/>
          <w:sz w:val="22"/>
          <w:szCs w:val="22"/>
        </w:rPr>
        <w:t xml:space="preserve">Modalidad B — Donación a la Entidad emisora</w:t>
      </w:r>
    </w:p>
    <w:p>
      <w:pPr>
        <w:spacing w:after="90" w:before="90" w:line="300"/>
        <w:jc w:val="both"/>
      </w:pPr>
      <w:r>
        <w:rPr>
          <w:rFonts w:ascii="Times New Roman" w:cs="Times New Roman" w:eastAsia="Times New Roman" w:hAnsi="Times New Roman"/>
          <w:sz w:val="22"/>
          <w:szCs w:val="22"/>
        </w:rPr>
        <w:t xml:space="preserve">El usuario puede donar todo o parte del premio. Antes de confirmar, debe aceptar expresamente que: el importe se transfiere íntegramente a la Entidad; la donación es irreversible; la facilitación de datos fiscales para certificado es voluntaria; y la emisión del certificado es responsabilidad exclusiva de la Entidad.</w:t>
      </w:r>
    </w:p>
    <w:p>
      <w:pPr>
        <w:spacing w:after="90" w:before="160"/>
      </w:pPr>
      <w:r>
        <w:rPr>
          <w:rFonts w:ascii="Times New Roman" w:cs="Times New Roman" w:eastAsia="Times New Roman" w:hAnsi="Times New Roman"/>
          <w:b/>
          <w:bCs/>
          <w:i/>
          <w:iCs/>
          <w:sz w:val="22"/>
          <w:szCs w:val="22"/>
        </w:rPr>
        <w:t xml:space="preserve">Modalidad C — Generación de código de recarga</w:t>
      </w:r>
    </w:p>
    <w:p>
      <w:pPr>
        <w:spacing w:after="90" w:before="90" w:line="300"/>
        <w:jc w:val="both"/>
      </w:pPr>
      <w:r>
        <w:rPr>
          <w:rFonts w:ascii="Times New Roman" w:cs="Times New Roman" w:eastAsia="Times New Roman" w:hAnsi="Times New Roman"/>
          <w:sz w:val="22"/>
          <w:szCs w:val="22"/>
        </w:rPr>
        <w:t xml:space="preserve">El usuario puede convertir el premio en un código canjeable en la web del Punto de Venta Autorizado. Debe aceptar expresamente que: supone renuncia irrevocable al cobro en metálico; equivale al 100% del importe sin comisión; tiene fecha de caducidad visible antes de la confirmación; es de uso único y personal; y solo es canjeable en la web del Punto de Venta Autorizado vinculado a la Entidad emisora.</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4.4. Venta de participaciones a través de la web de la Entidad</w:t>
      </w:r>
    </w:p>
    <w:p>
      <w:pPr>
        <w:spacing w:after="90" w:before="90" w:line="300"/>
        <w:jc w:val="both"/>
      </w:pPr>
      <w:r>
        <w:rPr>
          <w:rFonts w:ascii="Times New Roman" w:cs="Times New Roman" w:eastAsia="Times New Roman" w:hAnsi="Times New Roman"/>
          <w:sz w:val="22"/>
          <w:szCs w:val="22"/>
        </w:rPr>
        <w:t xml:space="preserve">PARTILOT presta un servicio técnico de gestión de cobros en nombre y por cuenta de la Entidad, sin intervenir en la relación comercial entre esta y el comprador. Los importes recaudados son transferidos íntegramente a la Entidad, sin deducción de comisión sobre ventas. El único ingreso de PARTILOT es la cuota de gestión del servicio abonada con anterioridad.</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V. Operativa, obligaciones y responsabilidades</w:t>
      </w:r>
    </w:p>
    <w:p>
      <w:pPr>
        <w:keepNext/>
        <w:spacing w:after="110" w:before="220"/>
      </w:pPr>
      <w:r>
        <w:rPr>
          <w:rFonts w:ascii="Times New Roman" w:cs="Times New Roman" w:eastAsia="Times New Roman" w:hAnsi="Times New Roman"/>
          <w:b/>
          <w:bCs/>
          <w:sz w:val="22"/>
          <w:szCs w:val="22"/>
        </w:rPr>
        <w:t xml:space="preserve">Artículo 5.1. Creación y configuración de participaciones</w:t>
      </w:r>
    </w:p>
    <w:p>
      <w:pPr>
        <w:spacing w:after="90" w:before="90" w:line="300"/>
        <w:jc w:val="both"/>
      </w:pPr>
      <w:r>
        <w:rPr>
          <w:rFonts w:ascii="Times New Roman" w:cs="Times New Roman" w:eastAsia="Times New Roman" w:hAnsi="Times New Roman"/>
          <w:sz w:val="22"/>
          <w:szCs w:val="22"/>
        </w:rPr>
        <w:t xml:space="preserve">El Punto de Venta Autorizado es el único facultado para crear reservas de décimos vinculadas a una Entidad y a un sorteo específico. Las Administraciones de Lotería pueden gestionar reservas tanto sobre décimos físicos preimpresos como sobre lotería por terminal; los Puntos Mixtos únicamente sobre lotería por terminal, al no estar autorizados a la venta de décimos físicos preimpresos.</w:t>
      </w:r>
    </w:p>
    <w:p>
      <w:pPr>
        <w:spacing w:after="90" w:before="90" w:line="300"/>
        <w:jc w:val="both"/>
      </w:pPr>
      <w:r>
        <w:rPr>
          <w:rFonts w:ascii="Times New Roman" w:cs="Times New Roman" w:eastAsia="Times New Roman" w:hAnsi="Times New Roman"/>
          <w:sz w:val="22"/>
          <w:szCs w:val="22"/>
        </w:rPr>
        <w:t xml:space="preserve">El Punto de Venta Autorizado y la Entidad son responsables de que los datos introducidos sean coherentes entre sí, conforme a lo dispuesto en el artículo 4.1 bis. La Plataforma podrá aplicar validaciones técnicas automáticas y, en su caso, impedir la continuación del proceso ante incoherencias detectadas por dichas validaciones, sin que ello implique supervisión sustantiva ni genere responsabilidad para PARTILOT.</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5.2. Límite normativo del donativo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El donativo incorporado al precio de la participación no podrá superar el 20% del valor de la lotería jugada por participación. La Plataforma emitirá una advertencia automática al detectar la superación de este límite. La decisión de proceder pese a la advertencia es responsabilidad exclusiva del Punto de Venta Autorizado o la Entidad.</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5.3. Régimen de la donación de premios y protección de datos del donante</w:t>
      </w:r>
    </w:p>
    <w:p>
      <w:pPr>
        <w:spacing w:after="90" w:before="90" w:line="300"/>
        <w:jc w:val="both"/>
      </w:pPr>
      <w:r>
        <w:rPr>
          <w:rFonts w:ascii="Times New Roman" w:cs="Times New Roman" w:eastAsia="Times New Roman" w:hAnsi="Times New Roman"/>
          <w:sz w:val="22"/>
          <w:szCs w:val="22"/>
        </w:rPr>
        <w:t xml:space="preserve">PARTILOT actúa exclusivamente como intermediario técnico: presenta la información necesaria, recoge la confirmación del usuario y transmite el importe donado a la Entidad. Los datos fiscales facilitados voluntariamente son tratados por PARTILOT durante un plazo máximo de nueve (9) meses desde la celebración del sorteo, exclusivamente para su puesta a disposición de la Entidad; una vez que esta accede a dichos datos, asume la condición de responsable del tratamiento. La deducibilidad fiscal de la donación depende exclusivamente del régimen de la Entidad; PARTILOT no garantiza ni asume responsabilidad sobre dicho régimen.</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5.4. Responsabilidad sobre la asignación de material físico</w:t>
      </w:r>
    </w:p>
    <w:p>
      <w:pPr>
        <w:spacing w:after="90" w:before="90" w:line="300"/>
        <w:jc w:val="both"/>
      </w:pPr>
      <w:r>
        <w:rPr>
          <w:rFonts w:ascii="Times New Roman" w:cs="Times New Roman" w:eastAsia="Times New Roman" w:hAnsi="Times New Roman"/>
          <w:sz w:val="22"/>
          <w:szCs w:val="22"/>
        </w:rPr>
        <w:t xml:space="preserve">La firma del justificante de recepción de participaciones físicas por el Vendedor acredita la recepción del material y vincula al Vendedor con la responsabilidad sobre las participaciones desde ese momento.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5.4 bis. Custodia de archivos digitales de participaciones físicas y prohibición de duplicación</w:t>
      </w:r>
    </w:p>
    <w:p>
      <w:pPr>
        <w:spacing w:after="90" w:before="90" w:line="300"/>
        <w:jc w:val="both"/>
      </w:pPr>
      <w:r>
        <w:rPr>
          <w:rFonts w:ascii="Times New Roman" w:cs="Times New Roman" w:eastAsia="Times New Roman" w:hAnsi="Times New Roman"/>
          <w:sz w:val="22"/>
          <w:szCs w:val="22"/>
        </w:rPr>
        <w:t xml:space="preserve">Cada participación física incorpora un código de identificación único, generado una única vez por el sistema en el momento de la creación del Set. Una vez que el archivo del Set es descargado por el Punto de Venta Autorizado o la Entidad, la custodia y el uso de dicho archivo son responsabilidad exclusiva de quien lo descarga. PARTILOT no registra el número de veces que un archivo es descargado, impreso o reproducido.</w:t>
      </w:r>
    </w:p>
    <w:p>
      <w:pPr>
        <w:spacing w:after="90" w:before="90" w:line="300"/>
        <w:jc w:val="both"/>
      </w:pPr>
      <w:r>
        <w:rPr>
          <w:rFonts w:ascii="Times New Roman" w:cs="Times New Roman" w:eastAsia="Times New Roman" w:hAnsi="Times New Roman"/>
          <w:sz w:val="22"/>
          <w:szCs w:val="22"/>
        </w:rPr>
        <w:t xml:space="preserve">Queda expresamente prohibido: imprimir o reproducir un archivo de participaciones más veces de las estrictamente necesarias para la distribución acordada; fotocopiar, escanear o reproducir participaciones físicas ya impresas; distribuir o entregar a terceros cualquier reproducción haciéndola pasar por original; y utilizar reproducciones para intentar cobrar un premio ya cobrado o correspondiente a otra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El sistema permite el cobro de cada participación una única vez, registrando la primera en ser procesada. La duplicación intencionada de participaciones físicas para obtener un cobro indebido puede constituir un delito de estafa conforme al artículo 248 y siguientes del Código Penal. PARTILOT no asume responsabilidad alguna por conflictos derivados de participaciones duplicadas.</w:t>
            </w:r>
          </w:p>
        </w:tc>
      </w:tr>
    </w:tbl>
    <w:p>
      <w:pPr>
        <w:spacing w:after="90" w:before="90" w:line="300"/>
        <w:jc w:val="both"/>
      </w:pPr>
      <w:r>
        <w:rPr>
          <w:rFonts w:ascii="Times New Roman" w:cs="Times New Roman" w:eastAsia="Times New Roman" w:hAnsi="Times New Roman"/>
          <w:sz w:val="22"/>
          <w:szCs w:val="22"/>
        </w:rPr>
        <w:t xml:space="preserve">Cuando la Entidad gestiona el cobro de premios de forma presencial, está obligada a verificar cada participación en el panel de gestión antes de realizar el pago, para confirmar que no ha sido cobrada previamente. Si realiza un pago presencial sin esta verificación y posteriormente se presenta la misma participación en la Plataforma, la responsabilidad del doble pago recae íntegramente en la Entidad.</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5.5. Venta de participaciones digitales y verificación de edad</w:t>
      </w:r>
    </w:p>
    <w:p>
      <w:pPr>
        <w:spacing w:after="90" w:before="90" w:line="300"/>
        <w:jc w:val="both"/>
      </w:pPr>
      <w:r>
        <w:rPr>
          <w:rFonts w:ascii="Times New Roman" w:cs="Times New Roman" w:eastAsia="Times New Roman" w:hAnsi="Times New Roman"/>
          <w:sz w:val="22"/>
          <w:szCs w:val="22"/>
        </w:rPr>
        <w:t xml:space="preserve">La Entidad y el Vendedor son responsables exclusivos de verificar que los compradores sean mayores de 18 años. Si un comprador es bloqueado por minoría de edad, la Entidad podrá revertir la operación de venta correspondiente, siendo responsable de gestionar la devolución del importe.</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5.6. Traspaso de participaciones entre usuarios</w:t>
      </w:r>
    </w:p>
    <w:p>
      <w:pPr>
        <w:spacing w:after="90" w:before="90" w:line="300"/>
        <w:jc w:val="both"/>
      </w:pPr>
      <w:r>
        <w:rPr>
          <w:rFonts w:ascii="Times New Roman" w:cs="Times New Roman" w:eastAsia="Times New Roman" w:hAnsi="Times New Roman"/>
          <w:sz w:val="22"/>
          <w:szCs w:val="22"/>
        </w:rPr>
        <w:t xml:space="preserve">El Usuario Final podrá traspasar participaciones digitales a otros usuarios. Una vez aceptado el traspaso, la titularidad se transfiere de forma irrevocable. Si el destinatario no acepta antes del sorteo, la participación retorna automáticamente al cedente.</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5.7. Vinculación de participaciones físicas a la cuenta digital</w:t>
      </w:r>
    </w:p>
    <w:p>
      <w:pPr>
        <w:spacing w:after="90" w:before="90" w:line="300"/>
        <w:jc w:val="both"/>
      </w:pPr>
      <w:r>
        <w:rPr>
          <w:rFonts w:ascii="Times New Roman" w:cs="Times New Roman" w:eastAsia="Times New Roman" w:hAnsi="Times New Roman"/>
          <w:sz w:val="22"/>
          <w:szCs w:val="22"/>
        </w:rPr>
        <w:t xml:space="preserve">El Usuario Final puede vincular una participación física a su cuenta mediante el escáner de la App. Una vez completado, la vinculación es permanente e irrevocable. El Usuario deberá conservar el soporte físico original para posibles verificaciones presenciales.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VI. Liquidación y cierre del ciclo comercial</w:t>
      </w:r>
    </w:p>
    <w:p>
      <w:pPr>
        <w:keepNext/>
        <w:spacing w:after="110" w:before="220"/>
      </w:pPr>
      <w:r>
        <w:rPr>
          <w:rFonts w:ascii="Times New Roman" w:cs="Times New Roman" w:eastAsia="Times New Roman" w:hAnsi="Times New Roman"/>
          <w:b/>
          <w:bCs/>
          <w:sz w:val="22"/>
          <w:szCs w:val="22"/>
        </w:rPr>
        <w:t xml:space="preserve">Artículo 6.1. Devolución del Vendedor a la Entidad</w:t>
      </w:r>
    </w:p>
    <w:p>
      <w:pPr>
        <w:spacing w:after="90" w:before="90" w:line="300"/>
        <w:jc w:val="both"/>
      </w:pPr>
      <w:r>
        <w:rPr>
          <w:rFonts w:ascii="Times New Roman" w:cs="Times New Roman" w:eastAsia="Times New Roman" w:hAnsi="Times New Roman"/>
          <w:sz w:val="22"/>
          <w:szCs w:val="22"/>
        </w:rPr>
        <w:t xml:space="preserve">El Vendedor podrá realizar devoluciones parciales o totales. En cierre total, las participaciones no devueltas se consideran vendidas. PARTILOT no interviene en el movimiento económico entre Vendedor y Entidad.</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6.2. Liquidación definitiva con el Punto de Venta Autorizado</w:t>
      </w:r>
    </w:p>
    <w:p>
      <w:pPr>
        <w:spacing w:after="90" w:before="90" w:line="300"/>
        <w:jc w:val="both"/>
      </w:pPr>
      <w:r>
        <w:rPr>
          <w:rFonts w:ascii="Times New Roman" w:cs="Times New Roman" w:eastAsia="Times New Roman" w:hAnsi="Times New Roman"/>
          <w:sz w:val="22"/>
          <w:szCs w:val="22"/>
        </w:rPr>
        <w:t xml:space="preserve">La liquidación definitiva es el acto formal mediante el cual el Gestor Responsable cierra el ciclo comercial de la Entidad con el Punto de Venta Autorizado.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liquidación definitiva, una vez confirmada mediante el procedimiento de seguridad establecido, no podrá ser modificada, cancelada ni revertida bajo ninguna circunstancia. PARTILOT no asumirá responsabilidad por errores derivados de una liquidación incorrecta o precipitada, conforme al deslinde establecido en el artículo 4.1 bis.</w:t>
            </w:r>
          </w:p>
        </w:tc>
      </w:tr>
    </w:tbl>
    <w:p>
      <w:pPr>
        <w:spacing w:after="90" w:before="160"/>
      </w:pPr>
      <w:r>
        <w:rPr>
          <w:rFonts w:ascii="Times New Roman" w:cs="Times New Roman" w:eastAsia="Times New Roman" w:hAnsi="Times New Roman"/>
          <w:b/>
          <w:bCs/>
          <w:i/>
          <w:iCs/>
          <w:sz w:val="22"/>
          <w:szCs w:val="22"/>
        </w:rPr>
        <w:t xml:space="preserve">Regla especial: sorteos con Premio Especial al décimo (décimos de 15 €)</w:t>
      </w:r>
    </w:p>
    <w:p>
      <w:pPr>
        <w:spacing w:after="90" w:before="90" w:line="300"/>
        <w:jc w:val="both"/>
      </w:pPr>
      <w:r>
        <w:rPr>
          <w:rFonts w:ascii="Times New Roman" w:cs="Times New Roman" w:eastAsia="Times New Roman" w:hAnsi="Times New Roman"/>
          <w:sz w:val="22"/>
          <w:szCs w:val="22"/>
        </w:rPr>
        <w:t xml:space="preserve">En estos sorteos, el premio total se obtiene sumando la totalidad de los premios de todos los décimos del listado validado (premio base del Primer Premio por décimo más el Premio Especial). El importe resultante se divide en partes iguales entre todas las participaciones vendidas de ese número, con independencia del importe jugado en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Fórmula: Premio total = (Premio base × nº de décimos adjudicados) + Premio Especial. Premio por participación = Premio total ÷ nº de participaciones vendidas. Ejemplo: 5 décimos, premio base 400.000 €/décimo, Premio Especial 200.000 €. Premio total = 2.200.000 €. Con 1.000 participaciones vendidas: 2.200 € por participación.</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6.3. Incumplimiento de la Entidad: opciones del Punto de Venta Autorizado</w:t>
      </w:r>
    </w:p>
    <w:p>
      <w:pPr>
        <w:spacing w:after="90" w:before="90" w:line="300"/>
        <w:jc w:val="both"/>
      </w:pPr>
      <w:r>
        <w:rPr>
          <w:rFonts w:ascii="Times New Roman" w:cs="Times New Roman" w:eastAsia="Times New Roman" w:hAnsi="Times New Roman"/>
          <w:sz w:val="22"/>
          <w:szCs w:val="22"/>
        </w:rPr>
        <w:t xml:space="preserve">Si llegada la fecha del sorteo la Entidad no hubiera completado la liquidación, PARTILOT habilitará las opciones irrevocables de anulación por incumplimiento o asunción de la deuda por el Punto de Venta Autorizado, conforme a la decisión que este adopte.</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VII. Escrutinio y responsabilidad sobre premios</w:t>
      </w:r>
    </w:p>
    <w:p>
      <w:pPr>
        <w:keepNext/>
        <w:spacing w:after="110" w:before="220"/>
      </w:pPr>
      <w:r>
        <w:rPr>
          <w:rFonts w:ascii="Times New Roman" w:cs="Times New Roman" w:eastAsia="Times New Roman" w:hAnsi="Times New Roman"/>
          <w:b/>
          <w:bCs/>
          <w:sz w:val="22"/>
          <w:szCs w:val="22"/>
        </w:rPr>
        <w:t xml:space="preserve">Artículo 7.1. Escrutinio de resultados</w:t>
      </w:r>
    </w:p>
    <w:p>
      <w:pPr>
        <w:spacing w:after="90" w:before="90" w:line="300"/>
        <w:jc w:val="both"/>
      </w:pPr>
      <w:r>
        <w:rPr>
          <w:rFonts w:ascii="Times New Roman" w:cs="Times New Roman" w:eastAsia="Times New Roman" w:hAnsi="Times New Roman"/>
          <w:sz w:val="22"/>
          <w:szCs w:val="22"/>
        </w:rPr>
        <w:t xml:space="preserve">PARTILOT obtiene los resultados oficiales de SELAE y los vincula a las participaciones activas. La veracidad de los datos de origen es responsabilidad de SELAE.</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7.2. Responsabilidad exclusiva del Punto de Venta Autorizado en el escrutinio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Cada Punto de Venta Autorizado deberá verificar individualmente y bajo su exclusiva responsabilidad los datos de premios antes de confirmar el escrutinio. Los costes derivados de cualquier error en un escrutinio ya confirmado serán íntegramente a su cargo.</w:t>
            </w:r>
          </w:p>
        </w:tc>
      </w:tr>
    </w:tbl>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7.3. Plazo legal de cobro de premios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El derecho al cobro de premios caduca a los TRES (3) MESES desde la fecha oficial del sorteo. Transcurrido este plazo, ninguna participación premiada podrá ser objeto de reclamación.</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VIII. Saldo de servicio y códigos promocionales</w:t>
      </w:r>
    </w:p>
    <w:p>
      <w:pPr>
        <w:keepNext/>
        <w:spacing w:after="110" w:before="220"/>
      </w:pPr>
      <w:r>
        <w:rPr>
          <w:rFonts w:ascii="Times New Roman" w:cs="Times New Roman" w:eastAsia="Times New Roman" w:hAnsi="Times New Roman"/>
          <w:b/>
          <w:bCs/>
          <w:sz w:val="22"/>
          <w:szCs w:val="22"/>
        </w:rPr>
        <w:t xml:space="preserve">Artículo 8.1. Saldo de servicio por participaciones no utilizadas</w:t>
      </w:r>
    </w:p>
    <w:p>
      <w:pPr>
        <w:spacing w:after="90" w:before="90" w:line="300"/>
        <w:jc w:val="both"/>
      </w:pPr>
      <w:r>
        <w:rPr>
          <w:rFonts w:ascii="Times New Roman" w:cs="Times New Roman" w:eastAsia="Times New Roman" w:hAnsi="Times New Roman"/>
          <w:sz w:val="22"/>
          <w:szCs w:val="22"/>
        </w:rPr>
        <w:t xml:space="preserve">Cuando participaciones abonadas no sean vendidas y sean debidamente declaradas al cierre del ciclo, PARTILOT calculará un saldo de servicio equivalente al coste de gestión abonado. Este saldo caduca a los quince (15) meses, no es reembolsable en efectivo, y solo es aplicable a futuras contrataciones.</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8.2. Códigos promocionales</w:t>
      </w:r>
    </w:p>
    <w:p>
      <w:pPr>
        <w:spacing w:after="90" w:before="90" w:line="300"/>
        <w:jc w:val="both"/>
      </w:pPr>
      <w:r>
        <w:rPr>
          <w:rFonts w:ascii="Times New Roman" w:cs="Times New Roman" w:eastAsia="Times New Roman" w:hAnsi="Times New Roman"/>
          <w:sz w:val="22"/>
          <w:szCs w:val="22"/>
        </w:rPr>
        <w:t xml:space="preserve">Aplicables exclusivamente sobre el coste del servicio de gestión. El saldo de servicio acumulado tiene carácter preferente sobre el código promocional.</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IX. Condiciones específicas de la aplicación móvil</w:t>
      </w:r>
    </w:p>
    <w:p>
      <w:pPr>
        <w:keepNext/>
        <w:spacing w:after="110" w:before="220"/>
      </w:pPr>
      <w:r>
        <w:rPr>
          <w:rFonts w:ascii="Times New Roman" w:cs="Times New Roman" w:eastAsia="Times New Roman" w:hAnsi="Times New Roman"/>
          <w:b/>
          <w:bCs/>
          <w:sz w:val="22"/>
          <w:szCs w:val="22"/>
        </w:rPr>
        <w:t xml:space="preserve">Artículo 9.1. Canales de distribución y versiones</w:t>
      </w:r>
    </w:p>
    <w:p>
      <w:pPr>
        <w:spacing w:after="90" w:before="90" w:line="300"/>
        <w:jc w:val="both"/>
      </w:pPr>
      <w:r>
        <w:rPr>
          <w:rFonts w:ascii="Times New Roman" w:cs="Times New Roman" w:eastAsia="Times New Roman" w:hAnsi="Times New Roman"/>
          <w:sz w:val="22"/>
          <w:szCs w:val="22"/>
        </w:rPr>
        <w:t xml:space="preserve">Apple Inc. y Google LLC no son parte en el presente contrato ni asumen responsabilidad alguna por el contenido o funcionamiento de la App. PARTILOT podrá dejar de dar soporte a versiones anteriores con un preaviso mínimo de treinta (30) días.</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9.2. Permisos del dispositivo: cámara y geolocalización</w:t>
      </w:r>
    </w:p>
    <w:p>
      <w:pPr>
        <w:spacing w:after="90" w:before="90" w:line="300"/>
        <w:jc w:val="both"/>
      </w:pPr>
      <w:r>
        <w:rPr>
          <w:rFonts w:ascii="Times New Roman" w:cs="Times New Roman" w:eastAsia="Times New Roman" w:hAnsi="Times New Roman"/>
          <w:sz w:val="22"/>
          <w:szCs w:val="22"/>
        </w:rPr>
        <w:t>La cámara se usa exclusivamente para la lectura de códigos de identificación de participaciones, sin almacenamiento de imágenes. La geolocalización se usa exclusivamente para verificar la elegibilidad geográfica conforme a las políticas de Apple App Store y Google Play para aplicaciones de loterías, sin seguimiento continuo ni elaboración de perfiles.</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9.3. Notificaciones push</w:t>
      </w:r>
    </w:p>
    <w:p>
      <w:pPr>
        <w:spacing w:after="90" w:before="90" w:line="300"/>
        <w:jc w:val="both"/>
      </w:pPr>
      <w:r>
        <w:rPr>
          <w:rFonts w:ascii="Times New Roman" w:cs="Times New Roman" w:eastAsia="Times New Roman" w:hAnsi="Times New Roman"/>
          <w:sz w:val="22"/>
          <w:szCs w:val="22"/>
        </w:rPr>
        <w:t xml:space="preserve">Las notificaciones de servicio no requieren consentimiento adicional. Las promocionales requieren consentimiento expreso, revocable en cualquier momento.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9.4. Seguridad del dispositivo</w:t>
      </w:r>
    </w:p>
    <w:p>
      <w:pPr>
        <w:spacing w:after="90" w:before="90" w:line="300"/>
        <w:jc w:val="both"/>
      </w:pPr>
      <w:r>
        <w:rPr>
          <w:rFonts w:ascii="Times New Roman" w:cs="Times New Roman" w:eastAsia="Times New Roman" w:hAnsi="Times New Roman"/>
          <w:sz w:val="22"/>
          <w:szCs w:val="22"/>
        </w:rPr>
        <w:t xml:space="preserve">El usuario es responsable de proteger su dispositivo. PARTILOT no responde de operaciones realizadas antes de la notificación de pérdida o robo.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9.5. Eliminación de cuenta desde la App</w:t>
      </w:r>
    </w:p>
    <w:p>
      <w:pPr>
        <w:spacing w:after="90" w:before="90" w:line="300"/>
        <w:jc w:val="both"/>
      </w:pPr>
      <w:r>
        <w:rPr>
          <w:rFonts w:ascii="Times New Roman" w:cs="Times New Roman" w:eastAsia="Times New Roman" w:hAnsi="Times New Roman"/>
          <w:sz w:val="22"/>
          <w:szCs w:val="22"/>
        </w:rPr>
        <w:t xml:space="preserve">Disponible desde el panel web y desde la App. La eliminación es irreversible una vez transcurridos los plazos de conservación legalmente obligatorios.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X. Limitación de responsabilidad y blindaje</w:t>
      </w:r>
    </w:p>
    <w:p>
      <w:pPr>
        <w:keepNext/>
        <w:spacing w:after="110" w:before="220"/>
      </w:pPr>
      <w:r>
        <w:rPr>
          <w:rFonts w:ascii="Times New Roman" w:cs="Times New Roman" w:eastAsia="Times New Roman" w:hAnsi="Times New Roman"/>
          <w:b/>
          <w:bCs/>
          <w:sz w:val="22"/>
          <w:szCs w:val="22"/>
        </w:rPr>
        <w:t xml:space="preserve">Artículo 10.1. Exclusión de responsabilidad por fallos técnicos y disponibilidad</w:t>
      </w:r>
    </w:p>
    <w:p>
      <w:pPr>
        <w:spacing w:after="90" w:before="90" w:line="300"/>
        <w:jc w:val="both"/>
      </w:pPr>
      <w:r>
        <w:rPr>
          <w:rFonts w:ascii="Times New Roman" w:cs="Times New Roman" w:eastAsia="Times New Roman" w:hAnsi="Times New Roman"/>
          <w:sz w:val="22"/>
          <w:szCs w:val="22"/>
        </w:rPr>
        <w:t xml:space="preserve">PARTILOT no garantiza disponibilidad ininterrumpida y no responde de interrupciones ajenas a su control, errores de escrutinio de SELAE, decisiones de los usuarios de su exclusiva competencia, ni daños indirectos o lucro cesante.</w:t>
      </w:r>
    </w:p>
    <w:p>
      <w:pPr>
        <w:spacing w:after="90" w:before="90" w:line="300"/>
        <w:jc w:val="both"/>
      </w:pPr>
      <w:r>
        <w:rPr>
          <w:rFonts w:ascii="Times New Roman" w:cs="Times New Roman" w:eastAsia="Times New Roman" w:hAnsi="Times New Roman"/>
          <w:sz w:val="22"/>
          <w:szCs w:val="22"/>
        </w:rPr>
        <w:t xml:space="preserve">La responsabilidad máxima de PARTILOT frente a cualquier usuario queda limitada al importe total abonado por dicho usuario en concepto de servicio de gestión durante los doce (12) meses anteriores al evento causante del daño.</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10.2. Fuerza mayor</w:t>
      </w:r>
    </w:p>
    <w:p>
      <w:pPr>
        <w:spacing w:after="90" w:before="90" w:line="300"/>
        <w:jc w:val="both"/>
      </w:pPr>
      <w:r>
        <w:rPr>
          <w:rFonts w:ascii="Times New Roman" w:cs="Times New Roman" w:eastAsia="Times New Roman" w:hAnsi="Times New Roman"/>
          <w:sz w:val="22"/>
          <w:szCs w:val="22"/>
        </w:rPr>
        <w:t xml:space="preserve">PARTILOT queda exonerada de responsabilidad ante circunstancias de fuerza mayor conforme al artículo 1105 del Código Civil.</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10.3. Indemnización por los usuarios</w:t>
      </w:r>
    </w:p>
    <w:p>
      <w:pPr>
        <w:spacing w:after="90" w:before="90" w:line="300"/>
        <w:jc w:val="both"/>
      </w:pPr>
      <w:r>
        <w:rPr>
          <w:rFonts w:ascii="Times New Roman" w:cs="Times New Roman" w:eastAsia="Times New Roman" w:hAnsi="Times New Roman"/>
          <w:sz w:val="22"/>
          <w:szCs w:val="22"/>
        </w:rPr>
        <w:t xml:space="preserve">Cada usuario se compromete a mantener indemne a PARTILOT frente a reclamaciones derivadas del incumplimiento del presente marco legal, del uso ilícito de la Plataforma, o de su actividad en ella.</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10.4. Propiedad intelectual e industrial</w:t>
      </w:r>
    </w:p>
    <w:p>
      <w:pPr>
        <w:spacing w:after="90" w:before="90" w:line="300"/>
        <w:jc w:val="both"/>
      </w:pPr>
      <w:r>
        <w:rPr>
          <w:rFonts w:ascii="Times New Roman" w:cs="Times New Roman" w:eastAsia="Times New Roman" w:hAnsi="Times New Roman"/>
          <w:sz w:val="22"/>
          <w:szCs w:val="22"/>
        </w:rPr>
        <w:t xml:space="preserve">Todos los elementos de la Plataforma son titularidad de PARTILOT o sus licenciantes. Los diseños creados por Entidades o Puntos de Venta Autorizados son titularidad de quien los crea, con licencia de uso técnico a favor de PARTILOT.</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10.5. Prevención del blanqueo de capitales y usos prohibidos</w:t>
      </w:r>
    </w:p>
    <w:p>
      <w:pPr>
        <w:spacing w:after="90" w:before="90" w:line="300"/>
        <w:jc w:val="both"/>
      </w:pPr>
      <w:r>
        <w:rPr>
          <w:rFonts w:ascii="Times New Roman" w:cs="Times New Roman" w:eastAsia="Times New Roman" w:hAnsi="Times New Roman"/>
          <w:sz w:val="22"/>
          <w:szCs w:val="22"/>
        </w:rPr>
        <w:t xml:space="preserve">Queda prohibido utilizar la Plataforma para blanqueo de capitales, financiación del terrorismo o cualquier actividad ilícita, conforme a la Ley 10/2010.</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10.5 bis. Contenidos generados por Puntos de Venta Autorizados, Entidades y Gestores</w:t>
      </w:r>
    </w:p>
    <w:p>
      <w:pPr>
        <w:spacing w:after="90" w:before="90" w:line="300"/>
        <w:jc w:val="both"/>
      </w:pPr>
      <w:r>
        <w:rPr>
          <w:rFonts w:ascii="Times New Roman" w:cs="Times New Roman" w:eastAsia="Times New Roman" w:hAnsi="Times New Roman"/>
          <w:sz w:val="22"/>
          <w:szCs w:val="22"/>
        </w:rPr>
        <w:t xml:space="preserve">PARTILOT proporciona herramientas de diseño y una plantilla orientativa con los datos técnicos mínimos del Set. Más allá de dicha plantilla, el diseño y contenido son de libre elección de quien los crea, que asume plena responsabilidad sobre el resultado. PARTILOT no supervisa ni modera previamente los contenidos, sin obligación de hacerlo.</w:t>
      </w:r>
    </w:p>
    <w:p>
      <w:pPr>
        <w:spacing w:after="90" w:before="90" w:line="300"/>
        <w:jc w:val="both"/>
      </w:pPr>
      <w:r>
        <w:rPr>
          <w:rFonts w:ascii="Times New Roman" w:cs="Times New Roman" w:eastAsia="Times New Roman" w:hAnsi="Times New Roman"/>
          <w:sz w:val="22"/>
          <w:szCs w:val="22"/>
        </w:rPr>
        <w:t xml:space="preserve">Queda prohibido incluir contenidos que infrinjan derechos de propiedad intelectual o industrial, imágenes de personas sin consentimiento, contenidos engañosos o que vulneren el honor o la normativa de publicidad. El usuario garantiza contar con las autorizaciones necesarias, asumiendo íntegramente la responsabilidad frente a PARTILOT y terceros en caso contrario.</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Capítulo XI. Modificación, baja y jurisdicción</w:t>
      </w:r>
    </w:p>
    <w:p>
      <w:pPr>
        <w:keepNext/>
        <w:spacing w:after="110" w:before="220"/>
      </w:pPr>
      <w:r>
        <w:rPr>
          <w:rFonts w:ascii="Times New Roman" w:cs="Times New Roman" w:eastAsia="Times New Roman" w:hAnsi="Times New Roman"/>
          <w:b/>
          <w:bCs/>
          <w:sz w:val="22"/>
          <w:szCs w:val="22"/>
        </w:rPr>
        <w:t xml:space="preserve">Artículo 11.1. Modificación de condiciones y del servicio</w:t>
      </w:r>
    </w:p>
    <w:p>
      <w:pPr>
        <w:spacing w:after="90" w:before="90" w:line="300"/>
        <w:jc w:val="both"/>
      </w:pPr>
      <w:r>
        <w:rPr>
          <w:rFonts w:ascii="Times New Roman" w:cs="Times New Roman" w:eastAsia="Times New Roman" w:hAnsi="Times New Roman"/>
          <w:sz w:val="22"/>
          <w:szCs w:val="22"/>
        </w:rPr>
        <w:t xml:space="preserve">PARTILOT podrá modificar el presente marco legal y las tarifas con un preaviso mínimo de treinta (30) días, y discontinuar el servicio con un preaviso mínimo de noventa (90) días.</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11.2. Comunicaciones electrónicas</w:t>
      </w:r>
    </w:p>
    <w:p>
      <w:pPr>
        <w:spacing w:after="90" w:before="90" w:line="300"/>
        <w:jc w:val="both"/>
      </w:pPr>
      <w:r>
        <w:rPr>
          <w:rFonts w:ascii="Times New Roman" w:cs="Times New Roman" w:eastAsia="Times New Roman" w:hAnsi="Times New Roman"/>
          <w:sz w:val="22"/>
          <w:szCs w:val="22"/>
        </w:rPr>
        <w:t xml:space="preserve">Las comunicaciones electrónicas tienen plena validez jurídica conforme al artículo 23 de la Ley 34/2002 (LSSI).</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11.3. Baja y eliminación de cuenta</w:t>
      </w:r>
    </w:p>
    <w:p>
      <w:pPr>
        <w:spacing w:after="90" w:before="90" w:line="300"/>
        <w:jc w:val="both"/>
      </w:pPr>
      <w:r>
        <w:rPr>
          <w:rFonts w:ascii="Times New Roman" w:cs="Times New Roman" w:eastAsia="Times New Roman" w:hAnsi="Times New Roman"/>
          <w:sz w:val="22"/>
          <w:szCs w:val="22"/>
        </w:rPr>
        <w:t xml:space="preserve">La eliminación de cuenta es irreversible tras los plazos de conservación legalmente obligatorios, y no exime de obligaciones contraídas con anterioridad.</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11.4. Nulidad parcial</w:t>
      </w:r>
    </w:p>
    <w:p>
      <w:pPr>
        <w:spacing w:after="90" w:before="90" w:line="300"/>
        <w:jc w:val="both"/>
      </w:pPr>
      <w:r>
        <w:rPr>
          <w:rFonts w:ascii="Times New Roman" w:cs="Times New Roman" w:eastAsia="Times New Roman" w:hAnsi="Times New Roman"/>
          <w:sz w:val="22"/>
          <w:szCs w:val="22"/>
        </w:rPr>
        <w:t xml:space="preserve">La nulidad de una disposición no afecta a la validez del resto del presente marco legal.</w:t>
      </w:r>
    </w:p>
    <w:p>
      <w:pPr>
        <w:spacing w:after="0" w:before="100"/>
      </w:pPr>
      <w:r>
        <w:t xml:space="preserve"/>
      </w:r>
    </w:p>
    <w:p>
      <w:pPr>
        <w:keepNext/>
        <w:spacing w:after="110" w:before="220"/>
      </w:pPr>
      <w:r>
        <w:rPr>
          <w:rFonts w:ascii="Times New Roman" w:cs="Times New Roman" w:eastAsia="Times New Roman" w:hAnsi="Times New Roman"/>
          <w:b/>
          <w:bCs/>
          <w:sz w:val="22"/>
          <w:szCs w:val="22"/>
        </w:rPr>
        <w:t xml:space="preserve">Artículo 11.5. Jurisdicción y legislación aplicable</w:t>
      </w:r>
    </w:p>
    <w:p>
      <w:pPr>
        <w:spacing w:after="90" w:before="90" w:line="300"/>
        <w:jc w:val="both"/>
      </w:pPr>
      <w:r>
        <w:rPr>
          <w:rFonts w:ascii="Times New Roman" w:cs="Times New Roman" w:eastAsia="Times New Roman" w:hAnsi="Times New Roman"/>
          <w:sz w:val="22"/>
          <w:szCs w:val="22"/>
        </w:rPr>
        <w:t xml:space="preserve">El presente marco legal se rige por la legislación española. Para las relaciones entre profesionales (Puntos de Venta Autorizados y Entidades), las partes se someten a los Juzgados y Tribunales de Logroño. Para las relaciones con consumidores (Usuarios Finales y Vendedores), el fuero pactado no es oponible al consumidor, que podrá acudir a los Juzgados de su domicilio y a la plataforma europea de resolución de litigios en línea: https://ec.europa.eu/consumers/odr.</w:t>
      </w:r>
    </w:p>
    <w:p>
      <w:pPr>
        <w:spacing w:after="0" w:before="400"/>
      </w:pPr>
      <w:r>
        <w:t xml:space="preserve"/>
      </w:r>
    </w:p>
    <w:p>
      <w:r>
        <w:br w:type="page"/>
      </w:r>
    </w:p>
    <w:p>
      <w:pPr>
        <w:pBdr>
          <w:top w:val="double" w:color="000000" w:sz="6" w:space="8"/>
          <w:bottom w:val="double" w:color="000000" w:sz="6" w:space="8"/>
        </w:pBdr>
        <w:spacing w:after="180" w:before="300"/>
        <w:jc w:val="center"/>
      </w:pPr>
      <w:r>
        <w:rPr>
          <w:rFonts w:ascii="Times New Roman" w:cs="Times New Roman" w:eastAsia="Times New Roman" w:hAnsi="Times New Roman"/>
          <w:b/>
          <w:bCs/>
          <w:sz w:val="30"/>
          <w:szCs w:val="30"/>
        </w:rPr>
        <w:t xml:space="preserve">DOCUMENTO II — POLÍTICA DE PRIVACIDAD Y PROTECCIÓN DE DATOS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1. Responsable del tratamiento</w:t>
      </w:r>
    </w:p>
    <w:p>
      <w:pPr>
        <w:spacing w:after="90" w:before="90" w:line="300"/>
        <w:jc w:val="both"/>
      </w:pPr>
      <w:r>
        <w:rPr>
          <w:rFonts w:ascii="Times New Roman" w:cs="Times New Roman" w:eastAsia="Times New Roman" w:hAnsi="Times New Roman"/>
          <w:sz w:val="22"/>
          <w:szCs w:val="22"/>
        </w:rPr>
        <w:t xml:space="preserve">PARTILOT, SOCIEDAD LIMITADA UNIPERSONAL, NIF B26681551, domicilio en Calle Lope de Vega, 5, 1º B, 26007 Logroño (La Rioja). Contacto legal: [EMAIL LEGAL]. Contacto de protección de datos: [EMAIL PROTECCIÓN DE DATOS].</w:t>
      </w:r>
    </w:p>
    <w:p>
      <w:pPr>
        <w:spacing w:after="90" w:before="90" w:line="300"/>
        <w:jc w:val="both"/>
      </w:pPr>
      <w:r>
        <w:rPr>
          <w:rFonts w:ascii="Times New Roman" w:cs="Times New Roman" w:eastAsia="Times New Roman" w:hAnsi="Times New Roman"/>
          <w:sz w:val="22"/>
          <w:szCs w:val="22"/>
        </w:rPr>
        <w:t xml:space="preserve">PARTILOT ha analizado su obligación de designar Delegado de Protección de Datos conforme al artículo 37 RGPD y concluye que no está legalmente obligada a su designación. Las consultas de protección de datos se dirigen a [EMAIL PROTECCIÓN DE DATOS].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2. Datos tratados por rol</w:t>
      </w:r>
    </w:p>
    <w:p>
      <w:pPr>
        <w:pStyle w:val="Heading2"/>
        <w:spacing w:after="110" w:before="220"/>
      </w:pPr>
      <w:r>
        <w:rPr>
          <w:rFonts w:ascii="Times New Roman" w:cs="Times New Roman" w:eastAsia="Times New Roman" w:hAnsi="Times New Roman"/>
          <w:b/>
          <w:bCs/>
          <w:sz w:val="22"/>
          <w:szCs w:val="22"/>
        </w:rPr>
        <w:t xml:space="preserve">2.1. Puntos de Venta Autorizados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Identificación: nombre comercial, código de administración o código de punto mixto, código de receptor, NIF/CIF, razón social.</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Datos de contacto y, en su caso, IBAN.</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Datos de acceso: credenciales cifradas.</w:t>
      </w:r>
    </w:p>
    <w:p>
      <w:pPr>
        <w:pStyle w:val="Heading2"/>
        <w:spacing w:after="110" w:before="220"/>
      </w:pPr>
      <w:r>
        <w:rPr>
          <w:rFonts w:ascii="Times New Roman" w:cs="Times New Roman" w:eastAsia="Times New Roman" w:hAnsi="Times New Roman"/>
          <w:b/>
          <w:bCs/>
          <w:sz w:val="22"/>
          <w:szCs w:val="22"/>
        </w:rPr>
        <w:t xml:space="preserve">2.2. Entidades, Firmantes Autorizados, Gestores Responsables y Gestores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Identificación de la Entidad: razón social, CIF, dirección.</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Datos del Firmante Autorizado: nombre, NIF/NIE, cargo de representación, correo, teléfono, evidencia de aceptación (fecha, IP, marca temporal).</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Datos del Gestor Responsable y Gestores: nombre, NIF/NIE, correo, teléfono, fecha de aceptación del rol.</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En el caso del Organizador: los mismos datos que el Firmante Autorizado, junto con la declaración expresa de actuación en nombre propio.</w:t>
      </w:r>
    </w:p>
    <w:p>
      <w:pPr>
        <w:pStyle w:val="Heading2"/>
        <w:spacing w:after="110" w:before="220"/>
      </w:pPr>
      <w:r>
        <w:rPr>
          <w:rFonts w:ascii="Times New Roman" w:cs="Times New Roman" w:eastAsia="Times New Roman" w:hAnsi="Times New Roman"/>
          <w:b/>
          <w:bCs/>
          <w:sz w:val="22"/>
          <w:szCs w:val="22"/>
        </w:rPr>
        <w:t xml:space="preserve">2.3. Vendedores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Nombre, NIF/NIE, correo, teléfono, historial operativo.</w:t>
      </w:r>
    </w:p>
    <w:p>
      <w:pPr>
        <w:pStyle w:val="Heading2"/>
        <w:spacing w:after="110" w:before="220"/>
      </w:pPr>
      <w:r>
        <w:rPr>
          <w:rFonts w:ascii="Times New Roman" w:cs="Times New Roman" w:eastAsia="Times New Roman" w:hAnsi="Times New Roman"/>
          <w:b/>
          <w:bCs/>
          <w:sz w:val="22"/>
          <w:szCs w:val="22"/>
        </w:rPr>
        <w:t xml:space="preserve">2.4. Usuarios Finales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Nombre, NIF/DNI/NIE, fecha de nacimiento, correo, IBAN (voluntario para cobro de premios), historial de participaciones.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3. Permisos del dispositivo móvil</w:t>
      </w:r>
    </w:p>
    <w:p>
      <w:pPr>
        <w:spacing w:after="90" w:before="90" w:line="300"/>
        <w:jc w:val="both"/>
      </w:pPr>
      <w:r>
        <w:rPr>
          <w:rFonts w:ascii="Times New Roman" w:cs="Times New Roman" w:eastAsia="Times New Roman" w:hAnsi="Times New Roman"/>
          <w:sz w:val="22"/>
          <w:szCs w:val="22"/>
        </w:rPr>
        <w:t xml:space="preserve">Cámara: uso puntual para lectura de códigos, sin almacenamiento de imágenes. Geolocalización: uso exclusivo para verificación de elegibilidad geográfica exigida por Apple App Store y Google Play, tratamiento en tiempo real sin conservación.</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4. Notificaciones push</w:t>
      </w:r>
    </w:p>
    <w:p>
      <w:pPr>
        <w:spacing w:after="90" w:before="90" w:line="300"/>
        <w:jc w:val="both"/>
      </w:pPr>
      <w:r>
        <w:rPr>
          <w:rFonts w:ascii="Times New Roman" w:cs="Times New Roman" w:eastAsia="Times New Roman" w:hAnsi="Times New Roman"/>
          <w:sz w:val="22"/>
          <w:szCs w:val="22"/>
        </w:rPr>
        <w:t xml:space="preserve">Notificaciones de servicio: base jurídica de ejecución del contrato, sin consentimiento adicional. Notificaciones promocionales: base jurídica de consentimiento, revocable en cualquier momento.</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5. Verificación de mayoría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La Plataforma bloquea el acceso de menores de 18 años en todos sus canales. Los intentos fallidos por minoría de edad se registran únicamente a efectos operativos.</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6. Finalidades y bases jurídicas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Finalidad</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Base jurídica (RGPD)</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Plazo de conservación</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Gestión del acceso y autenticación</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Ejecución del contrato (Art. 6.1.b)</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Relación contractual + 5 años</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Gestión de participaciones y sorteos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Ejecución del contrato (Art. 6.1.b)</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Relación contractual + 5 años</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Verificación de mayoría de edad</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Obligación legal (Art. 6.1.c)</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Plazo de resolución de incidencia</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Verificación geográfica (App)</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Obligación legal + interés legítimo</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No se conserva</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Gestión técnica del pago de premios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Ejecución del contrato + obligación legal</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3 meses desde sorteo + plazos fiscales</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Datos fiscales de donantes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Consentimiento expreso (Art. 6.1.a)</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Máximo 9 meses desde el sorteo</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Trazabilidad de canal de origen</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Interés legítimo (Art. 6.1.f)</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Relación contractual + 1 año</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Prevención del blanqueo de capitales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Obligación legal (Art. 6.1.c)</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10 años (Ley 10/2010)</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7. Comunicaciones a terceros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Entidades bancarias, para remesas de pago.</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Apple Inc. y Google LLC, incluyendo Firebase Cloud Messaging (notificaciones push) y Firebase Crashlytics (registro de errores).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SELAE, en la medida necesaria para el cumplimiento de obligaciones legales.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8. Transferencias internacionales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jc w:val="both"/>
            </w:pPr>
            <w:r>
              <w:rPr>
                <w:rFonts w:ascii="Times New Roman" w:cs="Times New Roman" w:eastAsia="Times New Roman" w:hAnsi="Times New Roman"/>
                <w:i/>
                <w:iCs/>
                <w:sz w:val="20"/>
                <w:szCs w:val="20"/>
              </w:rPr>
              <w:t xml:space="preserve">PARTILOT no realiza transferencias internacionales de datos personales a países terceros, salvo la excepción de los servicios Firebase Cloud Messaging y Firebase Crashlytics de Google LLC, adherida al marco EU-US Data Privacy Framework conforme al artículo 45 del RGPD.</w:t>
            </w:r>
          </w:p>
        </w:tc>
      </w:tr>
    </w:tbl>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9. Derechos de los interesados</w:t>
      </w:r>
    </w:p>
    <w:p>
      <w:pPr>
        <w:spacing w:after="90" w:before="90" w:line="300"/>
        <w:jc w:val="both"/>
      </w:pPr>
      <w:r>
        <w:rPr>
          <w:rFonts w:ascii="Times New Roman" w:cs="Times New Roman" w:eastAsia="Times New Roman" w:hAnsi="Times New Roman"/>
          <w:sz w:val="22"/>
          <w:szCs w:val="22"/>
        </w:rPr>
        <w:t xml:space="preserve">Acceso, rectificación, supresión, limitación, portabilidad y oposición, ejercitables ante [EMAIL PROTECCIÓN DE DATOS]. Reclamación ante la Agencia Española de Protección de Datos (www.aepd.es).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10. Medidas de seguridad</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Cifrado de contraseñas y datos sensibles.</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Control de acceso basado en roles y registro de auditoría.</w:t>
      </w:r>
    </w:p>
    <w:p>
      <w:pPr>
        <w:pStyle w:val="ListParagraph"/>
        <w:numPr>
          <w:ilvl w:val="0"/>
          <w:numId w:val="2"/>
        </w:numPr>
        <w:spacing w:after="50" w:before="50" w:line="300"/>
        <w:jc w:val="both"/>
      </w:pPr>
      <w:r>
        <w:rPr>
          <w:rFonts w:ascii="Times New Roman" w:cs="Times New Roman" w:eastAsia="Times New Roman" w:hAnsi="Times New Roman"/>
          <w:sz w:val="22"/>
          <w:szCs w:val="22"/>
        </w:rPr>
        <w:t xml:space="preserve">Separación operativa de los fondos gestionados por encargo de las Entidades.</w:t>
      </w:r>
    </w:p>
    <w:p>
      <w:pPr>
        <w:spacing w:after="0" w:before="400"/>
      </w:pPr>
      <w:r>
        <w:t xml:space="preserve"/>
      </w:r>
    </w:p>
    <w:p>
      <w:r>
        <w:br w:type="page"/>
      </w:r>
    </w:p>
    <w:p>
      <w:pPr>
        <w:pBdr>
          <w:top w:val="double" w:color="000000" w:sz="6" w:space="8"/>
          <w:bottom w:val="double" w:color="000000" w:sz="6" w:space="8"/>
        </w:pBdr>
        <w:spacing w:after="180" w:before="300"/>
        <w:jc w:val="center"/>
      </w:pPr>
      <w:r>
        <w:rPr>
          <w:rFonts w:ascii="Times New Roman" w:cs="Times New Roman" w:eastAsia="Times New Roman" w:hAnsi="Times New Roman"/>
          <w:b/>
          <w:bCs/>
          <w:sz w:val="30"/>
          <w:szCs w:val="30"/>
        </w:rPr>
        <w:t xml:space="preserve">DOCUMENTO III — POLÍTICA DE COOKIES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1. Cookies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900"/>
        <w:gridCol w:w="1160"/>
        <w:gridCol w:w="1100"/>
      </w:tblGrid>
      <w:tr>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Tipo</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Finalidad</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Base jurídica</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Duración</w:t>
            </w:r>
          </w:p>
        </w:tc>
        <w:tc>
          <w:tcPr>
            <w:tcBorders>
              <w:top w:val="single" w:color="000000" w:sz="4"/>
              <w:left w:val="single" w:color="000000" w:sz="4"/>
              <w:bottom w:val="single" w:color="000000" w:sz="4"/>
              <w:right w:val="single" w:color="000000" w:sz="4"/>
            </w:tcBorders>
            <w:shd w:fill="E8E8E8" w:val="clear"/>
            <w:tcMar>
              <w:top w:type="dxa" w:w="70"/>
              <w:left w:type="dxa" w:w="110"/>
              <w:bottom w:type="dxa" w:w="70"/>
              <w:right w:type="dxa" w:w="110"/>
            </w:tcMar>
          </w:tcPr>
          <w:p>
            <w:r>
              <w:rPr>
                <w:rFonts w:ascii="Times New Roman" w:cs="Times New Roman" w:eastAsia="Times New Roman" w:hAnsi="Times New Roman"/>
                <w:b/>
                <w:bCs/>
                <w:sz w:val="18"/>
                <w:szCs w:val="18"/>
              </w:rPr>
              <w:t xml:space="preserve">Tercero</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Sesión / Técnica</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Gestión de sesión</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Necesidad técnica</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Sesión</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No</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Preferencias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Configuración del panel</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Interés legítimo</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12 meses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No</w:t>
            </w:r>
          </w:p>
        </w:tc>
      </w:tr>
      <w:tr>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Analítica — Google Analytics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Análisis estadístico (opcional)</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Consentimiento</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13 meses</w:t>
            </w:r>
          </w:p>
        </w:tc>
        <w:tc>
          <w:tcPr>
            <w:tcBorders>
              <w:top w:val="single" w:color="000000" w:sz="4"/>
              <w:left w:val="single" w:color="000000" w:sz="4"/>
              <w:bottom w:val="single" w:color="000000" w:sz="4"/>
              <w:right w:val="single" w:color="000000" w:sz="4"/>
            </w:tcBorders>
            <w:shd w:fill="FFFFFF" w:val="clear"/>
            <w:tcMar>
              <w:top w:type="dxa" w:w="70"/>
              <w:left w:type="dxa" w:w="110"/>
              <w:bottom w:type="dxa" w:w="70"/>
              <w:right w:type="dxa" w:w="110"/>
            </w:tcMar>
          </w:tcPr>
          <w:p>
            <w:r>
              <w:rPr>
                <w:rFonts w:ascii="Times New Roman" w:cs="Times New Roman" w:eastAsia="Times New Roman" w:hAnsi="Times New Roman"/>
                <w:b w:val="false"/>
                <w:bCs w:val="false"/>
                <w:sz w:val="18"/>
                <w:szCs w:val="18"/>
              </w:rPr>
              <w:t xml:space="preserve">Google LLC</w:t>
            </w:r>
          </w:p>
        </w:tc>
      </w:tr>
    </w:tbl>
    <w:p>
      <w:pPr>
        <w:spacing w:after="90" w:before="90" w:line="300"/>
        <w:jc w:val="both"/>
      </w:pPr>
      <w:r>
        <w:rPr>
          <w:rFonts w:ascii="Times New Roman" w:cs="Times New Roman" w:eastAsia="Times New Roman" w:hAnsi="Times New Roman"/>
          <w:sz w:val="22"/>
          <w:szCs w:val="22"/>
        </w:rPr>
        <w:t xml:space="preserve">Las cookies técnicas no requieren consentimiento. Las analíticas requieren consentimiento previo, revocable en cualquier momento desde el panel de configuración de cookies.</w:t>
      </w:r>
    </w:p>
    <w:p>
      <w:pPr>
        <w:spacing w:after="0" w:before="400"/>
      </w:pPr>
      <w:r>
        <w:t xml:space="preserve"/>
      </w:r>
    </w:p>
    <w:p>
      <w:r>
        <w:br w:type="page"/>
      </w:r>
    </w:p>
    <w:p>
      <w:pPr>
        <w:pBdr>
          <w:top w:val="double" w:color="000000" w:sz="6" w:space="8"/>
          <w:bottom w:val="double" w:color="000000" w:sz="6" w:space="8"/>
        </w:pBdr>
        <w:spacing w:after="180" w:before="300"/>
        <w:jc w:val="center"/>
      </w:pPr>
      <w:r>
        <w:rPr>
          <w:rFonts w:ascii="Times New Roman" w:cs="Times New Roman" w:eastAsia="Times New Roman" w:hAnsi="Times New Roman"/>
          <w:b/>
          <w:bCs/>
          <w:sz w:val="30"/>
          <w:szCs w:val="30"/>
        </w:rPr>
        <w:t xml:space="preserve">DOCUMENTO IV — ACUERDO DE TRATAMIENTO DE DATOS</w:t>
      </w:r>
    </w:p>
    <w:p>
      <w:pPr>
        <w:spacing w:after="0" w:before="100"/>
      </w:pPr>
      <w:r>
        <w:t xml:space="preserve"/>
      </w:r>
    </w:p>
    <w:p>
      <w:pPr>
        <w:spacing w:after="90" w:before="90" w:line="300"/>
        <w:jc w:val="both"/>
      </w:pPr>
      <w:r>
        <w:rPr>
          <w:rFonts w:ascii="Times New Roman" w:cs="Times New Roman" w:eastAsia="Times New Roman" w:hAnsi="Times New Roman"/>
          <w:sz w:val="22"/>
          <w:szCs w:val="22"/>
        </w:rPr>
        <w:t xml:space="preserve">El presente Acuerdo de Tratamiento de Datos es parte integrante del contrato de servicios entre PARTILOT y el Punto de Venta Autorizado o la Entidad, conforme al artículo 28 del RGPD.</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1. Objeto y roles</w:t>
      </w:r>
    </w:p>
    <w:p>
      <w:pPr>
        <w:spacing w:after="90" w:before="90" w:line="300"/>
        <w:jc w:val="both"/>
      </w:pPr>
      <w:r>
        <w:rPr>
          <w:rFonts w:ascii="Times New Roman" w:cs="Times New Roman" w:eastAsia="Times New Roman" w:hAnsi="Times New Roman"/>
          <w:sz w:val="22"/>
          <w:szCs w:val="22"/>
        </w:rPr>
        <w:t xml:space="preserve">PARTILOT actúa como Encargado del Tratamiento; el Punto de Venta Autorizado o la Entidad como Responsable, respecto a los datos de Vendedores y Usuarios Finales gestionados en la Plataforma.</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2. Instrucciones de tratamiento</w:t>
      </w:r>
    </w:p>
    <w:p>
      <w:pPr>
        <w:spacing w:after="90" w:before="90" w:line="300"/>
        <w:jc w:val="both"/>
      </w:pPr>
      <w:r>
        <w:rPr>
          <w:rFonts w:ascii="Times New Roman" w:cs="Times New Roman" w:eastAsia="Times New Roman" w:hAnsi="Times New Roman"/>
          <w:sz w:val="22"/>
          <w:szCs w:val="22"/>
        </w:rPr>
        <w:t xml:space="preserve">PARTILOT trata los datos exclusivamente conforme a las instrucciones documentadas del Responsable, para la gestión de la cartera de participaciones, el cobro de premios, y las comunicaciones operativas del servicio.</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3. Subencargados</w:t>
      </w:r>
    </w:p>
    <w:p>
      <w:pPr>
        <w:spacing w:after="90" w:before="90" w:line="300"/>
        <w:jc w:val="both"/>
      </w:pPr>
      <w:r>
        <w:rPr>
          <w:rFonts w:ascii="Times New Roman" w:cs="Times New Roman" w:eastAsia="Times New Roman" w:hAnsi="Times New Roman"/>
          <w:sz w:val="22"/>
          <w:szCs w:val="22"/>
        </w:rPr>
        <w:t xml:space="preserve">PARTILOT podrá recurrir a proveedores de infraestructura cloud, pasarelas de pago, Firebase Cloud Messaging y Firebase Crashlytics de Google LLC, Apple Inc. y Google LLC en su papel de distribución, y entidades bancarias para remesas, imponiéndoles las mismas obligaciones de protección de datos.</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4. Notificación de brechas de seguridad</w:t>
      </w:r>
    </w:p>
    <w:p>
      <w:pPr>
        <w:spacing w:after="90" w:before="90" w:line="300"/>
        <w:jc w:val="both"/>
      </w:pPr>
      <w:r>
        <w:rPr>
          <w:rFonts w:ascii="Times New Roman" w:cs="Times New Roman" w:eastAsia="Times New Roman" w:hAnsi="Times New Roman"/>
          <w:sz w:val="22"/>
          <w:szCs w:val="22"/>
        </w:rPr>
        <w:t xml:space="preserve">PARTILOT notificará al Responsable, en el plazo máximo de 72 horas, cualquier brecha de seguridad que afecte a los datos tratados por su cuenta.</w:t>
      </w:r>
    </w:p>
    <w:p>
      <w:pPr>
        <w:spacing w:after="0" w:before="100"/>
      </w:pPr>
      <w:r>
        <w:t xml:space="preserve"/>
      </w:r>
    </w:p>
    <w:p>
      <w:pPr>
        <w:pStyle w:val="Heading1"/>
        <w:spacing w:after="160" w:before="320"/>
      </w:pPr>
      <w:r>
        <w:rPr>
          <w:rFonts w:ascii="Times New Roman" w:cs="Times New Roman" w:eastAsia="Times New Roman" w:hAnsi="Times New Roman"/>
          <w:b/>
          <w:bCs/>
          <w:sz w:val="26"/>
          <w:szCs w:val="26"/>
        </w:rPr>
        <w:t xml:space="preserve">5. Destino de los datos tras la extinción</w:t>
      </w:r>
    </w:p>
    <w:p>
      <w:pPr>
        <w:spacing w:after="90" w:before="90" w:line="300"/>
        <w:jc w:val="both"/>
      </w:pPr>
      <w:r>
        <w:rPr>
          <w:rFonts w:ascii="Times New Roman" w:cs="Times New Roman" w:eastAsia="Times New Roman" w:hAnsi="Times New Roman"/>
          <w:sz w:val="22"/>
          <w:szCs w:val="22"/>
        </w:rPr>
        <w:t xml:space="preserve">PARTILOT suprimirá o devolverá los datos, a elección del Responsable, salvo obligación legal de conservación.</w:t>
      </w:r>
    </w:p>
    <w:p>
      <w:pPr>
        <w:spacing w:after="0" w:before="200"/>
      </w:pPr>
      <w:r>
        <w:t xml:space="preserve"/>
      </w:r>
    </w:p>
    <w:p>
      <w:pPr>
        <w:pBdr>
          <w:top w:val="single" w:color="000000" w:sz="4" w:space="4"/>
        </w:pBdr>
        <w:spacing w:after="0" w:before="200"/>
        <w:jc w:val="center"/>
      </w:pPr>
      <w:r>
        <w:rPr>
          <w:rFonts w:ascii="Times New Roman" w:cs="Times New Roman" w:eastAsia="Times New Roman" w:hAnsi="Times New Roman"/>
          <w:i/>
          <w:iCs/>
          <w:sz w:val="18"/>
          <w:szCs w:val="18"/>
        </w:rPr>
        <w:t>© PARTILOT, S.L.U. — Marco Legal Integral v11.2 — [FECHA DE PUBLICACIÓN]. Contacto legal: [EMAIL LEGAL]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PARTILOT — Marco Legal Integral v11.2 | 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2026-08-18T15:04:46.178Z</dcterms:created>
  <dcterms:modified xsi:type="dcterms:W3CDTF">2026-08-18T15:04:46.200Z</dcterms:modified>
</cp:coreProperties>
</file>

<file path=docProps/custom.xml><?xml version="1.0" encoding="utf-8"?>
<Properties xmlns="http://schemas.openxmlformats.org/officeDocument/2006/custom-properties" xmlns:vt="http://schemas.openxmlformats.org/officeDocument/2006/docPropsVTypes"/>
</file>