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C789B" w14:textId="77777777" w:rsidR="0048163B" w:rsidRDefault="00000000">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Análisis Exhaustivo de los Modelos de Comisiones y Estructuras de Transacción en los Mercados de Liquidación: Liquidation.com y B-Stock </w:t>
      </w:r>
      <w:proofErr w:type="spellStart"/>
      <w:r>
        <w:rPr>
          <w:rFonts w:ascii="Google Sans" w:eastAsia="Google Sans" w:hAnsi="Google Sans" w:cs="Google Sans"/>
          <w:color w:val="1F1F1F"/>
        </w:rPr>
        <w:t>Solutions</w:t>
      </w:r>
      <w:proofErr w:type="spellEnd"/>
    </w:p>
    <w:p w14:paraId="71FC789C" w14:textId="77777777" w:rsidR="0048163B" w:rsidRDefault="00000000" w:rsidP="009D50DB">
      <w:pPr>
        <w:pBdr>
          <w:top w:val="nil"/>
          <w:left w:val="nil"/>
          <w:bottom w:val="nil"/>
          <w:right w:val="nil"/>
          <w:between w:val="nil"/>
        </w:pBdr>
        <w:spacing w:after="150" w:line="360" w:lineRule="auto"/>
        <w:jc w:val="both"/>
        <w:rPr>
          <w:rFonts w:ascii="Google Sans" w:eastAsia="Google Sans" w:hAnsi="Google Sans" w:cs="Google Sans"/>
          <w:color w:val="1F1F1F"/>
        </w:rPr>
      </w:pPr>
      <w:r>
        <w:rPr>
          <w:rFonts w:ascii="Google Sans" w:eastAsia="Google Sans" w:hAnsi="Google Sans" w:cs="Google Sans"/>
          <w:color w:val="1F1F1F"/>
        </w:rPr>
        <w:t xml:space="preserve">El ecosistema de la logística inversa y la disposición de activos excedentes ha evolucionado de ser una función periférica del comercio minorista a convertirse en un pilar estratégico de la economía circular y la eficiencia operativa. En el centro de esta transformación se encuentran plataformas intermediarias que facilitan la liquidación de inventarios a gran escala, permitiendo a las corporaciones recuperar capital mientras ofrecen oportunidades de arbitraje a una red global de compradores profesionales. Este análisis técnico se centra en las dos entidades predominantes en el mercado norteamericano: Liquidation.com, el brazo minorista de </w:t>
      </w:r>
      <w:proofErr w:type="spellStart"/>
      <w:r>
        <w:rPr>
          <w:rFonts w:ascii="Google Sans" w:eastAsia="Google Sans" w:hAnsi="Google Sans" w:cs="Google Sans"/>
          <w:color w:val="1F1F1F"/>
        </w:rPr>
        <w:t>Liquidity</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Services</w:t>
      </w:r>
      <w:proofErr w:type="spellEnd"/>
      <w:r>
        <w:rPr>
          <w:rFonts w:ascii="Google Sans" w:eastAsia="Google Sans" w:hAnsi="Google Sans" w:cs="Google Sans"/>
          <w:color w:val="1F1F1F"/>
        </w:rPr>
        <w:t xml:space="preserve">, y B-Stock </w:t>
      </w:r>
      <w:proofErr w:type="spellStart"/>
      <w:r>
        <w:rPr>
          <w:rFonts w:ascii="Google Sans" w:eastAsia="Google Sans" w:hAnsi="Google Sans" w:cs="Google Sans"/>
          <w:color w:val="1F1F1F"/>
        </w:rPr>
        <w:t>Solutions</w:t>
      </w:r>
      <w:proofErr w:type="spellEnd"/>
      <w:r>
        <w:rPr>
          <w:rFonts w:ascii="Google Sans" w:eastAsia="Google Sans" w:hAnsi="Google Sans" w:cs="Google Sans"/>
          <w:color w:val="1F1F1F"/>
        </w:rPr>
        <w:t>, que opera una vasta red de mercados privados para los minoristas más grandes del mundo. A través de un examen detallado de sus estructuras de comisiones, primas del comprador y cargos operativos, se delineará el panorama financiero que rige estas transacciones de alto volumen.</w:t>
      </w:r>
    </w:p>
    <w:p w14:paraId="71FC789D" w14:textId="77777777" w:rsidR="0048163B" w:rsidRDefault="00000000" w:rsidP="009D50DB">
      <w:pPr>
        <w:pStyle w:val="Heading2"/>
        <w:spacing w:before="0" w:after="120" w:line="360" w:lineRule="auto"/>
        <w:jc w:val="both"/>
        <w:rPr>
          <w:rFonts w:ascii="Google Sans" w:eastAsia="Google Sans" w:hAnsi="Google Sans" w:cs="Google Sans"/>
          <w:color w:val="1F1F1F"/>
        </w:rPr>
      </w:pPr>
      <w:r>
        <w:rPr>
          <w:rFonts w:ascii="Google Sans" w:eastAsia="Google Sans" w:hAnsi="Google Sans" w:cs="Google Sans"/>
          <w:color w:val="1F1F1F"/>
        </w:rPr>
        <w:t>El Marco Económico de las Subastas de Liquidación y la Función de las Comisiones</w:t>
      </w:r>
    </w:p>
    <w:p w14:paraId="71FC789E" w14:textId="77777777" w:rsidR="0048163B" w:rsidRDefault="00000000" w:rsidP="009D50DB">
      <w:pPr>
        <w:pBdr>
          <w:top w:val="nil"/>
          <w:left w:val="nil"/>
          <w:bottom w:val="nil"/>
          <w:right w:val="nil"/>
          <w:between w:val="nil"/>
        </w:pBdr>
        <w:spacing w:after="150" w:line="360" w:lineRule="auto"/>
        <w:jc w:val="both"/>
        <w:rPr>
          <w:rFonts w:ascii="Google Sans" w:eastAsia="Google Sans" w:hAnsi="Google Sans" w:cs="Google Sans"/>
          <w:color w:val="444746"/>
          <w:sz w:val="24"/>
          <w:szCs w:val="24"/>
          <w:vertAlign w:val="superscript"/>
        </w:rPr>
      </w:pPr>
      <w:r>
        <w:rPr>
          <w:rFonts w:ascii="Google Sans" w:eastAsia="Google Sans" w:hAnsi="Google Sans" w:cs="Google Sans"/>
          <w:color w:val="1F1F1F"/>
        </w:rPr>
        <w:t>Para comprender las estructuras de costos de Liquidation.com y B-Stock, es imperativo analizar primero la naturaleza económica de la prima del comprador (</w:t>
      </w:r>
      <w:proofErr w:type="spellStart"/>
      <w:r>
        <w:rPr>
          <w:rFonts w:ascii="Google Sans" w:eastAsia="Google Sans" w:hAnsi="Google Sans" w:cs="Google Sans"/>
          <w:color w:val="1F1F1F"/>
        </w:rPr>
        <w:t>buyer’s</w:t>
      </w:r>
      <w:proofErr w:type="spellEnd"/>
      <w:r>
        <w:rPr>
          <w:rFonts w:ascii="Google Sans" w:eastAsia="Google Sans" w:hAnsi="Google Sans" w:cs="Google Sans"/>
          <w:color w:val="1F1F1F"/>
        </w:rPr>
        <w:t xml:space="preserve"> premium) y la comisión del vendedor. En el modelo de subastas tradicional y digital, la prima del comprador es un cargo adicional calculado como un porcentaje del precio final de adjudicación o "precio de martillo".</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Este mecanismo permite a la casa de subastas cubrir sus costos operativos —que incluyen marketing, tecnología de plataforma, gestión de pagos y logística— sin necesidad de extraer márgenes excesivamente altos del vendedor, lo que a su vez incentiva a las corporaciones a </w:t>
      </w:r>
      <w:r>
        <w:rPr>
          <w:rFonts w:ascii="Google Sans" w:eastAsia="Google Sans" w:hAnsi="Google Sans" w:cs="Google Sans"/>
          <w:color w:val="1F1F1F"/>
        </w:rPr>
        <w:lastRenderedPageBreak/>
        <w:t>consignar volúmenes masivos de inventario.</w:t>
      </w:r>
      <w:r>
        <w:rPr>
          <w:rFonts w:ascii="Google Sans" w:eastAsia="Google Sans" w:hAnsi="Google Sans" w:cs="Google Sans"/>
          <w:color w:val="444746"/>
          <w:sz w:val="24"/>
          <w:szCs w:val="24"/>
          <w:vertAlign w:val="superscript"/>
        </w:rPr>
        <w:t>1</w:t>
      </w:r>
    </w:p>
    <w:p w14:paraId="71FC789F" w14:textId="77777777" w:rsidR="0048163B" w:rsidRDefault="00000000" w:rsidP="009D50DB">
      <w:pPr>
        <w:pBdr>
          <w:top w:val="nil"/>
          <w:left w:val="nil"/>
          <w:bottom w:val="nil"/>
          <w:right w:val="nil"/>
          <w:between w:val="nil"/>
        </w:pBdr>
        <w:spacing w:after="150" w:line="360" w:lineRule="auto"/>
        <w:jc w:val="both"/>
        <w:rPr>
          <w:rFonts w:ascii="Google Sans" w:eastAsia="Google Sans" w:hAnsi="Google Sans" w:cs="Google Sans"/>
          <w:color w:val="444746"/>
          <w:sz w:val="24"/>
          <w:szCs w:val="24"/>
          <w:vertAlign w:val="superscript"/>
        </w:rPr>
      </w:pPr>
      <w:r>
        <w:rPr>
          <w:rFonts w:ascii="Google Sans" w:eastAsia="Google Sans" w:hAnsi="Google Sans" w:cs="Google Sans"/>
          <w:color w:val="1F1F1F"/>
        </w:rPr>
        <w:t>La dinámica de estas tarifas no es estática; responde a la complejidad del lote, el valor del activo y el nivel de servicio requerido. Mientras que las primas planas son comunes para compradores minoristas o lotes pequeños, las estructuras de tramos o escalonadas se implementan para transacciones de mayor envergadura, buscando un equilibrio entre la rentabilidad del intermediario y la viabilidad del margen de beneficio para el comprador.</w:t>
      </w:r>
      <w:r>
        <w:rPr>
          <w:rFonts w:ascii="Google Sans" w:eastAsia="Google Sans" w:hAnsi="Google Sans" w:cs="Google Sans"/>
          <w:color w:val="444746"/>
          <w:sz w:val="24"/>
          <w:szCs w:val="24"/>
          <w:vertAlign w:val="superscript"/>
        </w:rPr>
        <w:t>1</w:t>
      </w:r>
    </w:p>
    <w:p w14:paraId="71FC78A0" w14:textId="77777777" w:rsidR="0048163B" w:rsidRDefault="00000000" w:rsidP="009D50DB">
      <w:pPr>
        <w:pStyle w:val="Heading2"/>
        <w:spacing w:before="0" w:after="120" w:line="360" w:lineRule="auto"/>
        <w:jc w:val="both"/>
        <w:rPr>
          <w:rFonts w:ascii="Google Sans" w:eastAsia="Google Sans" w:hAnsi="Google Sans" w:cs="Google Sans"/>
          <w:color w:val="1F1F1F"/>
        </w:rPr>
      </w:pPr>
      <w:r>
        <w:rPr>
          <w:rFonts w:ascii="Google Sans" w:eastAsia="Google Sans" w:hAnsi="Google Sans" w:cs="Google Sans"/>
          <w:color w:val="1F1F1F"/>
        </w:rPr>
        <w:t>Análisis Estructural de Liquidation.com: Tramos y Primas del Comprador</w:t>
      </w:r>
    </w:p>
    <w:p w14:paraId="71FC78A1" w14:textId="77777777" w:rsidR="0048163B" w:rsidRDefault="00000000" w:rsidP="009D50DB">
      <w:pPr>
        <w:pBdr>
          <w:top w:val="nil"/>
          <w:left w:val="nil"/>
          <w:bottom w:val="nil"/>
          <w:right w:val="nil"/>
          <w:between w:val="nil"/>
        </w:pBdr>
        <w:spacing w:after="150" w:line="360" w:lineRule="auto"/>
        <w:jc w:val="both"/>
        <w:rPr>
          <w:rFonts w:ascii="Google Sans" w:eastAsia="Google Sans" w:hAnsi="Google Sans" w:cs="Google Sans"/>
          <w:color w:val="444746"/>
          <w:sz w:val="24"/>
          <w:szCs w:val="24"/>
          <w:vertAlign w:val="superscript"/>
        </w:rPr>
      </w:pPr>
      <w:r>
        <w:rPr>
          <w:rFonts w:ascii="Google Sans" w:eastAsia="Google Sans" w:hAnsi="Google Sans" w:cs="Google Sans"/>
          <w:color w:val="1F1F1F"/>
        </w:rPr>
        <w:t>Liquidation.com se distingue por su enfoque en la transparencia y la accesibilidad para compradores de diversos niveles de experiencia. La plataforma aplica una prima del comprador que varía según la categoría del producto y el modelo de venta, pero que generalmente se sitúa en un estándar industrial que oscila entre el 10% y el 15% del valor de la oferta ganadora.</w:t>
      </w:r>
      <w:r>
        <w:rPr>
          <w:rFonts w:ascii="Google Sans" w:eastAsia="Google Sans" w:hAnsi="Google Sans" w:cs="Google Sans"/>
          <w:color w:val="444746"/>
          <w:sz w:val="24"/>
          <w:szCs w:val="24"/>
          <w:vertAlign w:val="superscript"/>
        </w:rPr>
        <w:t>1</w:t>
      </w:r>
    </w:p>
    <w:p w14:paraId="71FC78A2" w14:textId="77777777" w:rsidR="0048163B" w:rsidRDefault="00000000" w:rsidP="009D50DB">
      <w:pPr>
        <w:pStyle w:val="Heading3"/>
        <w:spacing w:before="0" w:after="120" w:line="360" w:lineRule="auto"/>
        <w:jc w:val="both"/>
        <w:rPr>
          <w:rFonts w:ascii="Google Sans" w:eastAsia="Google Sans" w:hAnsi="Google Sans" w:cs="Google Sans"/>
          <w:color w:val="1F1F1F"/>
        </w:rPr>
      </w:pPr>
      <w:r>
        <w:rPr>
          <w:rFonts w:ascii="Google Sans" w:eastAsia="Google Sans" w:hAnsi="Google Sans" w:cs="Google Sans"/>
          <w:color w:val="1F1F1F"/>
        </w:rPr>
        <w:t>El Modelo de Tramos Escalonados en Transacciones de Gran Volumen</w:t>
      </w:r>
    </w:p>
    <w:p w14:paraId="71FC78A3" w14:textId="77777777" w:rsidR="0048163B" w:rsidRDefault="00000000" w:rsidP="009D50DB">
      <w:pPr>
        <w:pBdr>
          <w:top w:val="nil"/>
          <w:left w:val="nil"/>
          <w:bottom w:val="nil"/>
          <w:right w:val="nil"/>
          <w:between w:val="nil"/>
        </w:pBdr>
        <w:spacing w:after="150" w:line="360" w:lineRule="auto"/>
        <w:jc w:val="both"/>
        <w:rPr>
          <w:rFonts w:ascii="Google Sans" w:eastAsia="Google Sans" w:hAnsi="Google Sans" w:cs="Google Sans"/>
          <w:color w:val="444746"/>
          <w:sz w:val="24"/>
          <w:szCs w:val="24"/>
          <w:vertAlign w:val="superscript"/>
        </w:rPr>
      </w:pPr>
      <w:r>
        <w:rPr>
          <w:rFonts w:ascii="Google Sans" w:eastAsia="Google Sans" w:hAnsi="Google Sans" w:cs="Google Sans"/>
          <w:color w:val="1F1F1F"/>
        </w:rPr>
        <w:t>En transacciones complejas o cuando se liquidan activos corporativos de alto valor bajo la supervisión de entidades fiduciarias o procesos de reorganización, Liquidation.com y sus socios pueden implementar una estructura de tramos decrecientes. Este modelo está diseñado para incentivar ofertas más altas al reducir el costo marginal de la prima a medida que el valor de la transacción cruza ciertos umbrales financieros.</w:t>
      </w:r>
      <w:r>
        <w:rPr>
          <w:rFonts w:ascii="Google Sans" w:eastAsia="Google Sans" w:hAnsi="Google Sans" w:cs="Google Sans"/>
          <w:color w:val="444746"/>
          <w:sz w:val="24"/>
          <w:szCs w:val="24"/>
          <w:vertAlign w:val="superscript"/>
        </w:rPr>
        <w:t>1</w:t>
      </w:r>
    </w:p>
    <w:p w14:paraId="71FC78A4" w14:textId="77777777" w:rsidR="0048163B" w:rsidRDefault="00000000" w:rsidP="009D50DB">
      <w:pPr>
        <w:pBdr>
          <w:top w:val="nil"/>
          <w:left w:val="nil"/>
          <w:bottom w:val="nil"/>
          <w:right w:val="nil"/>
          <w:between w:val="nil"/>
        </w:pBdr>
        <w:spacing w:after="150" w:line="360" w:lineRule="auto"/>
        <w:jc w:val="both"/>
        <w:rPr>
          <w:rFonts w:ascii="Google Sans" w:eastAsia="Google Sans" w:hAnsi="Google Sans" w:cs="Google Sans"/>
          <w:color w:val="1F1F1F"/>
        </w:rPr>
      </w:pPr>
      <w:r>
        <w:rPr>
          <w:rFonts w:ascii="Google Sans" w:eastAsia="Google Sans" w:hAnsi="Google Sans" w:cs="Google Sans"/>
          <w:color w:val="1F1F1F"/>
        </w:rPr>
        <w:t>La evidencia en procesos de liquidación gestionados sugiere la existencia de estructuras de tasas efectivas que se desglosan de la siguiente manera:</w:t>
      </w:r>
    </w:p>
    <w:p w14:paraId="799C64D4" w14:textId="77777777" w:rsidR="009D50DB" w:rsidRDefault="009D50DB" w:rsidP="009D50DB">
      <w:pPr>
        <w:pBdr>
          <w:top w:val="nil"/>
          <w:left w:val="nil"/>
          <w:bottom w:val="nil"/>
          <w:right w:val="nil"/>
          <w:between w:val="nil"/>
        </w:pBdr>
        <w:spacing w:after="150" w:line="360" w:lineRule="auto"/>
        <w:jc w:val="both"/>
        <w:rPr>
          <w:rFonts w:ascii="Google Sans" w:eastAsia="Google Sans" w:hAnsi="Google Sans" w:cs="Google Sans"/>
          <w:color w:val="1F1F1F"/>
        </w:rPr>
      </w:pPr>
    </w:p>
    <w:p w14:paraId="2EFB76A9" w14:textId="77777777" w:rsidR="009D50DB" w:rsidRDefault="009D50DB" w:rsidP="009D50DB">
      <w:pPr>
        <w:pBdr>
          <w:top w:val="nil"/>
          <w:left w:val="nil"/>
          <w:bottom w:val="nil"/>
          <w:right w:val="nil"/>
          <w:between w:val="nil"/>
        </w:pBdr>
        <w:spacing w:after="150" w:line="360" w:lineRule="auto"/>
        <w:jc w:val="both"/>
        <w:rPr>
          <w:rFonts w:ascii="Google Sans" w:eastAsia="Google Sans" w:hAnsi="Google Sans" w:cs="Google Sans"/>
          <w:color w:val="1F1F1F"/>
        </w:rPr>
      </w:pPr>
    </w:p>
    <w:p w14:paraId="3195437E" w14:textId="77777777" w:rsidR="009D50DB" w:rsidRDefault="009D50DB" w:rsidP="009D50DB">
      <w:pPr>
        <w:pBdr>
          <w:top w:val="nil"/>
          <w:left w:val="nil"/>
          <w:bottom w:val="nil"/>
          <w:right w:val="nil"/>
          <w:between w:val="nil"/>
        </w:pBdr>
        <w:spacing w:after="150" w:line="360" w:lineRule="auto"/>
        <w:jc w:val="both"/>
        <w:rPr>
          <w:rFonts w:ascii="Google Sans" w:eastAsia="Google Sans" w:hAnsi="Google Sans" w:cs="Google Sans"/>
          <w:color w:val="1F1F1F"/>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48163B" w14:paraId="71FC78A7" w14:textId="77777777">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1FC78A5" w14:textId="77777777" w:rsidR="0048163B" w:rsidRDefault="00000000" w:rsidP="009D50DB">
            <w:pPr>
              <w:pBdr>
                <w:top w:val="nil"/>
                <w:left w:val="nil"/>
                <w:bottom w:val="nil"/>
                <w:right w:val="nil"/>
                <w:between w:val="nil"/>
              </w:pBdr>
              <w:spacing w:before="240" w:after="240" w:line="360" w:lineRule="auto"/>
              <w:jc w:val="both"/>
              <w:rPr>
                <w:rFonts w:ascii="Google Sans" w:eastAsia="Google Sans" w:hAnsi="Google Sans" w:cs="Google Sans"/>
                <w:b/>
                <w:bCs/>
                <w:color w:val="1F1F1F"/>
              </w:rPr>
            </w:pPr>
            <w:r>
              <w:rPr>
                <w:rFonts w:ascii="Google Sans" w:eastAsia="Google Sans" w:hAnsi="Google Sans" w:cs="Google Sans"/>
                <w:b/>
                <w:bCs/>
                <w:color w:val="1F1F1F"/>
              </w:rPr>
              <w:lastRenderedPageBreak/>
              <w:t>Tramo de Valor de la Adjudicación (Hammer Price)</w:t>
            </w:r>
          </w:p>
        </w:tc>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1FC78A6" w14:textId="77777777" w:rsidR="0048163B" w:rsidRDefault="00000000" w:rsidP="009D50DB">
            <w:pPr>
              <w:pBdr>
                <w:top w:val="nil"/>
                <w:left w:val="nil"/>
                <w:bottom w:val="nil"/>
                <w:right w:val="nil"/>
                <w:between w:val="nil"/>
              </w:pBdr>
              <w:spacing w:before="240" w:after="240" w:line="360" w:lineRule="auto"/>
              <w:jc w:val="both"/>
              <w:rPr>
                <w:rFonts w:ascii="Google Sans" w:eastAsia="Google Sans" w:hAnsi="Google Sans" w:cs="Google Sans"/>
                <w:b/>
                <w:bCs/>
                <w:color w:val="1F1F1F"/>
              </w:rPr>
            </w:pPr>
            <w:r>
              <w:rPr>
                <w:rFonts w:ascii="Google Sans" w:eastAsia="Google Sans" w:hAnsi="Google Sans" w:cs="Google Sans"/>
                <w:b/>
                <w:bCs/>
                <w:color w:val="1F1F1F"/>
              </w:rPr>
              <w:t>Porcentaje de la Prima del Comprador (BP)</w:t>
            </w:r>
          </w:p>
        </w:tc>
      </w:tr>
      <w:tr w:rsidR="0048163B" w14:paraId="71FC78AA" w14:textId="77777777">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1FC78A8" w14:textId="696E42BF" w:rsidR="0048163B" w:rsidRDefault="00000000" w:rsidP="009D50DB">
            <w:pPr>
              <w:pBdr>
                <w:top w:val="nil"/>
                <w:left w:val="nil"/>
                <w:bottom w:val="nil"/>
                <w:right w:val="nil"/>
                <w:between w:val="nil"/>
              </w:pBdr>
              <w:spacing w:before="240" w:after="240" w:line="360" w:lineRule="auto"/>
              <w:jc w:val="both"/>
              <w:rPr>
                <w:rFonts w:ascii="Google Sans" w:eastAsia="Google Sans" w:hAnsi="Google Sans" w:cs="Google Sans"/>
                <w:color w:val="1F1F1F"/>
              </w:rPr>
            </w:pPr>
            <w:r>
              <w:rPr>
                <w:rFonts w:ascii="Google Sans" w:eastAsia="Google Sans" w:hAnsi="Google Sans" w:cs="Google Sans"/>
                <w:color w:val="1F1F1F"/>
              </w:rPr>
              <w:t xml:space="preserve">Primeros </w:t>
            </w:r>
            <w:r w:rsidR="00BD1C29">
              <w:rPr>
                <w:rFonts w:ascii="Google Sans" w:eastAsia="Google Sans" w:hAnsi="Google Sans" w:cs="Google Sans"/>
                <w:color w:val="1F1F1F"/>
              </w:rPr>
              <w:t>10</w:t>
            </w:r>
            <w:r>
              <w:rPr>
                <w:rFonts w:ascii="Google Sans" w:eastAsia="Google Sans" w:hAnsi="Google Sans" w:cs="Google Sans"/>
                <w:color w:val="1F1F1F"/>
              </w:rPr>
              <w:t>0 del precio de venta</w:t>
            </w:r>
          </w:p>
        </w:tc>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1FC78A9" w14:textId="69717086" w:rsidR="0048163B" w:rsidRDefault="00AB5C43" w:rsidP="009D50DB">
            <w:pPr>
              <w:pBdr>
                <w:top w:val="nil"/>
                <w:left w:val="nil"/>
                <w:bottom w:val="nil"/>
                <w:right w:val="nil"/>
                <w:between w:val="nil"/>
              </w:pBdr>
              <w:spacing w:before="240" w:after="240" w:line="360" w:lineRule="auto"/>
              <w:jc w:val="both"/>
              <w:rPr>
                <w:rFonts w:ascii="Google Sans" w:eastAsia="Google Sans" w:hAnsi="Google Sans" w:cs="Google Sans"/>
                <w:color w:val="1F1F1F"/>
              </w:rPr>
            </w:pPr>
            <w:r>
              <w:rPr>
                <w:rFonts w:ascii="Google Sans" w:eastAsia="Google Sans" w:hAnsi="Google Sans" w:cs="Google Sans"/>
                <w:color w:val="1F1F1F"/>
              </w:rPr>
              <w:t>15</w:t>
            </w:r>
            <w:r w:rsidR="00000000">
              <w:rPr>
                <w:rFonts w:ascii="Google Sans" w:eastAsia="Google Sans" w:hAnsi="Google Sans" w:cs="Google Sans"/>
                <w:color w:val="1F1F1F"/>
              </w:rPr>
              <w:t>%</w:t>
            </w:r>
          </w:p>
        </w:tc>
      </w:tr>
      <w:tr w:rsidR="0048163B" w14:paraId="71FC78AD" w14:textId="77777777">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1FC78AB" w14:textId="2F36EC26" w:rsidR="0048163B" w:rsidRDefault="00000000" w:rsidP="009D50DB">
            <w:pPr>
              <w:pBdr>
                <w:top w:val="nil"/>
                <w:left w:val="nil"/>
                <w:bottom w:val="nil"/>
                <w:right w:val="nil"/>
                <w:between w:val="nil"/>
              </w:pBdr>
              <w:spacing w:before="240" w:after="240" w:line="360" w:lineRule="auto"/>
              <w:jc w:val="both"/>
              <w:rPr>
                <w:rFonts w:ascii="Google Sans" w:eastAsia="Google Sans" w:hAnsi="Google Sans" w:cs="Google Sans"/>
                <w:color w:val="1F1F1F"/>
              </w:rPr>
            </w:pPr>
            <w:r>
              <w:rPr>
                <w:rFonts w:ascii="Google Sans" w:eastAsia="Google Sans" w:hAnsi="Google Sans" w:cs="Google Sans"/>
                <w:color w:val="1F1F1F"/>
              </w:rPr>
              <w:t xml:space="preserve">Monto entre </w:t>
            </w:r>
            <w:r w:rsidR="00BD1C29">
              <w:rPr>
                <w:rFonts w:ascii="Google Sans" w:eastAsia="Google Sans" w:hAnsi="Google Sans" w:cs="Google Sans"/>
                <w:color w:val="1F1F1F"/>
              </w:rPr>
              <w:t>10</w:t>
            </w:r>
            <w:r>
              <w:rPr>
                <w:rFonts w:ascii="Google Sans" w:eastAsia="Google Sans" w:hAnsi="Google Sans" w:cs="Google Sans"/>
                <w:color w:val="1F1F1F"/>
              </w:rPr>
              <w:t xml:space="preserve">0 y </w:t>
            </w:r>
            <w:r w:rsidR="00F76FDA">
              <w:rPr>
                <w:rFonts w:ascii="Google Sans" w:eastAsia="Google Sans" w:hAnsi="Google Sans" w:cs="Google Sans"/>
                <w:color w:val="1F1F1F"/>
              </w:rPr>
              <w:t>4</w:t>
            </w:r>
            <w:r w:rsidR="00BD1C29">
              <w:rPr>
                <w:rFonts w:ascii="Google Sans" w:eastAsia="Google Sans" w:hAnsi="Google Sans" w:cs="Google Sans"/>
                <w:color w:val="1F1F1F"/>
              </w:rPr>
              <w:t>00</w:t>
            </w:r>
          </w:p>
        </w:tc>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1FC78AC" w14:textId="77777777" w:rsidR="0048163B" w:rsidRDefault="00000000" w:rsidP="009D50DB">
            <w:pPr>
              <w:pBdr>
                <w:top w:val="nil"/>
                <w:left w:val="nil"/>
                <w:bottom w:val="nil"/>
                <w:right w:val="nil"/>
                <w:between w:val="nil"/>
              </w:pBdr>
              <w:spacing w:before="240" w:after="240" w:line="360" w:lineRule="auto"/>
              <w:jc w:val="both"/>
              <w:rPr>
                <w:rFonts w:ascii="Google Sans" w:eastAsia="Google Sans" w:hAnsi="Google Sans" w:cs="Google Sans"/>
                <w:color w:val="1F1F1F"/>
              </w:rPr>
            </w:pPr>
            <w:r>
              <w:rPr>
                <w:rFonts w:ascii="Google Sans" w:eastAsia="Google Sans" w:hAnsi="Google Sans" w:cs="Google Sans"/>
                <w:color w:val="1F1F1F"/>
              </w:rPr>
              <w:t>10%</w:t>
            </w:r>
          </w:p>
        </w:tc>
      </w:tr>
      <w:tr w:rsidR="0048163B" w14:paraId="71FC78B0" w14:textId="77777777">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1FC78AE" w14:textId="6244BEA3" w:rsidR="0048163B" w:rsidRDefault="00000000" w:rsidP="009D50DB">
            <w:pPr>
              <w:pBdr>
                <w:top w:val="nil"/>
                <w:left w:val="nil"/>
                <w:bottom w:val="nil"/>
                <w:right w:val="nil"/>
                <w:between w:val="nil"/>
              </w:pBdr>
              <w:spacing w:before="240" w:after="240" w:line="360" w:lineRule="auto"/>
              <w:jc w:val="both"/>
              <w:rPr>
                <w:rFonts w:ascii="Google Sans" w:eastAsia="Google Sans" w:hAnsi="Google Sans" w:cs="Google Sans"/>
                <w:color w:val="1F1F1F"/>
              </w:rPr>
            </w:pPr>
            <w:r>
              <w:rPr>
                <w:rFonts w:ascii="Google Sans" w:eastAsia="Google Sans" w:hAnsi="Google Sans" w:cs="Google Sans"/>
                <w:color w:val="1F1F1F"/>
              </w:rPr>
              <w:t xml:space="preserve">Cualquier monto excedente sobre </w:t>
            </w:r>
            <w:r w:rsidR="00F76FDA">
              <w:rPr>
                <w:rFonts w:ascii="Google Sans" w:eastAsia="Google Sans" w:hAnsi="Google Sans" w:cs="Google Sans"/>
                <w:color w:val="1F1F1F"/>
              </w:rPr>
              <w:t>400</w:t>
            </w:r>
          </w:p>
        </w:tc>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1FC78AF" w14:textId="77777777" w:rsidR="0048163B" w:rsidRDefault="00000000" w:rsidP="009D50DB">
            <w:pPr>
              <w:pBdr>
                <w:top w:val="nil"/>
                <w:left w:val="nil"/>
                <w:bottom w:val="nil"/>
                <w:right w:val="nil"/>
                <w:between w:val="nil"/>
              </w:pBdr>
              <w:spacing w:before="240" w:after="240" w:line="360" w:lineRule="auto"/>
              <w:jc w:val="both"/>
              <w:rPr>
                <w:rFonts w:ascii="Google Sans" w:eastAsia="Google Sans" w:hAnsi="Google Sans" w:cs="Google Sans"/>
                <w:color w:val="1F1F1F"/>
              </w:rPr>
            </w:pPr>
            <w:r>
              <w:rPr>
                <w:rFonts w:ascii="Google Sans" w:eastAsia="Google Sans" w:hAnsi="Google Sans" w:cs="Google Sans"/>
                <w:color w:val="1F1F1F"/>
              </w:rPr>
              <w:t>7%</w:t>
            </w:r>
          </w:p>
        </w:tc>
      </w:tr>
    </w:tbl>
    <w:p w14:paraId="71FC78B1" w14:textId="77777777" w:rsidR="0048163B" w:rsidRDefault="00000000" w:rsidP="009D50DB">
      <w:pPr>
        <w:pBdr>
          <w:top w:val="nil"/>
          <w:left w:val="nil"/>
          <w:bottom w:val="nil"/>
          <w:right w:val="nil"/>
          <w:between w:val="nil"/>
        </w:pBdr>
        <w:spacing w:before="480" w:after="150" w:line="360" w:lineRule="auto"/>
        <w:jc w:val="both"/>
        <w:rPr>
          <w:rFonts w:ascii="Google Sans" w:eastAsia="Google Sans" w:hAnsi="Google Sans" w:cs="Google Sans"/>
          <w:color w:val="1F1F1F"/>
        </w:rPr>
      </w:pPr>
      <w:r>
        <w:rPr>
          <w:rFonts w:ascii="Google Sans" w:eastAsia="Google Sans" w:hAnsi="Google Sans" w:cs="Google Sans"/>
          <w:color w:val="1F1F1F"/>
        </w:rPr>
        <w:t>Este sistema resulta en una tasa efectiva combinada. Por ejemplo, en una transacción de $10,000.00, el comprador pagaría un 20% sobre los primeros $2,000 ($400), un 10% sobre los siguientes $3,000 ($300) y un 7% sobre los $5,000 restantes ($350), totalizando una prima de $1,050, lo que representa una tasa efectiva del 10.5%.</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Este enfoque es particularmente relevante en el sector de excedentes industriales y comerciales, donde los precios de martillo pueden escalar rápidamente.</w:t>
      </w:r>
    </w:p>
    <w:p w14:paraId="71FC78B2" w14:textId="77777777" w:rsidR="0048163B" w:rsidRDefault="00000000" w:rsidP="009D50DB">
      <w:pPr>
        <w:pBdr>
          <w:top w:val="nil"/>
          <w:left w:val="nil"/>
          <w:bottom w:val="nil"/>
          <w:right w:val="nil"/>
          <w:between w:val="nil"/>
        </w:pBdr>
        <w:spacing w:after="150" w:line="360" w:lineRule="auto"/>
        <w:jc w:val="both"/>
        <w:rPr>
          <w:rFonts w:ascii="Google Sans" w:eastAsia="Google Sans" w:hAnsi="Google Sans" w:cs="Google Sans"/>
          <w:color w:val="1F1F1F"/>
        </w:rPr>
      </w:pPr>
      <w:r>
        <w:rPr>
          <w:rFonts w:ascii="Google Sans" w:eastAsia="Google Sans" w:hAnsi="Google Sans" w:cs="Google Sans"/>
          <w:color w:val="1F1F1F"/>
        </w:rPr>
        <w:t>Otra variante identificada en subastas generales de la plataforma utiliza tramos más amplios para acomodar lotes medianos:</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48163B" w14:paraId="71FC78B5" w14:textId="77777777">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1FC78B3" w14:textId="77777777" w:rsidR="0048163B" w:rsidRDefault="00000000" w:rsidP="009D50DB">
            <w:pPr>
              <w:pBdr>
                <w:top w:val="nil"/>
                <w:left w:val="nil"/>
                <w:bottom w:val="nil"/>
                <w:right w:val="nil"/>
                <w:between w:val="nil"/>
              </w:pBdr>
              <w:spacing w:before="240" w:after="240" w:line="360" w:lineRule="auto"/>
              <w:jc w:val="both"/>
              <w:rPr>
                <w:rFonts w:ascii="Google Sans" w:eastAsia="Google Sans" w:hAnsi="Google Sans" w:cs="Google Sans"/>
                <w:b/>
                <w:bCs/>
                <w:color w:val="1F1F1F"/>
              </w:rPr>
            </w:pPr>
            <w:r>
              <w:rPr>
                <w:rFonts w:ascii="Google Sans" w:eastAsia="Google Sans" w:hAnsi="Google Sans" w:cs="Google Sans"/>
                <w:b/>
                <w:bCs/>
                <w:color w:val="1F1F1F"/>
              </w:rPr>
              <w:t>Umbral de Precio de Martillo</w:t>
            </w:r>
          </w:p>
        </w:tc>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1FC78B4" w14:textId="77777777" w:rsidR="0048163B" w:rsidRDefault="00000000" w:rsidP="009D50DB">
            <w:pPr>
              <w:pBdr>
                <w:top w:val="nil"/>
                <w:left w:val="nil"/>
                <w:bottom w:val="nil"/>
                <w:right w:val="nil"/>
                <w:between w:val="nil"/>
              </w:pBdr>
              <w:spacing w:before="240" w:after="240" w:line="360" w:lineRule="auto"/>
              <w:jc w:val="both"/>
              <w:rPr>
                <w:rFonts w:ascii="Google Sans" w:eastAsia="Google Sans" w:hAnsi="Google Sans" w:cs="Google Sans"/>
                <w:b/>
                <w:bCs/>
                <w:color w:val="1F1F1F"/>
              </w:rPr>
            </w:pPr>
            <w:r>
              <w:rPr>
                <w:rFonts w:ascii="Google Sans" w:eastAsia="Google Sans" w:hAnsi="Google Sans" w:cs="Google Sans"/>
                <w:b/>
                <w:bCs/>
                <w:color w:val="1F1F1F"/>
              </w:rPr>
              <w:t>Porcentaje Aplicable</w:t>
            </w:r>
          </w:p>
        </w:tc>
      </w:tr>
      <w:tr w:rsidR="0048163B" w14:paraId="71FC78B8" w14:textId="77777777">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1FC78B6" w14:textId="77777777" w:rsidR="0048163B" w:rsidRDefault="00000000" w:rsidP="009D50DB">
            <w:pPr>
              <w:pBdr>
                <w:top w:val="nil"/>
                <w:left w:val="nil"/>
                <w:bottom w:val="nil"/>
                <w:right w:val="nil"/>
                <w:between w:val="nil"/>
              </w:pBdr>
              <w:spacing w:before="240" w:after="240" w:line="360" w:lineRule="auto"/>
              <w:jc w:val="both"/>
              <w:rPr>
                <w:rFonts w:ascii="Google Sans" w:eastAsia="Google Sans" w:hAnsi="Google Sans" w:cs="Google Sans"/>
                <w:color w:val="1F1F1F"/>
              </w:rPr>
            </w:pPr>
            <w:r>
              <w:rPr>
                <w:rFonts w:ascii="Google Sans" w:eastAsia="Google Sans" w:hAnsi="Google Sans" w:cs="Google Sans"/>
                <w:color w:val="1F1F1F"/>
              </w:rPr>
              <w:t>Hasta $2,000.00</w:t>
            </w:r>
          </w:p>
        </w:tc>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1FC78B7" w14:textId="77777777" w:rsidR="0048163B" w:rsidRDefault="00000000" w:rsidP="009D50DB">
            <w:pPr>
              <w:pBdr>
                <w:top w:val="nil"/>
                <w:left w:val="nil"/>
                <w:bottom w:val="nil"/>
                <w:right w:val="nil"/>
                <w:between w:val="nil"/>
              </w:pBdr>
              <w:spacing w:before="240" w:after="240" w:line="360" w:lineRule="auto"/>
              <w:jc w:val="both"/>
              <w:rPr>
                <w:rFonts w:ascii="Google Sans" w:eastAsia="Google Sans" w:hAnsi="Google Sans" w:cs="Google Sans"/>
                <w:color w:val="1F1F1F"/>
              </w:rPr>
            </w:pPr>
            <w:r>
              <w:rPr>
                <w:rFonts w:ascii="Google Sans" w:eastAsia="Google Sans" w:hAnsi="Google Sans" w:cs="Google Sans"/>
                <w:color w:val="1F1F1F"/>
              </w:rPr>
              <w:t>20%</w:t>
            </w:r>
          </w:p>
        </w:tc>
      </w:tr>
      <w:tr w:rsidR="0048163B" w14:paraId="71FC78BB" w14:textId="77777777">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1FC78B9" w14:textId="77777777" w:rsidR="0048163B" w:rsidRDefault="00000000" w:rsidP="009D50DB">
            <w:pPr>
              <w:pBdr>
                <w:top w:val="nil"/>
                <w:left w:val="nil"/>
                <w:bottom w:val="nil"/>
                <w:right w:val="nil"/>
                <w:between w:val="nil"/>
              </w:pBdr>
              <w:spacing w:before="240" w:after="240" w:line="360" w:lineRule="auto"/>
              <w:jc w:val="both"/>
              <w:rPr>
                <w:rFonts w:ascii="Google Sans" w:eastAsia="Google Sans" w:hAnsi="Google Sans" w:cs="Google Sans"/>
                <w:color w:val="1F1F1F"/>
              </w:rPr>
            </w:pPr>
            <w:r>
              <w:rPr>
                <w:rFonts w:ascii="Google Sans" w:eastAsia="Google Sans" w:hAnsi="Google Sans" w:cs="Google Sans"/>
                <w:color w:val="1F1F1F"/>
              </w:rPr>
              <w:lastRenderedPageBreak/>
              <w:t>De $2,001.00 a $10,000.00</w:t>
            </w:r>
          </w:p>
        </w:tc>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1FC78BA" w14:textId="77777777" w:rsidR="0048163B" w:rsidRDefault="00000000" w:rsidP="009D50DB">
            <w:pPr>
              <w:pBdr>
                <w:top w:val="nil"/>
                <w:left w:val="nil"/>
                <w:bottom w:val="nil"/>
                <w:right w:val="nil"/>
                <w:between w:val="nil"/>
              </w:pBdr>
              <w:spacing w:before="240" w:after="240" w:line="360" w:lineRule="auto"/>
              <w:jc w:val="both"/>
              <w:rPr>
                <w:rFonts w:ascii="Google Sans" w:eastAsia="Google Sans" w:hAnsi="Google Sans" w:cs="Google Sans"/>
                <w:color w:val="1F1F1F"/>
              </w:rPr>
            </w:pPr>
            <w:r>
              <w:rPr>
                <w:rFonts w:ascii="Google Sans" w:eastAsia="Google Sans" w:hAnsi="Google Sans" w:cs="Google Sans"/>
                <w:color w:val="1F1F1F"/>
              </w:rPr>
              <w:t>15%</w:t>
            </w:r>
          </w:p>
        </w:tc>
      </w:tr>
      <w:tr w:rsidR="0048163B" w14:paraId="71FC78BE" w14:textId="77777777">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1FC78BC" w14:textId="77777777" w:rsidR="0048163B" w:rsidRDefault="00000000" w:rsidP="009D50DB">
            <w:pPr>
              <w:pBdr>
                <w:top w:val="nil"/>
                <w:left w:val="nil"/>
                <w:bottom w:val="nil"/>
                <w:right w:val="nil"/>
                <w:between w:val="nil"/>
              </w:pBdr>
              <w:spacing w:before="240" w:after="240" w:line="360" w:lineRule="auto"/>
              <w:jc w:val="both"/>
              <w:rPr>
                <w:rFonts w:ascii="Google Sans" w:eastAsia="Google Sans" w:hAnsi="Google Sans" w:cs="Google Sans"/>
                <w:color w:val="1F1F1F"/>
              </w:rPr>
            </w:pPr>
            <w:r>
              <w:rPr>
                <w:rFonts w:ascii="Google Sans" w:eastAsia="Google Sans" w:hAnsi="Google Sans" w:cs="Google Sans"/>
                <w:color w:val="1F1F1F"/>
              </w:rPr>
              <w:t>Por encima de $10,000.00</w:t>
            </w:r>
          </w:p>
        </w:tc>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1FC78BD" w14:textId="77777777" w:rsidR="0048163B" w:rsidRDefault="00000000" w:rsidP="009D50DB">
            <w:pPr>
              <w:pBdr>
                <w:top w:val="nil"/>
                <w:left w:val="nil"/>
                <w:bottom w:val="nil"/>
                <w:right w:val="nil"/>
                <w:between w:val="nil"/>
              </w:pBdr>
              <w:spacing w:before="240" w:after="240" w:line="360" w:lineRule="auto"/>
              <w:jc w:val="both"/>
              <w:rPr>
                <w:rFonts w:ascii="Google Sans" w:eastAsia="Google Sans" w:hAnsi="Google Sans" w:cs="Google Sans"/>
                <w:color w:val="1F1F1F"/>
              </w:rPr>
            </w:pPr>
            <w:r>
              <w:rPr>
                <w:rFonts w:ascii="Google Sans" w:eastAsia="Google Sans" w:hAnsi="Google Sans" w:cs="Google Sans"/>
                <w:color w:val="1F1F1F"/>
              </w:rPr>
              <w:t>10%</w:t>
            </w:r>
          </w:p>
        </w:tc>
      </w:tr>
    </w:tbl>
    <w:p w14:paraId="71FC78BF" w14:textId="77777777" w:rsidR="0048163B" w:rsidRDefault="00000000" w:rsidP="009D50DB">
      <w:pPr>
        <w:pBdr>
          <w:top w:val="nil"/>
          <w:left w:val="nil"/>
          <w:bottom w:val="nil"/>
          <w:right w:val="nil"/>
          <w:between w:val="nil"/>
        </w:pBdr>
        <w:spacing w:before="480" w:after="150" w:line="360" w:lineRule="auto"/>
        <w:jc w:val="both"/>
        <w:rPr>
          <w:rFonts w:ascii="Google Sans" w:eastAsia="Google Sans" w:hAnsi="Google Sans" w:cs="Google Sans"/>
          <w:color w:val="444746"/>
          <w:sz w:val="24"/>
          <w:szCs w:val="24"/>
          <w:vertAlign w:val="superscript"/>
        </w:rPr>
      </w:pPr>
      <w:r>
        <w:rPr>
          <w:rFonts w:ascii="Google Sans" w:eastAsia="Google Sans" w:hAnsi="Google Sans" w:cs="Google Sans"/>
          <w:color w:val="1F1F1F"/>
        </w:rPr>
        <w:t>La aplicación de estos porcentajes se realiza sobre la porción del precio que cae dentro de cada tramo, no sobre el total acumulado, lo que asegura una transición suave en el costo total para el postor.</w:t>
      </w:r>
      <w:r>
        <w:rPr>
          <w:rFonts w:ascii="Google Sans" w:eastAsia="Google Sans" w:hAnsi="Google Sans" w:cs="Google Sans"/>
          <w:color w:val="444746"/>
          <w:sz w:val="24"/>
          <w:szCs w:val="24"/>
          <w:vertAlign w:val="superscript"/>
        </w:rPr>
        <w:t>1</w:t>
      </w:r>
    </w:p>
    <w:p w14:paraId="71FC78C0" w14:textId="77777777" w:rsidR="0048163B" w:rsidRDefault="00000000" w:rsidP="009D50DB">
      <w:pPr>
        <w:pStyle w:val="Heading3"/>
        <w:spacing w:before="0" w:after="120" w:line="360" w:lineRule="auto"/>
        <w:jc w:val="both"/>
        <w:rPr>
          <w:rFonts w:ascii="Google Sans" w:eastAsia="Google Sans" w:hAnsi="Google Sans" w:cs="Google Sans"/>
          <w:color w:val="1F1F1F"/>
        </w:rPr>
      </w:pPr>
      <w:r>
        <w:rPr>
          <w:rFonts w:ascii="Google Sans" w:eastAsia="Google Sans" w:hAnsi="Google Sans" w:cs="Google Sans"/>
          <w:color w:val="1F1F1F"/>
        </w:rPr>
        <w:t>Tarifas Operativas y Cargos por Procesamiento de Pagos</w:t>
      </w:r>
    </w:p>
    <w:p w14:paraId="71FC78C1" w14:textId="77777777" w:rsidR="0048163B" w:rsidRDefault="00000000" w:rsidP="009D50DB">
      <w:pPr>
        <w:pBdr>
          <w:top w:val="nil"/>
          <w:left w:val="nil"/>
          <w:bottom w:val="nil"/>
          <w:right w:val="nil"/>
          <w:between w:val="nil"/>
        </w:pBdr>
        <w:spacing w:after="150" w:line="360" w:lineRule="auto"/>
        <w:jc w:val="both"/>
        <w:rPr>
          <w:rFonts w:ascii="Google Sans" w:eastAsia="Google Sans" w:hAnsi="Google Sans" w:cs="Google Sans"/>
          <w:color w:val="444746"/>
          <w:sz w:val="24"/>
          <w:szCs w:val="24"/>
          <w:vertAlign w:val="superscript"/>
        </w:rPr>
      </w:pPr>
      <w:r>
        <w:rPr>
          <w:rFonts w:ascii="Google Sans" w:eastAsia="Google Sans" w:hAnsi="Google Sans" w:cs="Google Sans"/>
          <w:color w:val="1F1F1F"/>
        </w:rPr>
        <w:t>Más allá de la prima porcentual, el costo final para un comprador en Liquidation.com se ve afectado por cargos administrativos y financieros. Las transacciones realizadas mediante tarjeta de crédito o plataformas como PayPal suelen estar sujetas a una tarifa de procesamiento o "conveniencia" que varía típicamente entre el 2.9% y el 4%.</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 En subastas específicas de liquidación masiva, se han registrado cargos fijos mínimos de prima del comprador de $10.00 por lote, asegurando que incluso los lotes de bajo valor generen ingresos mínimos de cobertura para la plataforma.</w:t>
      </w:r>
      <w:r>
        <w:rPr>
          <w:rFonts w:ascii="Google Sans" w:eastAsia="Google Sans" w:hAnsi="Google Sans" w:cs="Google Sans"/>
          <w:color w:val="444746"/>
          <w:sz w:val="24"/>
          <w:szCs w:val="24"/>
          <w:vertAlign w:val="superscript"/>
        </w:rPr>
        <w:t>7</w:t>
      </w:r>
    </w:p>
    <w:p w14:paraId="71FC78C2" w14:textId="77777777" w:rsidR="0048163B" w:rsidRDefault="00000000" w:rsidP="009D50DB">
      <w:pPr>
        <w:pBdr>
          <w:top w:val="nil"/>
          <w:left w:val="nil"/>
          <w:bottom w:val="nil"/>
          <w:right w:val="nil"/>
          <w:between w:val="nil"/>
        </w:pBdr>
        <w:spacing w:after="150" w:line="360" w:lineRule="auto"/>
        <w:jc w:val="both"/>
        <w:rPr>
          <w:rFonts w:ascii="Google Sans" w:eastAsia="Google Sans" w:hAnsi="Google Sans" w:cs="Google Sans"/>
          <w:color w:val="444746"/>
          <w:sz w:val="24"/>
          <w:szCs w:val="24"/>
          <w:vertAlign w:val="superscript"/>
        </w:rPr>
      </w:pPr>
      <w:r>
        <w:rPr>
          <w:rFonts w:ascii="Google Sans" w:eastAsia="Google Sans" w:hAnsi="Google Sans" w:cs="Google Sans"/>
          <w:color w:val="1F1F1F"/>
        </w:rPr>
        <w:t>Para los compradores que optan por métodos de pago tradicionales como transferencias bancarias o cheques certificados, algunas subastas ofrecen descuentos en la prima del comprador (típicamente del 3%), lo que incentiva el uso de métodos de pago con menores costos de reversión y riesgo de fraude para el liquidador.</w:t>
      </w:r>
      <w:r>
        <w:rPr>
          <w:rFonts w:ascii="Google Sans" w:eastAsia="Google Sans" w:hAnsi="Google Sans" w:cs="Google Sans"/>
          <w:color w:val="444746"/>
          <w:sz w:val="24"/>
          <w:szCs w:val="24"/>
          <w:vertAlign w:val="superscript"/>
        </w:rPr>
        <w:t>8</w:t>
      </w:r>
    </w:p>
    <w:p w14:paraId="71FC78C3" w14:textId="77777777" w:rsidR="0048163B" w:rsidRDefault="00000000" w:rsidP="009D50DB">
      <w:pPr>
        <w:pStyle w:val="Heading3"/>
        <w:spacing w:before="0" w:after="120" w:line="360" w:lineRule="auto"/>
        <w:jc w:val="both"/>
        <w:rPr>
          <w:rFonts w:ascii="Google Sans" w:eastAsia="Google Sans" w:hAnsi="Google Sans" w:cs="Google Sans"/>
          <w:color w:val="1F1F1F"/>
        </w:rPr>
      </w:pPr>
      <w:r>
        <w:rPr>
          <w:rFonts w:ascii="Google Sans" w:eastAsia="Google Sans" w:hAnsi="Google Sans" w:cs="Google Sans"/>
          <w:color w:val="1F1F1F"/>
        </w:rPr>
        <w:t>La Logística como Factor Crítico en la Estructura de Costos</w:t>
      </w:r>
    </w:p>
    <w:p w14:paraId="71FC78C4" w14:textId="77777777" w:rsidR="0048163B" w:rsidRDefault="00000000" w:rsidP="009D50DB">
      <w:pPr>
        <w:pBdr>
          <w:top w:val="nil"/>
          <w:left w:val="nil"/>
          <w:bottom w:val="nil"/>
          <w:right w:val="nil"/>
          <w:between w:val="nil"/>
        </w:pBdr>
        <w:spacing w:after="150" w:line="360" w:lineRule="auto"/>
        <w:jc w:val="both"/>
        <w:rPr>
          <w:rFonts w:ascii="Google Sans" w:eastAsia="Google Sans" w:hAnsi="Google Sans" w:cs="Google Sans"/>
          <w:color w:val="444746"/>
          <w:sz w:val="24"/>
          <w:szCs w:val="24"/>
          <w:vertAlign w:val="superscript"/>
        </w:rPr>
      </w:pPr>
      <w:r>
        <w:rPr>
          <w:rFonts w:ascii="Google Sans" w:eastAsia="Google Sans" w:hAnsi="Google Sans" w:cs="Google Sans"/>
          <w:color w:val="1F1F1F"/>
        </w:rPr>
        <w:t>Un error común entre los postores novatos es subestimar el impacto de los costos de envío y manejo en el margen neto. Liquidation.com establece cargos mínimos y adicionales que deben ser factorizados antes de emitir una puja. Existe un cargo mínimo de envío de $40.25 para cualquier paquete pequeño, independientemente de su peso real.</w:t>
      </w:r>
      <w:r>
        <w:rPr>
          <w:rFonts w:ascii="Google Sans" w:eastAsia="Google Sans" w:hAnsi="Google Sans" w:cs="Google Sans"/>
          <w:color w:val="444746"/>
          <w:sz w:val="24"/>
          <w:szCs w:val="24"/>
          <w:vertAlign w:val="superscript"/>
        </w:rPr>
        <w:t>11</w:t>
      </w:r>
    </w:p>
    <w:p w14:paraId="71FC78C5" w14:textId="77777777" w:rsidR="0048163B" w:rsidRDefault="00000000" w:rsidP="009D50DB">
      <w:pPr>
        <w:pBdr>
          <w:top w:val="nil"/>
          <w:left w:val="nil"/>
          <w:bottom w:val="nil"/>
          <w:right w:val="nil"/>
          <w:between w:val="nil"/>
        </w:pBdr>
        <w:spacing w:after="150" w:line="360" w:lineRule="auto"/>
        <w:jc w:val="both"/>
        <w:rPr>
          <w:rFonts w:ascii="Google Sans" w:eastAsia="Google Sans" w:hAnsi="Google Sans" w:cs="Google Sans"/>
          <w:color w:val="1F1F1F"/>
        </w:rPr>
      </w:pPr>
      <w:r>
        <w:rPr>
          <w:rFonts w:ascii="Google Sans" w:eastAsia="Google Sans" w:hAnsi="Google Sans" w:cs="Google Sans"/>
          <w:color w:val="1F1F1F"/>
        </w:rPr>
        <w:lastRenderedPageBreak/>
        <w:t xml:space="preserve">Cuando la transacción involucra pallets o carga LTL (Less Than </w:t>
      </w:r>
      <w:proofErr w:type="spellStart"/>
      <w:r>
        <w:rPr>
          <w:rFonts w:ascii="Google Sans" w:eastAsia="Google Sans" w:hAnsi="Google Sans" w:cs="Google Sans"/>
          <w:color w:val="1F1F1F"/>
        </w:rPr>
        <w:t>Truckload</w:t>
      </w:r>
      <w:proofErr w:type="spellEnd"/>
      <w:r>
        <w:rPr>
          <w:rFonts w:ascii="Google Sans" w:eastAsia="Google Sans" w:hAnsi="Google Sans" w:cs="Google Sans"/>
          <w:color w:val="1F1F1F"/>
        </w:rPr>
        <w:t>), se activan cargos adicionales por servicios específicos:</w:t>
      </w:r>
    </w:p>
    <w:p w14:paraId="71FC78C6" w14:textId="77777777" w:rsidR="0048163B" w:rsidRDefault="0048163B" w:rsidP="009D50DB">
      <w:pPr>
        <w:pBdr>
          <w:top w:val="nil"/>
          <w:left w:val="nil"/>
          <w:bottom w:val="nil"/>
          <w:right w:val="nil"/>
          <w:between w:val="nil"/>
        </w:pBdr>
        <w:spacing w:line="360" w:lineRule="auto"/>
        <w:jc w:val="both"/>
        <w:rPr>
          <w:rFonts w:ascii="Google Sans" w:eastAsia="Google Sans" w:hAnsi="Google Sans" w:cs="Google Sans"/>
          <w:color w:val="1F1F1F"/>
        </w:rPr>
      </w:pP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8163B" w14:paraId="71FC78CA"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FC78C7" w14:textId="77777777" w:rsidR="0048163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Concepto Logístico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FC78C8" w14:textId="77777777" w:rsidR="0048163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Cargo Estimado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FC78C9" w14:textId="77777777" w:rsidR="0048163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Implicación para el Comprador</w:t>
            </w:r>
          </w:p>
        </w:tc>
      </w:tr>
      <w:tr w:rsidR="0048163B" w14:paraId="71FC78CE"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FC78CB" w14:textId="77777777" w:rsidR="0048163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Tarifa Residencial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FC78CC" w14:textId="77777777" w:rsidR="0048163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$40.00 - $50.00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FC78CD" w14:textId="77777777" w:rsidR="0048163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Aplicable si la entrega no es en una zona comercial zonificada.</w:t>
            </w:r>
            <w:r>
              <w:rPr>
                <w:rFonts w:ascii="Google Sans" w:eastAsia="Google Sans" w:hAnsi="Google Sans" w:cs="Google Sans"/>
                <w:color w:val="444746"/>
                <w:sz w:val="24"/>
                <w:szCs w:val="24"/>
                <w:vertAlign w:val="superscript"/>
              </w:rPr>
              <w:t>12</w:t>
            </w:r>
          </w:p>
        </w:tc>
      </w:tr>
      <w:tr w:rsidR="0048163B" w14:paraId="71FC78D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FC78CF" w14:textId="77777777" w:rsidR="0048163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Servicio de </w:t>
            </w:r>
            <w:proofErr w:type="spellStart"/>
            <w:r>
              <w:rPr>
                <w:rFonts w:ascii="Google Sans" w:eastAsia="Google Sans" w:hAnsi="Google Sans" w:cs="Google Sans"/>
                <w:color w:val="1F1F1F"/>
              </w:rPr>
              <w:t>Lift</w:t>
            </w:r>
            <w:proofErr w:type="spellEnd"/>
            <w:r>
              <w:rPr>
                <w:rFonts w:ascii="Google Sans" w:eastAsia="Google Sans" w:hAnsi="Google Sans" w:cs="Google Sans"/>
                <w:color w:val="1F1F1F"/>
              </w:rPr>
              <w:t>-Gate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FC78D0" w14:textId="77777777" w:rsidR="0048163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$40.00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FC78D1" w14:textId="77777777" w:rsidR="0048163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Necesario si el destino no cuenta con muelle de carga.</w:t>
            </w:r>
            <w:r>
              <w:rPr>
                <w:rFonts w:ascii="Google Sans" w:eastAsia="Google Sans" w:hAnsi="Google Sans" w:cs="Google Sans"/>
                <w:color w:val="444746"/>
                <w:sz w:val="24"/>
                <w:szCs w:val="24"/>
                <w:vertAlign w:val="superscript"/>
              </w:rPr>
              <w:t>12</w:t>
            </w:r>
          </w:p>
        </w:tc>
      </w:tr>
      <w:tr w:rsidR="0048163B" w14:paraId="71FC78D6"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FC78D3" w14:textId="77777777" w:rsidR="0048163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Recargos Metropolitanos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FC78D4" w14:textId="77777777" w:rsidR="0048163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Variable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FC78D5" w14:textId="77777777" w:rsidR="0048163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Elevados en áreas de alta densidad como NYC, LA o DC.</w:t>
            </w:r>
            <w:r>
              <w:rPr>
                <w:rFonts w:ascii="Google Sans" w:eastAsia="Google Sans" w:hAnsi="Google Sans" w:cs="Google Sans"/>
                <w:color w:val="444746"/>
                <w:sz w:val="24"/>
                <w:szCs w:val="24"/>
                <w:vertAlign w:val="superscript"/>
              </w:rPr>
              <w:t>12</w:t>
            </w:r>
          </w:p>
        </w:tc>
      </w:tr>
    </w:tbl>
    <w:p w14:paraId="71FC78D7" w14:textId="77777777" w:rsidR="0048163B"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Estos costos son acumulativos. Un comprador que adquiere un pallet de devoluciones por $200.00 podría enfrentar una factura final de más de $450.00 si se suman la prima del comprador del 15%, un envío base de $150.00 y los recargos por entrega residencial con compuerta elevadora.</w:t>
      </w:r>
      <w:r>
        <w:rPr>
          <w:rFonts w:ascii="Google Sans" w:eastAsia="Google Sans" w:hAnsi="Google Sans" w:cs="Google Sans"/>
          <w:color w:val="444746"/>
          <w:sz w:val="24"/>
          <w:szCs w:val="24"/>
          <w:vertAlign w:val="superscript"/>
        </w:rPr>
        <w:t>14</w:t>
      </w:r>
    </w:p>
    <w:p w14:paraId="71FC78D8" w14:textId="77777777" w:rsidR="0048163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Dinámica de Comisiones para Vendedores en Liquidation.com</w:t>
      </w:r>
    </w:p>
    <w:p w14:paraId="71FC78D9" w14:textId="77777777" w:rsidR="0048163B"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El modelo de ingresos de Liquidation.com para con sus vendedores (minoristas, fabricantes y entidades gubernamentales) se basa en una estructura de comisión sobre el éxito de la venta, a menudo denominada "reparto de ingresos" (</w:t>
      </w:r>
      <w:proofErr w:type="spellStart"/>
      <w:r>
        <w:rPr>
          <w:rFonts w:ascii="Google Sans" w:eastAsia="Google Sans" w:hAnsi="Google Sans" w:cs="Google Sans"/>
          <w:color w:val="1F1F1F"/>
        </w:rPr>
        <w:t>revenue</w:t>
      </w:r>
      <w:proofErr w:type="spellEnd"/>
      <w:r>
        <w:rPr>
          <w:rFonts w:ascii="Google Sans" w:eastAsia="Google Sans" w:hAnsi="Google Sans" w:cs="Google Sans"/>
          <w:color w:val="1F1F1F"/>
        </w:rPr>
        <w:t xml:space="preserve"> share).</w:t>
      </w:r>
    </w:p>
    <w:p w14:paraId="71FC78DA" w14:textId="77777777" w:rsidR="0048163B"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Porcentajes de Comisión según el Método de Liquidación</w:t>
      </w:r>
    </w:p>
    <w:p w14:paraId="71FC78DB" w14:textId="77777777" w:rsidR="0048163B"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La comisión que Liquidation.com cobra al vendedor es altamente dependiente del tipo de producto y del nivel de intervención logística requerido. Según la documentación de </w:t>
      </w:r>
      <w:proofErr w:type="spellStart"/>
      <w:r>
        <w:rPr>
          <w:rFonts w:ascii="Google Sans" w:eastAsia="Google Sans" w:hAnsi="Google Sans" w:cs="Google Sans"/>
          <w:color w:val="1F1F1F"/>
        </w:rPr>
        <w:t>LiquidateNow</w:t>
      </w:r>
      <w:proofErr w:type="spellEnd"/>
      <w:r>
        <w:rPr>
          <w:rFonts w:ascii="Google Sans" w:eastAsia="Google Sans" w:hAnsi="Google Sans" w:cs="Google Sans"/>
          <w:color w:val="1F1F1F"/>
        </w:rPr>
        <w:t xml:space="preserve"> (un servicio asociado), las tasas de comisión se sitúan habitualmente entre el 20% y el 50%, siendo el rango del 20% al 30% el más común para la mayoría de las liquidaciones de mercancía general.</w:t>
      </w:r>
      <w:r>
        <w:rPr>
          <w:rFonts w:ascii="Google Sans" w:eastAsia="Google Sans" w:hAnsi="Google Sans" w:cs="Google Sans"/>
          <w:color w:val="444746"/>
          <w:sz w:val="24"/>
          <w:szCs w:val="24"/>
          <w:vertAlign w:val="superscript"/>
        </w:rPr>
        <w:t>16</w:t>
      </w:r>
    </w:p>
    <w:p w14:paraId="71FC78DC" w14:textId="77777777" w:rsidR="0048163B"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Factores que influyen en el tramo de comisión del vendedor:</w:t>
      </w:r>
    </w:p>
    <w:p w14:paraId="71FC78DD" w14:textId="77777777" w:rsidR="0048163B"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Ubicación del Inventario:</w:t>
      </w:r>
      <w:r>
        <w:rPr>
          <w:rFonts w:ascii="Google Sans" w:eastAsia="Google Sans" w:hAnsi="Google Sans" w:cs="Google Sans"/>
          <w:color w:val="1F1F1F"/>
        </w:rPr>
        <w:t xml:space="preserve"> Si los bienes se venden desde el almacén del vendedor, la </w:t>
      </w:r>
      <w:r>
        <w:rPr>
          <w:rFonts w:ascii="Google Sans" w:eastAsia="Google Sans" w:hAnsi="Google Sans" w:cs="Google Sans"/>
          <w:color w:val="1F1F1F"/>
        </w:rPr>
        <w:lastRenderedPageBreak/>
        <w:t>comisión tiende a ser más baja. Si Liquidation.com debe trasladar los bienes a sus propias instalaciones (como las ubicadas en Las Vegas, Kentucky o Plainfield), los costos de transporte y almacenamiento se descuentan del pago final o se reflejan en una comisión más alta.</w:t>
      </w:r>
      <w:r>
        <w:rPr>
          <w:rFonts w:ascii="Google Sans" w:eastAsia="Google Sans" w:hAnsi="Google Sans" w:cs="Google Sans"/>
          <w:color w:val="444746"/>
          <w:sz w:val="24"/>
          <w:szCs w:val="24"/>
          <w:vertAlign w:val="superscript"/>
        </w:rPr>
        <w:t>13</w:t>
      </w:r>
    </w:p>
    <w:p w14:paraId="71FC78DE" w14:textId="77777777" w:rsidR="0048163B"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Preparación del Lote:</w:t>
      </w:r>
      <w:r>
        <w:rPr>
          <w:rFonts w:ascii="Google Sans" w:eastAsia="Google Sans" w:hAnsi="Google Sans" w:cs="Google Sans"/>
          <w:color w:val="1F1F1F"/>
        </w:rPr>
        <w:t xml:space="preserve"> Los lotes que requieren un inventario detallado (</w:t>
      </w:r>
      <w:proofErr w:type="spellStart"/>
      <w:r>
        <w:rPr>
          <w:rFonts w:ascii="Google Sans" w:eastAsia="Google Sans" w:hAnsi="Google Sans" w:cs="Google Sans"/>
          <w:color w:val="1F1F1F"/>
        </w:rPr>
        <w:t>manifest</w:t>
      </w:r>
      <w:proofErr w:type="spellEnd"/>
      <w:r>
        <w:rPr>
          <w:rFonts w:ascii="Google Sans" w:eastAsia="Google Sans" w:hAnsi="Google Sans" w:cs="Google Sans"/>
          <w:color w:val="1F1F1F"/>
        </w:rPr>
        <w:t>), fotografía profesional y clasificación por parte de la plataforma incurren en mayores costos de servicio que aquellos listados directamente por el vendedor.</w:t>
      </w:r>
    </w:p>
    <w:p w14:paraId="71FC78DF" w14:textId="77777777" w:rsidR="0048163B" w:rsidRDefault="00000000">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Garantía de Venta:</w:t>
      </w:r>
      <w:r>
        <w:rPr>
          <w:rFonts w:ascii="Google Sans" w:eastAsia="Google Sans" w:hAnsi="Google Sans" w:cs="Google Sans"/>
          <w:color w:val="1F1F1F"/>
        </w:rPr>
        <w:t xml:space="preserve"> La mayoría de las subastas en la plataforma operan bajo el modelo de "mercado abierto" sin reserva, comenzando en $100.00, lo que garantiza una liquidación </w:t>
      </w:r>
      <w:proofErr w:type="gramStart"/>
      <w:r>
        <w:rPr>
          <w:rFonts w:ascii="Google Sans" w:eastAsia="Google Sans" w:hAnsi="Google Sans" w:cs="Google Sans"/>
          <w:color w:val="1F1F1F"/>
        </w:rPr>
        <w:t>rápida</w:t>
      </w:r>
      <w:proofErr w:type="gramEnd"/>
      <w:r>
        <w:rPr>
          <w:rFonts w:ascii="Google Sans" w:eastAsia="Google Sans" w:hAnsi="Google Sans" w:cs="Google Sans"/>
          <w:color w:val="1F1F1F"/>
        </w:rPr>
        <w:t xml:space="preserve"> pero traslada el riesgo del precio final al vendedor.</w:t>
      </w:r>
      <w:r>
        <w:rPr>
          <w:rFonts w:ascii="Google Sans" w:eastAsia="Google Sans" w:hAnsi="Google Sans" w:cs="Google Sans"/>
          <w:color w:val="444746"/>
          <w:sz w:val="24"/>
          <w:szCs w:val="24"/>
          <w:vertAlign w:val="superscript"/>
        </w:rPr>
        <w:t>17</w:t>
      </w:r>
    </w:p>
    <w:p w14:paraId="71FC78E0" w14:textId="77777777" w:rsidR="0048163B" w:rsidRDefault="00000000">
      <w:pPr>
        <w:pBdr>
          <w:top w:val="nil"/>
          <w:left w:val="nil"/>
          <w:bottom w:val="nil"/>
          <w:right w:val="nil"/>
          <w:between w:val="nil"/>
        </w:pBdr>
        <w:spacing w:before="240"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Existe una cláusula de protección contractual de 12 meses que prohíbe al vendedor eludir la plataforma para realizar transacciones directas con compradores presentados a través del sitio. En caso de violación, el vendedor está obligado a pagar una tarifa de éxito del 15% del valor de la venta.</w:t>
      </w:r>
      <w:r>
        <w:rPr>
          <w:rFonts w:ascii="Google Sans" w:eastAsia="Google Sans" w:hAnsi="Google Sans" w:cs="Google Sans"/>
          <w:color w:val="444746"/>
          <w:sz w:val="24"/>
          <w:szCs w:val="24"/>
          <w:vertAlign w:val="superscript"/>
        </w:rPr>
        <w:t>4</w:t>
      </w:r>
    </w:p>
    <w:p w14:paraId="71FC78E1" w14:textId="77777777" w:rsidR="0048163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B-Stock </w:t>
      </w:r>
      <w:proofErr w:type="spellStart"/>
      <w:r>
        <w:rPr>
          <w:rFonts w:ascii="Google Sans" w:eastAsia="Google Sans" w:hAnsi="Google Sans" w:cs="Google Sans"/>
          <w:color w:val="1F1F1F"/>
        </w:rPr>
        <w:t>Solutions</w:t>
      </w:r>
      <w:proofErr w:type="spellEnd"/>
      <w:r>
        <w:rPr>
          <w:rFonts w:ascii="Google Sans" w:eastAsia="Google Sans" w:hAnsi="Google Sans" w:cs="Google Sans"/>
          <w:color w:val="1F1F1F"/>
        </w:rPr>
        <w:t>: Análisis del Modelo de Red de Mercados Privados</w:t>
      </w:r>
    </w:p>
    <w:p w14:paraId="71FC78E2" w14:textId="77777777" w:rsidR="0048163B"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B-Stock </w:t>
      </w:r>
      <w:proofErr w:type="spellStart"/>
      <w:r>
        <w:rPr>
          <w:rFonts w:ascii="Google Sans" w:eastAsia="Google Sans" w:hAnsi="Google Sans" w:cs="Google Sans"/>
          <w:color w:val="1F1F1F"/>
        </w:rPr>
        <w:t>Solutions</w:t>
      </w:r>
      <w:proofErr w:type="spellEnd"/>
      <w:r>
        <w:rPr>
          <w:rFonts w:ascii="Google Sans" w:eastAsia="Google Sans" w:hAnsi="Google Sans" w:cs="Google Sans"/>
          <w:color w:val="1F1F1F"/>
        </w:rPr>
        <w:t xml:space="preserve"> opera bajo un paradigma fundamentalmente diferente al de Liquidation.com. En lugar de ser un mercado único, B-Stock es una red de mercados de marca propia para minoristas específicos (como Amazon, Walmart, Target, Costco, Home Depot, </w:t>
      </w:r>
      <w:proofErr w:type="spellStart"/>
      <w:r>
        <w:rPr>
          <w:rFonts w:ascii="Google Sans" w:eastAsia="Google Sans" w:hAnsi="Google Sans" w:cs="Google Sans"/>
          <w:color w:val="1F1F1F"/>
        </w:rPr>
        <w:t>Lowe's</w:t>
      </w:r>
      <w:proofErr w:type="spellEnd"/>
      <w:r>
        <w:rPr>
          <w:rFonts w:ascii="Google Sans" w:eastAsia="Google Sans" w:hAnsi="Google Sans" w:cs="Google Sans"/>
          <w:color w:val="1F1F1F"/>
        </w:rPr>
        <w:t xml:space="preserve">, entre otros). Esta descentralización crea una estructura de tarifas que, aunque tiene estándares de red, permite variaciones según el </w:t>
      </w:r>
      <w:proofErr w:type="spellStart"/>
      <w:r>
        <w:rPr>
          <w:rFonts w:ascii="Google Sans" w:eastAsia="Google Sans" w:hAnsi="Google Sans" w:cs="Google Sans"/>
          <w:color w:val="1F1F1F"/>
        </w:rPr>
        <w:t>marketplace</w:t>
      </w:r>
      <w:proofErr w:type="spellEnd"/>
      <w:r>
        <w:rPr>
          <w:rFonts w:ascii="Google Sans" w:eastAsia="Google Sans" w:hAnsi="Google Sans" w:cs="Google Sans"/>
          <w:color w:val="1F1F1F"/>
        </w:rPr>
        <w:t xml:space="preserve"> específico.</w:t>
      </w:r>
      <w:r>
        <w:rPr>
          <w:rFonts w:ascii="Google Sans" w:eastAsia="Google Sans" w:hAnsi="Google Sans" w:cs="Google Sans"/>
          <w:color w:val="444746"/>
          <w:sz w:val="24"/>
          <w:szCs w:val="24"/>
          <w:vertAlign w:val="superscript"/>
        </w:rPr>
        <w:t>19</w:t>
      </w:r>
    </w:p>
    <w:p w14:paraId="71FC78E3" w14:textId="77777777" w:rsidR="0048163B"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El "B-Stock Fee" y la Prima del Comprador</w:t>
      </w:r>
    </w:p>
    <w:p w14:paraId="71FC78E4" w14:textId="77777777" w:rsidR="0048163B"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En la red de B-Stock, la prima del comprador se denomina frecuentemente "B-Stock Fee". Este cargo es una tarifa de subasta estándar que cubre el abastecimiento de productos, el marketing de las subastas y la gestión de servicios de pago. La tarifa estándar en la plataforma B-Stock </w:t>
      </w:r>
      <w:proofErr w:type="spellStart"/>
      <w:r>
        <w:rPr>
          <w:rFonts w:ascii="Google Sans" w:eastAsia="Google Sans" w:hAnsi="Google Sans" w:cs="Google Sans"/>
          <w:color w:val="1F1F1F"/>
        </w:rPr>
        <w:t>Supply</w:t>
      </w:r>
      <w:proofErr w:type="spellEnd"/>
      <w:r>
        <w:rPr>
          <w:rFonts w:ascii="Google Sans" w:eastAsia="Google Sans" w:hAnsi="Google Sans" w:cs="Google Sans"/>
          <w:color w:val="1F1F1F"/>
        </w:rPr>
        <w:t xml:space="preserve"> y en muchos de sus mercados privados es del 10% del precio final de la puja.</w:t>
      </w:r>
      <w:r>
        <w:rPr>
          <w:rFonts w:ascii="Google Sans" w:eastAsia="Google Sans" w:hAnsi="Google Sans" w:cs="Google Sans"/>
          <w:color w:val="444746"/>
          <w:sz w:val="24"/>
          <w:szCs w:val="24"/>
          <w:vertAlign w:val="superscript"/>
        </w:rPr>
        <w:t>18</w:t>
      </w:r>
    </w:p>
    <w:p w14:paraId="71FC78E5" w14:textId="77777777" w:rsidR="0048163B"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 diferencia de Liquidation.com, B-Stock tiende a mantener una tasa plana del 10%, aunque algunos mercados minoristas de alto perfil pueden aplicar primas que oscilan entre el 10% y el 15% para compensar los costos logísticos integrados o los servicios de verificación de inventario.</w:t>
      </w:r>
      <w:r>
        <w:rPr>
          <w:rFonts w:ascii="Google Sans" w:eastAsia="Google Sans" w:hAnsi="Google Sans" w:cs="Google Sans"/>
          <w:color w:val="444746"/>
          <w:sz w:val="24"/>
          <w:szCs w:val="24"/>
          <w:vertAlign w:val="superscript"/>
        </w:rPr>
        <w:t>22</w:t>
      </w:r>
    </w:p>
    <w:p w14:paraId="71FC78E6" w14:textId="77777777" w:rsidR="0048163B"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Estructura de Costos para Vendedores en B-Stock </w:t>
      </w:r>
      <w:proofErr w:type="spellStart"/>
      <w:r>
        <w:rPr>
          <w:rFonts w:ascii="Google Sans" w:eastAsia="Google Sans" w:hAnsi="Google Sans" w:cs="Google Sans"/>
          <w:color w:val="1F1F1F"/>
        </w:rPr>
        <w:t>Supply</w:t>
      </w:r>
      <w:proofErr w:type="spellEnd"/>
    </w:p>
    <w:p w14:paraId="71FC78E7" w14:textId="77777777" w:rsidR="0048163B"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B-Stock </w:t>
      </w:r>
      <w:proofErr w:type="spellStart"/>
      <w:r>
        <w:rPr>
          <w:rFonts w:ascii="Google Sans" w:eastAsia="Google Sans" w:hAnsi="Google Sans" w:cs="Google Sans"/>
          <w:color w:val="1F1F1F"/>
        </w:rPr>
        <w:t>Supply</w:t>
      </w:r>
      <w:proofErr w:type="spellEnd"/>
      <w:r>
        <w:rPr>
          <w:rFonts w:ascii="Google Sans" w:eastAsia="Google Sans" w:hAnsi="Google Sans" w:cs="Google Sans"/>
          <w:color w:val="1F1F1F"/>
        </w:rPr>
        <w:t xml:space="preserve"> es el mercado abierto de B-Stock donde múltiples vendedores (no solo gigantes minoristas) pueden listar sus excedentes. La estructura de comisiones para estos vendedores es una combinación de suscripción y tarifas por transacción.</w:t>
      </w:r>
      <w:r>
        <w:rPr>
          <w:rFonts w:ascii="Google Sans" w:eastAsia="Google Sans" w:hAnsi="Google Sans" w:cs="Google Sans"/>
          <w:color w:val="444746"/>
          <w:sz w:val="24"/>
          <w:szCs w:val="24"/>
          <w:vertAlign w:val="superscript"/>
        </w:rPr>
        <w:t>18</w:t>
      </w:r>
    </w:p>
    <w:p w14:paraId="71FC78E8" w14:textId="77777777" w:rsidR="0048163B"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lastRenderedPageBreak/>
        <w:t>Suscripción Mensual:</w:t>
      </w:r>
      <w:r>
        <w:rPr>
          <w:rFonts w:ascii="Google Sans" w:eastAsia="Google Sans" w:hAnsi="Google Sans" w:cs="Google Sans"/>
          <w:color w:val="1F1F1F"/>
        </w:rPr>
        <w:t xml:space="preserve"> Los vendedores en B-Stock </w:t>
      </w:r>
      <w:proofErr w:type="spellStart"/>
      <w:r>
        <w:rPr>
          <w:rFonts w:ascii="Google Sans" w:eastAsia="Google Sans" w:hAnsi="Google Sans" w:cs="Google Sans"/>
          <w:color w:val="1F1F1F"/>
        </w:rPr>
        <w:t>Supply</w:t>
      </w:r>
      <w:proofErr w:type="spellEnd"/>
      <w:r>
        <w:rPr>
          <w:rFonts w:ascii="Google Sans" w:eastAsia="Google Sans" w:hAnsi="Google Sans" w:cs="Google Sans"/>
          <w:color w:val="1F1F1F"/>
        </w:rPr>
        <w:t xml:space="preserve"> pagan una tarifa recurrente de $99.00 al mes. Esta suscripción no requiere compromisos a largo plazo y otorga acceso a la base global de compradores de la red.</w:t>
      </w:r>
      <w:r>
        <w:rPr>
          <w:rFonts w:ascii="Google Sans" w:eastAsia="Google Sans" w:hAnsi="Google Sans" w:cs="Google Sans"/>
          <w:color w:val="444746"/>
          <w:sz w:val="24"/>
          <w:szCs w:val="24"/>
          <w:vertAlign w:val="superscript"/>
        </w:rPr>
        <w:t>18</w:t>
      </w:r>
    </w:p>
    <w:p w14:paraId="71FC78E9" w14:textId="77777777" w:rsidR="0048163B"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Tarifa de Transacción por Listado:</w:t>
      </w:r>
      <w:r>
        <w:rPr>
          <w:rFonts w:ascii="Google Sans" w:eastAsia="Google Sans" w:hAnsi="Google Sans" w:cs="Google Sans"/>
          <w:color w:val="1F1F1F"/>
        </w:rPr>
        <w:t xml:space="preserve"> Se aplica una tarifa de $50.00 por cada subasta listada. Un aspecto crucial de este modelo es cómo se financia esta tarifa:</w:t>
      </w:r>
    </w:p>
    <w:p w14:paraId="71FC78EA" w14:textId="77777777" w:rsidR="0048163B" w:rsidRDefault="00000000">
      <w:pPr>
        <w:numPr>
          <w:ilvl w:val="1"/>
          <w:numId w:val="3"/>
        </w:numPr>
        <w:pBdr>
          <w:top w:val="nil"/>
          <w:left w:val="nil"/>
          <w:bottom w:val="nil"/>
          <w:right w:val="nil"/>
          <w:between w:val="nil"/>
        </w:pBdr>
        <w:spacing w:line="275" w:lineRule="auto"/>
      </w:pPr>
      <w:r>
        <w:rPr>
          <w:rFonts w:ascii="Google Sans" w:eastAsia="Google Sans" w:hAnsi="Google Sans" w:cs="Google Sans"/>
          <w:color w:val="1F1F1F"/>
        </w:rPr>
        <w:t>Si el lote se vende por $500.00 o más, la prima del comprador del 10% (que sería $50.00 o más) cubre íntegramente la tarifa de transacción del vendedor.</w:t>
      </w:r>
    </w:p>
    <w:p w14:paraId="71FC78EB" w14:textId="77777777" w:rsidR="0048163B" w:rsidRDefault="00000000">
      <w:pPr>
        <w:numPr>
          <w:ilvl w:val="1"/>
          <w:numId w:val="3"/>
        </w:numPr>
        <w:pBdr>
          <w:top w:val="nil"/>
          <w:left w:val="nil"/>
          <w:bottom w:val="nil"/>
          <w:right w:val="nil"/>
          <w:between w:val="nil"/>
        </w:pBdr>
        <w:spacing w:after="120" w:line="275" w:lineRule="auto"/>
      </w:pPr>
      <w:r>
        <w:rPr>
          <w:rFonts w:ascii="Google Sans" w:eastAsia="Google Sans" w:hAnsi="Google Sans" w:cs="Google Sans"/>
          <w:color w:val="1F1F1F"/>
        </w:rPr>
        <w:t>Si el lote se vende por menos de $500.00, el vendedor es responsable de cubrir la diferencia. Por ejemplo, si un lote se adjudica por $400.00, la prima del comprador recaudada es de $40.00; el vendedor deberá abonar los $10.00 restantes para completar la tarifa de $50.00 de la plataforma.</w:t>
      </w:r>
      <w:r>
        <w:rPr>
          <w:rFonts w:ascii="Google Sans" w:eastAsia="Google Sans" w:hAnsi="Google Sans" w:cs="Google Sans"/>
          <w:color w:val="444746"/>
          <w:sz w:val="24"/>
          <w:szCs w:val="24"/>
          <w:vertAlign w:val="superscript"/>
        </w:rPr>
        <w:t>18</w:t>
      </w:r>
    </w:p>
    <w:p w14:paraId="71FC78EC" w14:textId="77777777" w:rsidR="0048163B" w:rsidRDefault="00000000">
      <w:pPr>
        <w:pBdr>
          <w:top w:val="nil"/>
          <w:left w:val="nil"/>
          <w:bottom w:val="nil"/>
          <w:right w:val="nil"/>
          <w:between w:val="nil"/>
        </w:pBdr>
        <w:spacing w:before="240" w:after="150" w:line="275" w:lineRule="auto"/>
        <w:rPr>
          <w:rFonts w:ascii="Google Sans" w:eastAsia="Google Sans" w:hAnsi="Google Sans" w:cs="Google Sans"/>
          <w:color w:val="1F1F1F"/>
        </w:rPr>
      </w:pPr>
      <w:r>
        <w:rPr>
          <w:rFonts w:ascii="Google Sans" w:eastAsia="Google Sans" w:hAnsi="Google Sans" w:cs="Google Sans"/>
          <w:color w:val="1F1F1F"/>
        </w:rPr>
        <w:t xml:space="preserve">Este mecanismo protege a la plataforma de procesar </w:t>
      </w:r>
      <w:proofErr w:type="spellStart"/>
      <w:r>
        <w:rPr>
          <w:rFonts w:ascii="Google Sans" w:eastAsia="Google Sans" w:hAnsi="Google Sans" w:cs="Google Sans"/>
          <w:color w:val="1F1F1F"/>
        </w:rPr>
        <w:t>micro-lotes</w:t>
      </w:r>
      <w:proofErr w:type="spellEnd"/>
      <w:r>
        <w:rPr>
          <w:rFonts w:ascii="Google Sans" w:eastAsia="Google Sans" w:hAnsi="Google Sans" w:cs="Google Sans"/>
          <w:color w:val="1F1F1F"/>
        </w:rPr>
        <w:t xml:space="preserve"> que no son rentables y presiona a los vendedores para que agrupen su inventario en lotes con un valor de mercado esperado superior a los $500.00.</w:t>
      </w:r>
    </w:p>
    <w:p w14:paraId="71FC78ED" w14:textId="77777777" w:rsidR="0048163B"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Diferenciales en </w:t>
      </w:r>
      <w:proofErr w:type="spellStart"/>
      <w:r>
        <w:rPr>
          <w:rFonts w:ascii="Google Sans" w:eastAsia="Google Sans" w:hAnsi="Google Sans" w:cs="Google Sans"/>
          <w:color w:val="1F1F1F"/>
        </w:rPr>
        <w:t>Marketplaces</w:t>
      </w:r>
      <w:proofErr w:type="spellEnd"/>
      <w:r>
        <w:rPr>
          <w:rFonts w:ascii="Google Sans" w:eastAsia="Google Sans" w:hAnsi="Google Sans" w:cs="Google Sans"/>
          <w:color w:val="1F1F1F"/>
        </w:rPr>
        <w:t xml:space="preserve"> Específicos: Amazon y Walmart</w:t>
      </w:r>
    </w:p>
    <w:p w14:paraId="71FC78EE" w14:textId="77777777" w:rsidR="0048163B"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Los mercados directos de Amazon (amazon.bstock.com) y Walmart (walmart.bstock.com) presentan requisitos y costos logísticos que definen la rentabilidad de las operaciones en estos canales.</w:t>
      </w:r>
      <w:r>
        <w:rPr>
          <w:rFonts w:ascii="Google Sans" w:eastAsia="Google Sans" w:hAnsi="Google Sans" w:cs="Google Sans"/>
          <w:color w:val="444746"/>
          <w:sz w:val="24"/>
          <w:szCs w:val="24"/>
          <w:vertAlign w:val="superscript"/>
        </w:rPr>
        <w:t>27</w:t>
      </w:r>
    </w:p>
    <w:p w14:paraId="71FC78EF" w14:textId="77777777" w:rsidR="0048163B" w:rsidRDefault="0048163B">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Style w:val="a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8163B" w14:paraId="71FC78F3"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FC78F0" w14:textId="77777777" w:rsidR="0048163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Marketplace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FC78F1" w14:textId="77777777" w:rsidR="0048163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Prima del Comprador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FC78F2" w14:textId="77777777" w:rsidR="0048163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Logística y Tarifas Clave</w:t>
            </w:r>
          </w:p>
        </w:tc>
      </w:tr>
      <w:tr w:rsidR="0048163B" w14:paraId="71FC78F7"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FC78F4" w14:textId="77777777" w:rsidR="0048163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Amazon US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FC78F5" w14:textId="77777777" w:rsidR="0048163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10% </w:t>
            </w:r>
            <w:r>
              <w:rPr>
                <w:rFonts w:ascii="Google Sans" w:eastAsia="Google Sans" w:hAnsi="Google Sans" w:cs="Google Sans"/>
                <w:color w:val="444746"/>
                <w:sz w:val="24"/>
                <w:szCs w:val="24"/>
                <w:vertAlign w:val="superscript"/>
              </w:rPr>
              <w:t>24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FC78F6" w14:textId="77777777" w:rsidR="0048163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Mínimo de envío de $135 por orden. Créditos por faltantes automáticos.</w:t>
            </w:r>
            <w:r>
              <w:rPr>
                <w:rFonts w:ascii="Google Sans" w:eastAsia="Google Sans" w:hAnsi="Google Sans" w:cs="Google Sans"/>
                <w:color w:val="444746"/>
                <w:sz w:val="24"/>
                <w:szCs w:val="24"/>
                <w:vertAlign w:val="superscript"/>
              </w:rPr>
              <w:t>33</w:t>
            </w:r>
          </w:p>
        </w:tc>
      </w:tr>
      <w:tr w:rsidR="0048163B" w14:paraId="71FC78FB"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FC78F8" w14:textId="77777777" w:rsidR="0048163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Walmart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FC78F9" w14:textId="77777777" w:rsidR="0048163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10% - 15% </w:t>
            </w:r>
            <w:r>
              <w:rPr>
                <w:rFonts w:ascii="Google Sans" w:eastAsia="Google Sans" w:hAnsi="Google Sans" w:cs="Google Sans"/>
                <w:color w:val="444746"/>
                <w:sz w:val="24"/>
                <w:szCs w:val="24"/>
                <w:vertAlign w:val="superscript"/>
              </w:rPr>
              <w:t>27</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FC78FA" w14:textId="77777777" w:rsidR="0048163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Incrementos de puja de $25. Tarifas de reinstalación de cuenta de $100 a $1,000 por impago.</w:t>
            </w:r>
            <w:r>
              <w:rPr>
                <w:rFonts w:ascii="Google Sans" w:eastAsia="Google Sans" w:hAnsi="Google Sans" w:cs="Google Sans"/>
                <w:color w:val="444746"/>
                <w:sz w:val="24"/>
                <w:szCs w:val="24"/>
                <w:vertAlign w:val="superscript"/>
              </w:rPr>
              <w:t>34</w:t>
            </w:r>
          </w:p>
        </w:tc>
      </w:tr>
      <w:tr w:rsidR="0048163B" w14:paraId="71FC78FF"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FC78FC" w14:textId="77777777" w:rsidR="0048163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Target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FC78FD" w14:textId="77777777" w:rsidR="0048163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10% - 12% </w:t>
            </w:r>
            <w:r>
              <w:rPr>
                <w:rFonts w:ascii="Google Sans" w:eastAsia="Google Sans" w:hAnsi="Google Sans" w:cs="Google Sans"/>
                <w:color w:val="444746"/>
                <w:sz w:val="24"/>
                <w:szCs w:val="24"/>
                <w:vertAlign w:val="superscript"/>
              </w:rPr>
              <w:t>22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FC78FE" w14:textId="77777777" w:rsidR="0048163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Enfoque en "</w:t>
            </w:r>
            <w:proofErr w:type="spellStart"/>
            <w:r>
              <w:rPr>
                <w:rFonts w:ascii="Google Sans" w:eastAsia="Google Sans" w:hAnsi="Google Sans" w:cs="Google Sans"/>
                <w:color w:val="1F1F1F"/>
              </w:rPr>
              <w:t>Shelf</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Pulls</w:t>
            </w:r>
            <w:proofErr w:type="spellEnd"/>
            <w:r>
              <w:rPr>
                <w:rFonts w:ascii="Google Sans" w:eastAsia="Google Sans" w:hAnsi="Google Sans" w:cs="Google Sans"/>
                <w:color w:val="1F1F1F"/>
              </w:rPr>
              <w:t>" y ropa de marca propia (Cat &amp; Jack).</w:t>
            </w:r>
            <w:r>
              <w:rPr>
                <w:rFonts w:ascii="Google Sans" w:eastAsia="Google Sans" w:hAnsi="Google Sans" w:cs="Google Sans"/>
                <w:color w:val="444746"/>
                <w:sz w:val="24"/>
                <w:szCs w:val="24"/>
                <w:vertAlign w:val="superscript"/>
              </w:rPr>
              <w:t>13</w:t>
            </w:r>
          </w:p>
        </w:tc>
      </w:tr>
      <w:tr w:rsidR="0048163B" w14:paraId="71FC7903"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FC7900" w14:textId="77777777" w:rsidR="0048163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Mobile Carrier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FC7901" w14:textId="77777777" w:rsidR="0048163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Variable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FC7902" w14:textId="77777777" w:rsidR="0048163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Opción "Buy Now" disponible para inventario de smartphones y tablets.</w:t>
            </w:r>
            <w:r>
              <w:rPr>
                <w:rFonts w:ascii="Google Sans" w:eastAsia="Google Sans" w:hAnsi="Google Sans" w:cs="Google Sans"/>
                <w:color w:val="444746"/>
                <w:sz w:val="24"/>
                <w:szCs w:val="24"/>
                <w:vertAlign w:val="superscript"/>
              </w:rPr>
              <w:t>19</w:t>
            </w:r>
          </w:p>
        </w:tc>
      </w:tr>
    </w:tbl>
    <w:p w14:paraId="71FC7904" w14:textId="77777777" w:rsidR="0048163B"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lastRenderedPageBreak/>
        <w:t>En el caso de Amazon, el uso obligatorio de su red logística para la salida de inventario de liquidación implica que el comprador debe estar preparado para absorber costos de flete que, aunque estandarizados, no son negociables. Por el contrario, Walmart permite una mayor visibilidad en los incrementos de puja, pero penaliza severamente el incumplimiento de los contratos de subasta.</w:t>
      </w:r>
      <w:r>
        <w:rPr>
          <w:rFonts w:ascii="Google Sans" w:eastAsia="Google Sans" w:hAnsi="Google Sans" w:cs="Google Sans"/>
          <w:color w:val="444746"/>
          <w:sz w:val="24"/>
          <w:szCs w:val="24"/>
          <w:vertAlign w:val="superscript"/>
        </w:rPr>
        <w:t>34</w:t>
      </w:r>
    </w:p>
    <w:p w14:paraId="71FC7905" w14:textId="77777777" w:rsidR="0048163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Comparativa de la Puja por Poder (Proxy Bidding) e Impacto en la Comisión Final</w:t>
      </w:r>
    </w:p>
    <w:p w14:paraId="71FC7906" w14:textId="77777777" w:rsidR="0048163B"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Ambas plataformas utilizan el sistema de puja por poder, lo cual tiene implicaciones directas en el cálculo de la prima del comprador. Cuando un usuario introduce su "Puja Máxima", el sistema solo aumenta la oferta lo suficiente para superar al postor anterior, basándose en incrementos predefinidos.</w:t>
      </w:r>
      <w:r>
        <w:rPr>
          <w:rFonts w:ascii="Google Sans" w:eastAsia="Google Sans" w:hAnsi="Google Sans" w:cs="Google Sans"/>
          <w:color w:val="444746"/>
          <w:sz w:val="24"/>
          <w:szCs w:val="24"/>
          <w:vertAlign w:val="superscript"/>
        </w:rPr>
        <w:t>23</w:t>
      </w:r>
    </w:p>
    <w:p w14:paraId="71FC7907" w14:textId="77777777" w:rsidR="0048163B"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Los incrementos de puja suelen seguir una escala según el valor actual de la subasta:</w:t>
      </w:r>
    </w:p>
    <w:tbl>
      <w:tblPr>
        <w:tblStyle w:val="a3"/>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48163B" w14:paraId="71FC790A" w14:textId="77777777">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1FC7908" w14:textId="77777777" w:rsidR="0048163B"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Rango de la Puja Actual</w:t>
            </w:r>
          </w:p>
        </w:tc>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1FC7909" w14:textId="77777777" w:rsidR="0048163B"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Incremento de Puja Típico</w:t>
            </w:r>
          </w:p>
        </w:tc>
      </w:tr>
      <w:tr w:rsidR="0048163B" w14:paraId="71FC790D" w14:textId="77777777">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1FC790B" w14:textId="77777777" w:rsidR="0048163B"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$0.00 - $500.00</w:t>
            </w:r>
          </w:p>
        </w:tc>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1FC790C" w14:textId="77777777" w:rsidR="0048163B"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$5.00 - $10.00</w:t>
            </w:r>
          </w:p>
        </w:tc>
      </w:tr>
      <w:tr w:rsidR="0048163B" w14:paraId="71FC7910" w14:textId="77777777">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1FC790E" w14:textId="77777777" w:rsidR="0048163B"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$501.00 - $1,000.00</w:t>
            </w:r>
          </w:p>
        </w:tc>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1FC790F" w14:textId="77777777" w:rsidR="0048163B"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$25.00</w:t>
            </w:r>
          </w:p>
        </w:tc>
      </w:tr>
      <w:tr w:rsidR="0048163B" w14:paraId="71FC7913" w14:textId="77777777">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1FC7911" w14:textId="77777777" w:rsidR="0048163B"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$1,001.00 - $5,000.00</w:t>
            </w:r>
          </w:p>
        </w:tc>
        <w:tc>
          <w:tcPr>
            <w:tcW w:w="468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1FC7912" w14:textId="77777777" w:rsidR="0048163B"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$50.00 - $100.00</w:t>
            </w:r>
          </w:p>
        </w:tc>
      </w:tr>
    </w:tbl>
    <w:p w14:paraId="71FC7914" w14:textId="77777777" w:rsidR="0048163B" w:rsidRDefault="00000000">
      <w:pPr>
        <w:pBdr>
          <w:top w:val="nil"/>
          <w:left w:val="nil"/>
          <w:bottom w:val="nil"/>
          <w:right w:val="nil"/>
          <w:between w:val="nil"/>
        </w:pBdr>
        <w:spacing w:before="480"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La importancia de este sistema radica en que la prima del comprador (ya sea el 10% en B-Stock o el 15% en Liquidation.com) se aplica sobre el precio final de cierre, no sobre la puja máxima que el comprador estaba dispuesto a pagar. Por ejemplo, si un comprador establece un máximo de $5,000.00 pero gana la subasta en $1,125.00 (porque el segundo postor se detuvo en $1,100.00), la comisión se calculará sobre los $1,125.00.</w:t>
      </w:r>
      <w:r>
        <w:rPr>
          <w:rFonts w:ascii="Google Sans" w:eastAsia="Google Sans" w:hAnsi="Google Sans" w:cs="Google Sans"/>
          <w:color w:val="444746"/>
          <w:sz w:val="24"/>
          <w:szCs w:val="24"/>
          <w:vertAlign w:val="superscript"/>
        </w:rPr>
        <w:t>23</w:t>
      </w:r>
    </w:p>
    <w:p w14:paraId="71FC7915" w14:textId="77777777" w:rsidR="0048163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El Análisis del Manifiesto y el Cálculo del Valor Neto de </w:t>
      </w:r>
      <w:r>
        <w:rPr>
          <w:rFonts w:ascii="Google Sans" w:eastAsia="Google Sans" w:hAnsi="Google Sans" w:cs="Google Sans"/>
          <w:color w:val="1F1F1F"/>
        </w:rPr>
        <w:lastRenderedPageBreak/>
        <w:t>Recuperación</w:t>
      </w:r>
    </w:p>
    <w:p w14:paraId="71FC7916" w14:textId="77777777" w:rsidR="0048163B"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En el entorno profesional de 2025 y 2026, la toma de decisiones no puede basarse en intuiciones. Los compradores exitosos aplican modelos matemáticos para determinar su puja máxima permitida (Max </w:t>
      </w:r>
      <w:proofErr w:type="spellStart"/>
      <w:r>
        <w:rPr>
          <w:rFonts w:ascii="Google Sans" w:eastAsia="Google Sans" w:hAnsi="Google Sans" w:cs="Google Sans"/>
          <w:color w:val="1F1F1F"/>
        </w:rPr>
        <w:t>Bid</w:t>
      </w:r>
      <w:proofErr w:type="spellEnd"/>
      <w:r>
        <w:rPr>
          <w:rFonts w:ascii="Google Sans" w:eastAsia="Google Sans" w:hAnsi="Google Sans" w:cs="Google Sans"/>
          <w:color w:val="1F1F1F"/>
        </w:rPr>
        <w:t>), restando sistemáticamente todos los tramos de comisiones y cargos ocultos.</w:t>
      </w:r>
      <w:r>
        <w:rPr>
          <w:rFonts w:ascii="Google Sans" w:eastAsia="Google Sans" w:hAnsi="Google Sans" w:cs="Google Sans"/>
          <w:color w:val="444746"/>
          <w:sz w:val="24"/>
          <w:szCs w:val="24"/>
          <w:vertAlign w:val="superscript"/>
        </w:rPr>
        <w:t>30</w:t>
      </w:r>
    </w:p>
    <w:p w14:paraId="71FC7917" w14:textId="77777777" w:rsidR="0048163B"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Fórmulas de Valoración para el Arbitraje de Liquidación</w:t>
      </w:r>
    </w:p>
    <w:p w14:paraId="71FC7918" w14:textId="77777777" w:rsidR="0048163B"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Para calcular el valor real de un lote, se utiliza la siguiente progresión lógica:</w:t>
      </w:r>
    </w:p>
    <w:p w14:paraId="71FC7919" w14:textId="77777777" w:rsidR="0048163B"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Ingreso Bruto Estimado (IBE):</w:t>
      </w:r>
      <w:r>
        <w:rPr>
          <w:rFonts w:ascii="Google Sans" w:eastAsia="Google Sans" w:hAnsi="Google Sans" w:cs="Google Sans"/>
          <w:color w:val="1F1F1F"/>
        </w:rPr>
        <w:t xml:space="preserve"> Se analiza el MSRP (Precio de Venta Sugerido) del manifiesto y se ajusta por la condición de la mercancía. Los "</w:t>
      </w:r>
      <w:proofErr w:type="spellStart"/>
      <w:r>
        <w:rPr>
          <w:rFonts w:ascii="Google Sans" w:eastAsia="Google Sans" w:hAnsi="Google Sans" w:cs="Google Sans"/>
          <w:color w:val="1F1F1F"/>
        </w:rPr>
        <w:t>Customer</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Returns</w:t>
      </w:r>
      <w:proofErr w:type="spellEnd"/>
      <w:r>
        <w:rPr>
          <w:rFonts w:ascii="Google Sans" w:eastAsia="Google Sans" w:hAnsi="Google Sans" w:cs="Google Sans"/>
          <w:color w:val="1F1F1F"/>
        </w:rPr>
        <w:t>" suelen valorarse al 40%-50% del MSRP, mientras que los "</w:t>
      </w:r>
      <w:proofErr w:type="spellStart"/>
      <w:r>
        <w:rPr>
          <w:rFonts w:ascii="Google Sans" w:eastAsia="Google Sans" w:hAnsi="Google Sans" w:cs="Google Sans"/>
          <w:color w:val="1F1F1F"/>
        </w:rPr>
        <w:t>Shelf</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Pulls</w:t>
      </w:r>
      <w:proofErr w:type="spellEnd"/>
      <w:r>
        <w:rPr>
          <w:rFonts w:ascii="Google Sans" w:eastAsia="Google Sans" w:hAnsi="Google Sans" w:cs="Google Sans"/>
          <w:color w:val="1F1F1F"/>
        </w:rPr>
        <w:t>" pueden alcanzar el 70%-80%.</w:t>
      </w:r>
      <w:r>
        <w:rPr>
          <w:rFonts w:ascii="Google Sans" w:eastAsia="Google Sans" w:hAnsi="Google Sans" w:cs="Google Sans"/>
          <w:color w:val="444746"/>
          <w:sz w:val="24"/>
          <w:szCs w:val="24"/>
          <w:vertAlign w:val="superscript"/>
        </w:rPr>
        <w:t>30</w:t>
      </w:r>
    </w:p>
    <w:p w14:paraId="71FC791A" w14:textId="77777777" w:rsidR="0048163B"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Costo de Venta (CV):</w:t>
      </w:r>
      <w:r>
        <w:rPr>
          <w:rFonts w:ascii="Google Sans" w:eastAsia="Google Sans" w:hAnsi="Google Sans" w:cs="Google Sans"/>
          <w:color w:val="1F1F1F"/>
        </w:rPr>
        <w:t xml:space="preserve"> Incluye las comisiones de la plataforma de salida (como el 15% de eBay o las tarifas de Amazon FBA).</w:t>
      </w:r>
      <w:r>
        <w:rPr>
          <w:rFonts w:ascii="Google Sans" w:eastAsia="Google Sans" w:hAnsi="Google Sans" w:cs="Google Sans"/>
          <w:color w:val="444746"/>
          <w:sz w:val="24"/>
          <w:szCs w:val="24"/>
          <w:vertAlign w:val="superscript"/>
        </w:rPr>
        <w:t>38</w:t>
      </w:r>
    </w:p>
    <w:p w14:paraId="71FC791B" w14:textId="77777777" w:rsidR="0048163B" w:rsidRDefault="00000000">
      <w:pPr>
        <w:numPr>
          <w:ilvl w:val="0"/>
          <w:numId w:val="4"/>
        </w:numPr>
        <w:pBdr>
          <w:top w:val="nil"/>
          <w:left w:val="nil"/>
          <w:bottom w:val="nil"/>
          <w:right w:val="nil"/>
          <w:between w:val="nil"/>
        </w:pBdr>
        <w:spacing w:after="120" w:line="275" w:lineRule="auto"/>
      </w:pPr>
      <w:r>
        <w:rPr>
          <w:rFonts w:ascii="Google Sans" w:eastAsia="Google Sans" w:hAnsi="Google Sans" w:cs="Google Sans"/>
          <w:b/>
          <w:bCs/>
          <w:color w:val="1F1F1F"/>
        </w:rPr>
        <w:t>Puja Máxima (PM):</w:t>
      </w:r>
      <w:r>
        <w:rPr>
          <w:color w:val="000000"/>
        </w:rPr>
        <w:br/>
      </w:r>
      <w:r>
        <w:rPr>
          <w:noProof/>
          <w:color w:val="000000"/>
        </w:rPr>
        <w:drawing>
          <wp:inline distT="19050" distB="19050" distL="19050" distR="19050" wp14:anchorId="71FC7966" wp14:editId="71FC7967">
            <wp:extent cx="5905500" cy="47088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05500" cy="470889"/>
                    </a:xfrm>
                    <a:prstGeom prst="rect">
                      <a:avLst/>
                    </a:prstGeom>
                    <a:ln/>
                  </pic:spPr>
                </pic:pic>
              </a:graphicData>
            </a:graphic>
          </wp:inline>
        </w:drawing>
      </w:r>
      <w:r>
        <w:rPr>
          <w:color w:val="000000"/>
        </w:rPr>
        <w:br/>
      </w:r>
      <w:r>
        <w:rPr>
          <w:rFonts w:ascii="Google Sans" w:eastAsia="Google Sans" w:hAnsi="Google Sans" w:cs="Google Sans"/>
          <w:color w:val="1F1F1F"/>
        </w:rPr>
        <w:t>Donde los "Otros Cargos" incluyen la prima del comprador (BP) y las tarifas de procesamiento.</w:t>
      </w:r>
    </w:p>
    <w:p w14:paraId="71FC791C" w14:textId="77777777" w:rsidR="0048163B" w:rsidRDefault="00000000">
      <w:pPr>
        <w:pBdr>
          <w:top w:val="nil"/>
          <w:left w:val="nil"/>
          <w:bottom w:val="nil"/>
          <w:right w:val="nil"/>
          <w:between w:val="nil"/>
        </w:pBdr>
        <w:spacing w:before="240" w:after="150" w:line="275" w:lineRule="auto"/>
        <w:rPr>
          <w:rFonts w:ascii="Google Sans" w:eastAsia="Google Sans" w:hAnsi="Google Sans" w:cs="Google Sans"/>
          <w:color w:val="1F1F1F"/>
        </w:rPr>
      </w:pPr>
      <w:r>
        <w:rPr>
          <w:rFonts w:ascii="Google Sans" w:eastAsia="Google Sans" w:hAnsi="Google Sans" w:cs="Google Sans"/>
          <w:color w:val="1F1F1F"/>
        </w:rPr>
        <w:t>Un ejemplo práctico aplicado a un lote de electrónicos de Amazon valorado en $10,000 MSRP:</w:t>
      </w:r>
    </w:p>
    <w:p w14:paraId="71FC791D" w14:textId="77777777" w:rsidR="0048163B"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color w:val="1F1F1F"/>
        </w:rPr>
        <w:t>IBE (40% de MSRP): $4,000.00</w:t>
      </w:r>
    </w:p>
    <w:p w14:paraId="71FC791E" w14:textId="77777777" w:rsidR="0048163B"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color w:val="1F1F1F"/>
        </w:rPr>
        <w:t>Gasto de Venta (15% sobre IBE): $600.00</w:t>
      </w:r>
    </w:p>
    <w:p w14:paraId="71FC791F" w14:textId="77777777" w:rsidR="0048163B"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color w:val="1F1F1F"/>
        </w:rPr>
        <w:t>Margen deseado (20% sobre IBE): $800.00</w:t>
      </w:r>
    </w:p>
    <w:p w14:paraId="71FC7920" w14:textId="77777777" w:rsidR="0048163B"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color w:val="1F1F1F"/>
        </w:rPr>
        <w:t xml:space="preserve">Costo Logístico (Envío + </w:t>
      </w:r>
      <w:proofErr w:type="spellStart"/>
      <w:r>
        <w:rPr>
          <w:rFonts w:ascii="Google Sans" w:eastAsia="Google Sans" w:hAnsi="Google Sans" w:cs="Google Sans"/>
          <w:color w:val="1F1F1F"/>
        </w:rPr>
        <w:t>Liftgate</w:t>
      </w:r>
      <w:proofErr w:type="spellEnd"/>
      <w:r>
        <w:rPr>
          <w:rFonts w:ascii="Google Sans" w:eastAsia="Google Sans" w:hAnsi="Google Sans" w:cs="Google Sans"/>
          <w:color w:val="1F1F1F"/>
        </w:rPr>
        <w:t>): $350.00</w:t>
      </w:r>
    </w:p>
    <w:p w14:paraId="71FC7921" w14:textId="77777777" w:rsidR="0048163B"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Subtotal antes de prima y puja:</w:t>
      </w:r>
      <w:r>
        <w:rPr>
          <w:rFonts w:ascii="Google Sans" w:eastAsia="Google Sans" w:hAnsi="Google Sans" w:cs="Google Sans"/>
          <w:color w:val="1F1F1F"/>
        </w:rPr>
        <w:t xml:space="preserve"> $2,250.00</w:t>
      </w:r>
    </w:p>
    <w:p w14:paraId="71FC7922" w14:textId="77777777" w:rsidR="0048163B" w:rsidRDefault="00000000">
      <w:pPr>
        <w:numPr>
          <w:ilvl w:val="0"/>
          <w:numId w:val="5"/>
        </w:numPr>
        <w:pBdr>
          <w:top w:val="nil"/>
          <w:left w:val="nil"/>
          <w:bottom w:val="nil"/>
          <w:right w:val="nil"/>
          <w:between w:val="nil"/>
        </w:pBdr>
        <w:spacing w:after="120" w:line="275" w:lineRule="auto"/>
      </w:pPr>
      <w:r>
        <w:rPr>
          <w:rFonts w:ascii="Google Sans" w:eastAsia="Google Sans" w:hAnsi="Google Sans" w:cs="Google Sans"/>
          <w:b/>
          <w:bCs/>
          <w:color w:val="1F1F1F"/>
        </w:rPr>
        <w:t>Puja Máxima Ajustada por Prima del 10%:</w:t>
      </w:r>
      <w:r>
        <w:rPr>
          <w:color w:val="000000"/>
        </w:rPr>
        <w:br/>
      </w:r>
      <w:r>
        <w:rPr>
          <w:noProof/>
          <w:color w:val="000000"/>
        </w:rPr>
        <w:drawing>
          <wp:inline distT="19050" distB="19050" distL="19050" distR="19050" wp14:anchorId="71FC7968" wp14:editId="71FC7969">
            <wp:extent cx="5905500" cy="587226"/>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905500" cy="587226"/>
                    </a:xfrm>
                    <a:prstGeom prst="rect">
                      <a:avLst/>
                    </a:prstGeom>
                    <a:ln/>
                  </pic:spPr>
                </pic:pic>
              </a:graphicData>
            </a:graphic>
          </wp:inline>
        </w:drawing>
      </w:r>
    </w:p>
    <w:p w14:paraId="71FC7923" w14:textId="77777777" w:rsidR="0048163B" w:rsidRDefault="00000000">
      <w:pPr>
        <w:pBdr>
          <w:top w:val="nil"/>
          <w:left w:val="nil"/>
          <w:bottom w:val="nil"/>
          <w:right w:val="nil"/>
          <w:between w:val="nil"/>
        </w:pBdr>
        <w:spacing w:before="240"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Si el comprador puja más de $2,045.45, estará erosionando su margen de beneficio del 20% o asumiendo un riesgo excesivo sobre la calidad del inventario.</w:t>
      </w:r>
      <w:r>
        <w:rPr>
          <w:rFonts w:ascii="Google Sans" w:eastAsia="Google Sans" w:hAnsi="Google Sans" w:cs="Google Sans"/>
          <w:color w:val="444746"/>
          <w:sz w:val="24"/>
          <w:szCs w:val="24"/>
          <w:vertAlign w:val="superscript"/>
        </w:rPr>
        <w:t>27</w:t>
      </w:r>
    </w:p>
    <w:p w14:paraId="71FC7924" w14:textId="77777777" w:rsidR="0048163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Consideraciones sobre la Calidad del Inventario y el Riesgo de Salvamento</w:t>
      </w:r>
    </w:p>
    <w:p w14:paraId="71FC7925" w14:textId="77777777" w:rsidR="0048163B"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La estructura de comisiones también refleja el riesgo inherente a las diferentes categorías de </w:t>
      </w:r>
      <w:r>
        <w:rPr>
          <w:rFonts w:ascii="Google Sans" w:eastAsia="Google Sans" w:hAnsi="Google Sans" w:cs="Google Sans"/>
          <w:color w:val="1F1F1F"/>
        </w:rPr>
        <w:lastRenderedPageBreak/>
        <w:t xml:space="preserve">productos. El inventario de liquidación se clasifica típicamente en cuatro grados de condición, cada uno con un impacto distinto en la recuperación de activos </w:t>
      </w:r>
      <w:r>
        <w:rPr>
          <w:rFonts w:ascii="Google Sans" w:eastAsia="Google Sans" w:hAnsi="Google Sans" w:cs="Google Sans"/>
          <w:color w:val="444746"/>
          <w:sz w:val="24"/>
          <w:szCs w:val="24"/>
          <w:vertAlign w:val="superscript"/>
        </w:rPr>
        <w:t>13</w:t>
      </w:r>
      <w:r>
        <w:rPr>
          <w:rFonts w:ascii="Google Sans" w:eastAsia="Google Sans" w:hAnsi="Google Sans" w:cs="Google Sans"/>
          <w:color w:val="1F1F1F"/>
        </w:rPr>
        <w:t>:</w:t>
      </w:r>
    </w:p>
    <w:p w14:paraId="71FC7926" w14:textId="77777777" w:rsidR="0048163B"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 xml:space="preserve">Nuevo / </w:t>
      </w:r>
      <w:proofErr w:type="spellStart"/>
      <w:r>
        <w:rPr>
          <w:rFonts w:ascii="Google Sans" w:eastAsia="Google Sans" w:hAnsi="Google Sans" w:cs="Google Sans"/>
          <w:b/>
          <w:bCs/>
          <w:color w:val="1F1F1F"/>
        </w:rPr>
        <w:t>Overstock</w:t>
      </w:r>
      <w:proofErr w:type="spellEnd"/>
      <w:r>
        <w:rPr>
          <w:rFonts w:ascii="Google Sans" w:eastAsia="Google Sans" w:hAnsi="Google Sans" w:cs="Google Sans"/>
          <w:b/>
          <w:bCs/>
          <w:color w:val="1F1F1F"/>
        </w:rPr>
        <w:t>:</w:t>
      </w:r>
      <w:r>
        <w:rPr>
          <w:rFonts w:ascii="Google Sans" w:eastAsia="Google Sans" w:hAnsi="Google Sans" w:cs="Google Sans"/>
          <w:color w:val="1F1F1F"/>
        </w:rPr>
        <w:t xml:space="preserve"> Mercancía en su embalaje original. Ofrece el mayor retorno y el menor riesgo de pérdida de comisión.</w:t>
      </w:r>
      <w:r>
        <w:rPr>
          <w:rFonts w:ascii="Google Sans" w:eastAsia="Google Sans" w:hAnsi="Google Sans" w:cs="Google Sans"/>
          <w:color w:val="444746"/>
          <w:sz w:val="24"/>
          <w:szCs w:val="24"/>
          <w:vertAlign w:val="superscript"/>
        </w:rPr>
        <w:t>31</w:t>
      </w:r>
    </w:p>
    <w:p w14:paraId="71FC7927" w14:textId="77777777" w:rsidR="0048163B"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B-Stock Blue:</w:t>
      </w:r>
      <w:r>
        <w:rPr>
          <w:rFonts w:ascii="Google Sans" w:eastAsia="Google Sans" w:hAnsi="Google Sans" w:cs="Google Sans"/>
          <w:color w:val="1F1F1F"/>
        </w:rPr>
        <w:t xml:space="preserve"> Un nivel premium (común en 2026) donde los artículos han sido mínimamente procesados para garantizar su funcionalidad, lo que justifica pujas más altas y comisiones estables.</w:t>
      </w:r>
      <w:r>
        <w:rPr>
          <w:rFonts w:ascii="Google Sans" w:eastAsia="Google Sans" w:hAnsi="Google Sans" w:cs="Google Sans"/>
          <w:color w:val="444746"/>
          <w:sz w:val="24"/>
          <w:szCs w:val="24"/>
          <w:vertAlign w:val="superscript"/>
        </w:rPr>
        <w:t>31</w:t>
      </w:r>
    </w:p>
    <w:p w14:paraId="71FC7928" w14:textId="77777777" w:rsidR="0048163B" w:rsidRDefault="00000000">
      <w:pPr>
        <w:numPr>
          <w:ilvl w:val="0"/>
          <w:numId w:val="6"/>
        </w:numPr>
        <w:pBdr>
          <w:top w:val="nil"/>
          <w:left w:val="nil"/>
          <w:bottom w:val="nil"/>
          <w:right w:val="nil"/>
          <w:between w:val="nil"/>
        </w:pBdr>
        <w:spacing w:line="275" w:lineRule="auto"/>
      </w:pPr>
      <w:proofErr w:type="spellStart"/>
      <w:r>
        <w:rPr>
          <w:rFonts w:ascii="Google Sans" w:eastAsia="Google Sans" w:hAnsi="Google Sans" w:cs="Google Sans"/>
          <w:b/>
          <w:bCs/>
          <w:color w:val="1F1F1F"/>
        </w:rPr>
        <w:t>Customer</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Returns</w:t>
      </w:r>
      <w:proofErr w:type="spellEnd"/>
      <w:r>
        <w:rPr>
          <w:rFonts w:ascii="Google Sans" w:eastAsia="Google Sans" w:hAnsi="Google Sans" w:cs="Google Sans"/>
          <w:b/>
          <w:bCs/>
          <w:color w:val="1F1F1F"/>
        </w:rPr>
        <w:t>:</w:t>
      </w:r>
      <w:r>
        <w:rPr>
          <w:rFonts w:ascii="Google Sans" w:eastAsia="Google Sans" w:hAnsi="Google Sans" w:cs="Google Sans"/>
          <w:color w:val="1F1F1F"/>
        </w:rPr>
        <w:t xml:space="preserve"> La "zona salvaje" de las subastas. La funcionalidad puede variar entre el 40% y el 60%. Aquí, las tarifas de envío pueden representar una parte desproporcionada del costo si el lote contiene artículos pesados o dañados.</w:t>
      </w:r>
      <w:r>
        <w:rPr>
          <w:rFonts w:ascii="Google Sans" w:eastAsia="Google Sans" w:hAnsi="Google Sans" w:cs="Google Sans"/>
          <w:color w:val="444746"/>
          <w:sz w:val="24"/>
          <w:szCs w:val="24"/>
          <w:vertAlign w:val="superscript"/>
        </w:rPr>
        <w:t>31</w:t>
      </w:r>
    </w:p>
    <w:p w14:paraId="71FC7929" w14:textId="77777777" w:rsidR="0048163B" w:rsidRDefault="00000000">
      <w:pPr>
        <w:numPr>
          <w:ilvl w:val="0"/>
          <w:numId w:val="6"/>
        </w:numPr>
        <w:pBdr>
          <w:top w:val="nil"/>
          <w:left w:val="nil"/>
          <w:bottom w:val="nil"/>
          <w:right w:val="nil"/>
          <w:between w:val="nil"/>
        </w:pBdr>
        <w:spacing w:after="120" w:line="275" w:lineRule="auto"/>
      </w:pPr>
      <w:r>
        <w:rPr>
          <w:rFonts w:ascii="Google Sans" w:eastAsia="Google Sans" w:hAnsi="Google Sans" w:cs="Google Sans"/>
          <w:b/>
          <w:bCs/>
          <w:color w:val="1F1F1F"/>
        </w:rPr>
        <w:t>Salvage / Grado C:</w:t>
      </w:r>
      <w:r>
        <w:rPr>
          <w:rFonts w:ascii="Google Sans" w:eastAsia="Google Sans" w:hAnsi="Google Sans" w:cs="Google Sans"/>
          <w:color w:val="1F1F1F"/>
        </w:rPr>
        <w:t xml:space="preserve"> Artículos rotos o incompletos. Se compran principalmente para la extracción de componentes. La puja máxima en este tramo suele ser extremadamente baja, a menudo apenas cubriendo los costos logísticos y la prima mínima de la plataforma.</w:t>
      </w:r>
      <w:r>
        <w:rPr>
          <w:rFonts w:ascii="Google Sans" w:eastAsia="Google Sans" w:hAnsi="Google Sans" w:cs="Google Sans"/>
          <w:color w:val="444746"/>
          <w:sz w:val="24"/>
          <w:szCs w:val="24"/>
          <w:vertAlign w:val="superscript"/>
        </w:rPr>
        <w:t>32</w:t>
      </w:r>
    </w:p>
    <w:p w14:paraId="71FC792A" w14:textId="77777777" w:rsidR="0048163B" w:rsidRDefault="00000000">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Fiscalidad y Requisitos de Registro: El Certificado de Reventa</w:t>
      </w:r>
    </w:p>
    <w:p w14:paraId="71FC792B" w14:textId="77777777" w:rsidR="0048163B"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Un componente crítico que elude las comisiones </w:t>
      </w:r>
      <w:proofErr w:type="gramStart"/>
      <w:r>
        <w:rPr>
          <w:rFonts w:ascii="Google Sans" w:eastAsia="Google Sans" w:hAnsi="Google Sans" w:cs="Google Sans"/>
          <w:color w:val="1F1F1F"/>
        </w:rPr>
        <w:t>directas</w:t>
      </w:r>
      <w:proofErr w:type="gramEnd"/>
      <w:r>
        <w:rPr>
          <w:rFonts w:ascii="Google Sans" w:eastAsia="Google Sans" w:hAnsi="Google Sans" w:cs="Google Sans"/>
          <w:color w:val="1F1F1F"/>
        </w:rPr>
        <w:t xml:space="preserve"> pero afecta la liquidez es el impuesto sobre las ventas. Tanto B-Stock como Liquidation.com operan principalmente en un entorno exento de impuestos para compradores que poseen un Certificado de Reventa válido.</w:t>
      </w:r>
      <w:r>
        <w:rPr>
          <w:rFonts w:ascii="Google Sans" w:eastAsia="Google Sans" w:hAnsi="Google Sans" w:cs="Google Sans"/>
          <w:color w:val="444746"/>
          <w:sz w:val="24"/>
          <w:szCs w:val="24"/>
          <w:vertAlign w:val="superscript"/>
        </w:rPr>
        <w:t>13</w:t>
      </w:r>
    </w:p>
    <w:p w14:paraId="71FC792C" w14:textId="77777777" w:rsidR="0048163B"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Impacto de la No Exención:</w:t>
      </w:r>
      <w:r>
        <w:rPr>
          <w:rFonts w:ascii="Google Sans" w:eastAsia="Google Sans" w:hAnsi="Google Sans" w:cs="Google Sans"/>
          <w:color w:val="1F1F1F"/>
        </w:rPr>
        <w:t xml:space="preserve"> Si un comprador no presenta un certificado válido para el estado donde se encuentran los activos, la plataforma está obligada a recaudar el impuesto sobre las ventas local (típicamente entre el 6% y el 10%). Este impuesto se calcula sobre el total de la factura: (Precio de Puja + Prima del Comprador). No estar registrado para la exención fiscal puede reducir inmediatamente el margen de beneficio en un 8% promedio.</w:t>
      </w:r>
      <w:r>
        <w:rPr>
          <w:rFonts w:ascii="Google Sans" w:eastAsia="Google Sans" w:hAnsi="Google Sans" w:cs="Google Sans"/>
          <w:color w:val="444746"/>
          <w:sz w:val="24"/>
          <w:szCs w:val="24"/>
          <w:vertAlign w:val="superscript"/>
        </w:rPr>
        <w:t>6</w:t>
      </w:r>
    </w:p>
    <w:p w14:paraId="71FC792D" w14:textId="77777777" w:rsidR="0048163B" w:rsidRDefault="00000000">
      <w:pPr>
        <w:numPr>
          <w:ilvl w:val="0"/>
          <w:numId w:val="7"/>
        </w:numPr>
        <w:pBdr>
          <w:top w:val="nil"/>
          <w:left w:val="nil"/>
          <w:bottom w:val="nil"/>
          <w:right w:val="nil"/>
          <w:between w:val="nil"/>
        </w:pBdr>
        <w:spacing w:after="120" w:line="275" w:lineRule="auto"/>
      </w:pPr>
      <w:r>
        <w:rPr>
          <w:rFonts w:ascii="Google Sans" w:eastAsia="Google Sans" w:hAnsi="Google Sans" w:cs="Google Sans"/>
          <w:b/>
          <w:bCs/>
          <w:color w:val="1F1F1F"/>
        </w:rPr>
        <w:t>Requisitos de B-Stock:</w:t>
      </w:r>
      <w:r>
        <w:rPr>
          <w:rFonts w:ascii="Google Sans" w:eastAsia="Google Sans" w:hAnsi="Google Sans" w:cs="Google Sans"/>
          <w:color w:val="1F1F1F"/>
        </w:rPr>
        <w:t xml:space="preserve"> La plataforma es rigurosa; no acepta números de EIN federales como prueba de exención, exigiendo el documento estatal específico. El proceso de aprobación puede tardar de 24 a 48 horas.</w:t>
      </w:r>
      <w:r>
        <w:rPr>
          <w:rFonts w:ascii="Google Sans" w:eastAsia="Google Sans" w:hAnsi="Google Sans" w:cs="Google Sans"/>
          <w:color w:val="444746"/>
          <w:sz w:val="24"/>
          <w:szCs w:val="24"/>
          <w:vertAlign w:val="superscript"/>
        </w:rPr>
        <w:t>23</w:t>
      </w:r>
    </w:p>
    <w:p w14:paraId="71FC792E" w14:textId="77777777" w:rsidR="0048163B" w:rsidRDefault="00000000">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El Futuro de las Tarifas de Liquidación: Transparencia y Automatización en 2026</w:t>
      </w:r>
    </w:p>
    <w:p w14:paraId="71FC792F" w14:textId="77777777" w:rsidR="0048163B"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La industria de la liquidación se dirige hacia una mayor transparencia impulsada por la tecnología. Herramientas de análisis de manifiestos mediante inteligencia artificial (como </w:t>
      </w:r>
      <w:proofErr w:type="spellStart"/>
      <w:r>
        <w:rPr>
          <w:rFonts w:ascii="Google Sans" w:eastAsia="Google Sans" w:hAnsi="Google Sans" w:cs="Google Sans"/>
          <w:color w:val="1F1F1F"/>
        </w:rPr>
        <w:t>Closo</w:t>
      </w:r>
      <w:proofErr w:type="spellEnd"/>
      <w:r>
        <w:rPr>
          <w:rFonts w:ascii="Google Sans" w:eastAsia="Google Sans" w:hAnsi="Google Sans" w:cs="Google Sans"/>
          <w:color w:val="1F1F1F"/>
        </w:rPr>
        <w:t xml:space="preserve"> o </w:t>
      </w:r>
      <w:proofErr w:type="spellStart"/>
      <w:r>
        <w:rPr>
          <w:rFonts w:ascii="Google Sans" w:eastAsia="Google Sans" w:hAnsi="Google Sans" w:cs="Google Sans"/>
          <w:color w:val="1F1F1F"/>
        </w:rPr>
        <w:t>Helium</w:t>
      </w:r>
      <w:proofErr w:type="spellEnd"/>
      <w:r>
        <w:rPr>
          <w:rFonts w:ascii="Google Sans" w:eastAsia="Google Sans" w:hAnsi="Google Sans" w:cs="Google Sans"/>
          <w:color w:val="1F1F1F"/>
        </w:rPr>
        <w:t xml:space="preserve"> 10) permiten a los compradores automatizar el cálculo de la puja máxima, integrando en tiempo real las tarifas de las plataformas y los costos de flete.</w:t>
      </w:r>
      <w:r>
        <w:rPr>
          <w:rFonts w:ascii="Google Sans" w:eastAsia="Google Sans" w:hAnsi="Google Sans" w:cs="Google Sans"/>
          <w:color w:val="444746"/>
          <w:sz w:val="24"/>
          <w:szCs w:val="24"/>
          <w:vertAlign w:val="superscript"/>
        </w:rPr>
        <w:t>30</w:t>
      </w:r>
    </w:p>
    <w:p w14:paraId="71FC7930" w14:textId="77777777" w:rsidR="0048163B"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lastRenderedPageBreak/>
        <w:t xml:space="preserve">Además, han surgido modelos híbridos como el programa de "Nodos" de </w:t>
      </w:r>
      <w:proofErr w:type="spellStart"/>
      <w:r>
        <w:rPr>
          <w:rFonts w:ascii="Google Sans" w:eastAsia="Google Sans" w:hAnsi="Google Sans" w:cs="Google Sans"/>
          <w:color w:val="1F1F1F"/>
        </w:rPr>
        <w:t>Closo</w:t>
      </w:r>
      <w:proofErr w:type="spellEnd"/>
      <w:r>
        <w:rPr>
          <w:rFonts w:ascii="Google Sans" w:eastAsia="Google Sans" w:hAnsi="Google Sans" w:cs="Google Sans"/>
          <w:color w:val="1F1F1F"/>
        </w:rPr>
        <w:t>, donde las marcas envían retornos directamente a revendedores locales verificados, eliminando la guerra de pujas de las subastas tradicionales y, por extensión, las primas del comprador de los intermediarios clásicos. No obstante, para el grueso del mercado, Liquidation.com y B-Stock siguen siendo las fuentes primarias de inventario debido a su escala inigualable y sus procesos de pago y resolución de disputas establecidos.</w:t>
      </w:r>
      <w:r>
        <w:rPr>
          <w:rFonts w:ascii="Google Sans" w:eastAsia="Google Sans" w:hAnsi="Google Sans" w:cs="Google Sans"/>
          <w:color w:val="444746"/>
          <w:sz w:val="24"/>
          <w:szCs w:val="24"/>
          <w:vertAlign w:val="superscript"/>
        </w:rPr>
        <w:t>22</w:t>
      </w:r>
    </w:p>
    <w:p w14:paraId="71FC7931" w14:textId="77777777" w:rsidR="0048163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Síntesis Estratégica y Recomendaciones Finales</w:t>
      </w:r>
    </w:p>
    <w:p w14:paraId="71FC7932" w14:textId="77777777" w:rsidR="0048163B"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La navegación exitosa por los mercados de liquidación exige una disciplina financiera rigurosa frente a estructuras de comisiones que pueden parecer pequeñas individualmente pero que son masivas de forma agregada.</w:t>
      </w:r>
    </w:p>
    <w:p w14:paraId="71FC7933" w14:textId="77777777" w:rsidR="0048163B"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Priorizar la proximidad geográfica:</w:t>
      </w:r>
      <w:r>
        <w:rPr>
          <w:rFonts w:ascii="Google Sans" w:eastAsia="Google Sans" w:hAnsi="Google Sans" w:cs="Google Sans"/>
          <w:color w:val="1F1F1F"/>
        </w:rPr>
        <w:t xml:space="preserve"> Dado que los cargos de envío de Liquidation.com tienen un mínimo de $40.25 y recargos residenciales de $40-$50, comprar en almacenes cercanos para recogida local (cuando está disponible) es la forma más rápida de aumentar el margen neto en un 15-20%.</w:t>
      </w:r>
      <w:r>
        <w:rPr>
          <w:rFonts w:ascii="Google Sans" w:eastAsia="Google Sans" w:hAnsi="Google Sans" w:cs="Google Sans"/>
          <w:color w:val="444746"/>
          <w:sz w:val="24"/>
          <w:szCs w:val="24"/>
          <w:vertAlign w:val="superscript"/>
        </w:rPr>
        <w:t>15</w:t>
      </w:r>
    </w:p>
    <w:p w14:paraId="71FC7934" w14:textId="77777777" w:rsidR="0048163B"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Factorizar la prima del comprador desde el inicio:</w:t>
      </w:r>
      <w:r>
        <w:rPr>
          <w:rFonts w:ascii="Google Sans" w:eastAsia="Google Sans" w:hAnsi="Google Sans" w:cs="Google Sans"/>
          <w:color w:val="1F1F1F"/>
        </w:rPr>
        <w:t xml:space="preserve"> Nunca se debe ver el precio de puja de forma aislada. En B-Stock, se debe añadir mentalmente un 10%; en Liquidation.com, un 15% o seguir la tabla de tramos si el valor supera los $2,000.</w:t>
      </w:r>
      <w:r>
        <w:rPr>
          <w:rFonts w:ascii="Google Sans" w:eastAsia="Google Sans" w:hAnsi="Google Sans" w:cs="Google Sans"/>
          <w:color w:val="444746"/>
          <w:sz w:val="24"/>
          <w:szCs w:val="24"/>
          <w:vertAlign w:val="superscript"/>
        </w:rPr>
        <w:t>1</w:t>
      </w:r>
    </w:p>
    <w:p w14:paraId="71FC7935" w14:textId="77777777" w:rsidR="0048163B" w:rsidRDefault="00000000">
      <w:pPr>
        <w:numPr>
          <w:ilvl w:val="0"/>
          <w:numId w:val="8"/>
        </w:numPr>
        <w:pBdr>
          <w:top w:val="nil"/>
          <w:left w:val="nil"/>
          <w:bottom w:val="nil"/>
          <w:right w:val="nil"/>
          <w:between w:val="nil"/>
        </w:pBdr>
        <w:spacing w:after="120" w:line="275" w:lineRule="auto"/>
      </w:pPr>
      <w:r>
        <w:rPr>
          <w:rFonts w:ascii="Google Sans" w:eastAsia="Google Sans" w:hAnsi="Google Sans" w:cs="Google Sans"/>
          <w:b/>
          <w:bCs/>
          <w:color w:val="1F1F1F"/>
        </w:rPr>
        <w:t>Evaluar el costo total de la transacción (</w:t>
      </w:r>
      <w:proofErr w:type="spellStart"/>
      <w:r>
        <w:rPr>
          <w:rFonts w:ascii="Google Sans" w:eastAsia="Google Sans" w:hAnsi="Google Sans" w:cs="Google Sans"/>
          <w:b/>
          <w:bCs/>
          <w:color w:val="1F1F1F"/>
        </w:rPr>
        <w:t>Landed</w:t>
      </w:r>
      <w:proofErr w:type="spellEnd"/>
      <w:r>
        <w:rPr>
          <w:rFonts w:ascii="Google Sans" w:eastAsia="Google Sans" w:hAnsi="Google Sans" w:cs="Google Sans"/>
          <w:b/>
          <w:bCs/>
          <w:color w:val="1F1F1F"/>
        </w:rPr>
        <w:t xml:space="preserve"> Cost):</w:t>
      </w:r>
      <w:r>
        <w:rPr>
          <w:rFonts w:ascii="Google Sans" w:eastAsia="Google Sans" w:hAnsi="Google Sans" w:cs="Google Sans"/>
          <w:color w:val="1F1F1F"/>
        </w:rPr>
        <w:t xml:space="preserve"> La rentabilidad no se determina en el martillazo de la subasta, sino cuando el producto llega al almacén del comprador tras haber pagado la prima, el envío, el procesamiento financiero y los impuestos aplicables.</w:t>
      </w:r>
    </w:p>
    <w:p w14:paraId="71FC7936" w14:textId="77777777" w:rsidR="0048163B" w:rsidRDefault="00000000">
      <w:pPr>
        <w:pBdr>
          <w:top w:val="nil"/>
          <w:left w:val="nil"/>
          <w:bottom w:val="nil"/>
          <w:right w:val="nil"/>
          <w:between w:val="nil"/>
        </w:pBdr>
        <w:spacing w:before="240" w:after="255" w:line="275" w:lineRule="auto"/>
        <w:rPr>
          <w:rFonts w:ascii="Google Sans" w:eastAsia="Google Sans" w:hAnsi="Google Sans" w:cs="Google Sans"/>
          <w:color w:val="1F1F1F"/>
        </w:rPr>
      </w:pPr>
      <w:r>
        <w:rPr>
          <w:rFonts w:ascii="Google Sans" w:eastAsia="Google Sans" w:hAnsi="Google Sans" w:cs="Google Sans"/>
          <w:color w:val="1F1F1F"/>
        </w:rPr>
        <w:t>En última instancia, Liquidation.com ofrece un modelo más tradicional y robusto para quienes buscan una gestión de activos completa, mientras que B-Stock proporciona un acceso directo a la fuente para compradores con mayor capacidad logística y operativa. Ambas plataformas han perfeccionado sus estructuras de comisiones para asegurar que el mercado siga siendo dinámico, competitivo y, sobre todo, rentable para los intermediarios que sostienen la infraestructura de la reventa global.</w:t>
      </w:r>
    </w:p>
    <w:p w14:paraId="71FC7965" w14:textId="5C5FAF32" w:rsidR="0048163B" w:rsidRPr="009D50DB" w:rsidRDefault="0048163B">
      <w:pPr>
        <w:numPr>
          <w:ilvl w:val="0"/>
          <w:numId w:val="9"/>
        </w:numPr>
        <w:pBdr>
          <w:top w:val="nil"/>
          <w:left w:val="nil"/>
          <w:bottom w:val="nil"/>
          <w:right w:val="nil"/>
          <w:between w:val="nil"/>
        </w:pBdr>
        <w:rPr>
          <w:lang w:val="en-GB"/>
        </w:rPr>
      </w:pPr>
    </w:p>
    <w:sectPr w:rsidR="0048163B" w:rsidRPr="009D50D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023030B9-F521-48C5-A2E9-5F9C8C5ECE41}"/>
  </w:font>
  <w:font w:name="Google Sans">
    <w:charset w:val="00"/>
    <w:family w:val="auto"/>
    <w:pitch w:val="default"/>
    <w:embedRegular r:id="rId2" w:fontKey="{A509716E-E1AE-4C7A-B40F-B0F0AC321CC1}"/>
    <w:embedBold r:id="rId3" w:fontKey="{619DEF1A-0182-4BE9-8321-A5A3FE2B9859}"/>
  </w:font>
  <w:font w:name="Calibri">
    <w:panose1 w:val="020F0502020204030204"/>
    <w:charset w:val="00"/>
    <w:family w:val="swiss"/>
    <w:pitch w:val="variable"/>
    <w:sig w:usb0="E4002EFF" w:usb1="C200247B" w:usb2="00000009" w:usb3="00000000" w:csb0="000001FF" w:csb1="00000000"/>
    <w:embedRegular r:id="rId4" w:fontKey="{F4BA4014-D732-438D-A8B4-9196EBAC6B52}"/>
  </w:font>
  <w:font w:name="Cambria">
    <w:panose1 w:val="02040503050406030204"/>
    <w:charset w:val="00"/>
    <w:family w:val="roman"/>
    <w:pitch w:val="variable"/>
    <w:sig w:usb0="E00006FF" w:usb1="420024FF" w:usb2="02000000" w:usb3="00000000" w:csb0="0000019F" w:csb1="00000000"/>
    <w:embedRegular r:id="rId5" w:fontKey="{5FF7584E-E70C-4EB8-AAAB-8140D19423D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1FEA"/>
    <w:multiLevelType w:val="multilevel"/>
    <w:tmpl w:val="F34AE99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D5367EC"/>
    <w:multiLevelType w:val="multilevel"/>
    <w:tmpl w:val="1CE83EB4"/>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1446461"/>
    <w:multiLevelType w:val="multilevel"/>
    <w:tmpl w:val="65C6DECA"/>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8E64C71"/>
    <w:multiLevelType w:val="multilevel"/>
    <w:tmpl w:val="BB80B26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9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0A17B40"/>
    <w:multiLevelType w:val="multilevel"/>
    <w:tmpl w:val="13FCF1EC"/>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582D02EF"/>
    <w:multiLevelType w:val="multilevel"/>
    <w:tmpl w:val="84B0C27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60C23325"/>
    <w:multiLevelType w:val="multilevel"/>
    <w:tmpl w:val="C414DF6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9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70594B8C"/>
    <w:multiLevelType w:val="multilevel"/>
    <w:tmpl w:val="F5D0E9B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7DAA408F"/>
    <w:multiLevelType w:val="multilevel"/>
    <w:tmpl w:val="DF3ED584"/>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648444316">
    <w:abstractNumId w:val="8"/>
  </w:num>
  <w:num w:numId="2" w16cid:durableId="564217209">
    <w:abstractNumId w:val="3"/>
  </w:num>
  <w:num w:numId="3" w16cid:durableId="235172100">
    <w:abstractNumId w:val="6"/>
  </w:num>
  <w:num w:numId="4" w16cid:durableId="1011027492">
    <w:abstractNumId w:val="4"/>
  </w:num>
  <w:num w:numId="5" w16cid:durableId="1383479137">
    <w:abstractNumId w:val="5"/>
  </w:num>
  <w:num w:numId="6" w16cid:durableId="1658915485">
    <w:abstractNumId w:val="1"/>
  </w:num>
  <w:num w:numId="7" w16cid:durableId="907804721">
    <w:abstractNumId w:val="0"/>
  </w:num>
  <w:num w:numId="8" w16cid:durableId="406223474">
    <w:abstractNumId w:val="2"/>
  </w:num>
  <w:num w:numId="9" w16cid:durableId="20516807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63B"/>
    <w:rsid w:val="00075409"/>
    <w:rsid w:val="003A0EB2"/>
    <w:rsid w:val="0048163B"/>
    <w:rsid w:val="00751FEE"/>
    <w:rsid w:val="009D50DB"/>
    <w:rsid w:val="00AB5C43"/>
    <w:rsid w:val="00BD1C29"/>
    <w:rsid w:val="00F76FD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C789B"/>
  <w15:docId w15:val="{B0E64F60-B33C-4775-B237-6FFE2A3F1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11</Pages>
  <Words>2971</Words>
  <Characters>16346</Characters>
  <Application>Microsoft Office Word</Application>
  <DocSecurity>0</DocSecurity>
  <Lines>136</Lines>
  <Paragraphs>38</Paragraphs>
  <ScaleCrop>false</ScaleCrop>
  <Company/>
  <LinksUpToDate>false</LinksUpToDate>
  <CharactersWithSpaces>19279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jorge torras</cp:lastModifiedBy>
  <cp:revision>7</cp:revision>
  <dcterms:created xsi:type="dcterms:W3CDTF">2026-04-30T15:38:00Z</dcterms:created>
  <dcterms:modified xsi:type="dcterms:W3CDTF">2026-04-30T15:47:00Z</dcterms:modified>
</cp:coreProperties>
</file>