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RESTOCK · ESTRATEGIA DE EJECUCIÓN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Plan operativo 24 meses · ICP eCommerce + Anchor Warehouse · Mayo 2026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1. ICP refinado · eCommerce primario, tiendas físicas en F2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ReStock ataca primero al eCommerce/dropshipper español de 1-3 años con facturación €100-500K/año. Razón: AOV natural &gt;€300, cultura SaaS preexistente (ya pagan Shopify), comunicación digital nativa, y rol dual vendedor-comprador (multiplica LTV). Las tiendas físicas pequeñas son target de F2 (M12+) cuando el flujo de oferta esté consolidado y el modelo permita un onboarding más asistido.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 La jugada de oferta ancla · Replicando B-Stock 2008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Acción crítica de las próximas 2 semanas: reunión confirmada con familiar cercano (almacén medio). Propuesta concreta a llevar a esa reunión: comisión piloto reducida del 5% (vs 8% estándar) durante 6 meses, gestión white-glove del founder de los primeros 10 lotes, reporting personalizado mensual. A cambio: exclusividad de canal de liquidación durante el periodo. Este contrato genera el supply ancla que magnetiza compradores profesionales y da validación social para firmar el 2º y 3º almacén en M9-M12.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3. Roadmap de monetización progresiva</w:t>
      </w:r>
    </w:p>
    <w:tbl>
      <w:tblPr>
        <w:tblW w:type="dxa" w:w="11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4500"/>
        <w:gridCol w:w="1500"/>
        <w:gridCol w:w="28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Capa(s) de cobro activa(s)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 rate efectivo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 de paso a siguiente fase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F1 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M0-M9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Comisión 8% vendedor + 4% comprador · Anti-bypass T&amp;C · Clasificación calidad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12,0%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&gt;50% sellers publican 2º lote en 90d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F2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M9-M18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F1 + Suscripción Pro €29/mes voluntaria + BP escalonada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13,0-14,5%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&gt;15% adopción Pro · 3 almacenes activos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F3 Verticales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M18-M30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F2 + Fee listado €15 (waiver &gt;€500) + Marketplaces verticales privados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14,5-16,0%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ARR €500K · 3 marcas firmadas en verticales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F4 Logística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M30+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F3 + Logística como profit center (margen 18% sobre flete + cargos prep)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8A4C"/>
                <w:sz w:val="16"/>
                <w:szCs w:val="16"/>
              </w:rPr>
              <w:t xml:space="preserve">16,0%+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Series A cerrada · GMV &gt;€10M anual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16"/>
          <w:szCs w:val="16"/>
        </w:rPr>
        <w:t xml:space="preserve">Regla de oro: ninguna palanca de F2/F3/F4 se activa hasta que el KPI de paso esté verde durante 2 meses consecutivos. Forzar el avance sin la métrica destruye oferta.</w:t>
      </w:r>
    </w:p>
    <w:p>
      <w:r>
        <w:br w:type="pag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 Plan de los primeros 90 días</w:t>
      </w:r>
    </w:p>
    <w:tbl>
      <w:tblPr>
        <w:tblW w:type="dxa" w:w="11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3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Acciones críticas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 verificable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Sprint 1 · M0-M2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Reunión almacén ancla · Constitución SL · T&amp;C con anti-bypass · Dominio + landing · 200 contactos LinkedIn outbound a eCommerce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SL constituida · Acuerdo piloto firmado · 30 leads cualificados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Sprint 2 · M2-M4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MVP en Lovable + Supabase · Stripe Connect · Sistema de clasificación de calidad · Onboarding 20 vendedores piloto · Primeros 10 lotes manuales (concierge)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MVP live · 10 transacciones cerradas · AOV medio &gt;€300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Sprint 3 · M4-M6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Activación supply ancla · Outreach a 100 buyers profesionales (Telegram + LinkedIn) · Sistema de reseñas bidireccional · Aplicación Lanzadera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50 transacciones · 30 buyers activos · Lanzadera entrevista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5. Canales de adquisición priorizados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Anchor warehouse + referrals (M0-M6, coste €0): canal de oferta de mayor calidad. Cada almacén firmado abre 3-5 contactos calientes.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LinkedIn Sales Navigator outbound (M2-M9, €99/mes): mejor canal pagado de demanda. CAC €15-30/vendedor adquirido. Foco en founders eCommerce 2-50 empleados España.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Telegram + Discord españoles (M0-M9, €0): grupos de dropshipping, Shopify Spain, revendedores. 1 mes de escucha, después outreach personalizado.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SEO + content marketing (M3-M12, tiempo founder): keywords "vender stock muerto", "liquidar inventario". 8-10 artículos largos. Posicionamiento en M6-M9.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Partnerships agencias Shopify Partner España (M6-M12, comisión 10%): ~80 agencias. Cada una con cartera de 20-50 eCommerce con problemas de stock.</w:t>
      </w:r>
    </w:p>
    <w:p>
      <w:pPr>
        <w:pStyle w:val="ListParagraph"/>
        <w:numPr>
          <w:ilvl w:val="0"/>
          <w:numId w:val="2"/>
        </w:num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Eventos B2B (M9-M18, €500-2.000): eShow Barcelona, eCommerce Day, DES Madrid. Aplazar hasta tener producto presentable.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6. KPIs por fase · dashboard de board</w:t>
      </w:r>
    </w:p>
    <w:tbl>
      <w:tblPr>
        <w:tblW w:type="dxa" w:w="11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50"/>
        <w:gridCol w:w="1450"/>
        <w:gridCol w:w="1450"/>
        <w:gridCol w:w="1450"/>
        <w:gridCol w:w="1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M6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M12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M18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M30 (Series 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Cuentas activas pagadoras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1.100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8A4C"/>
                <w:sz w:val="16"/>
                <w:szCs w:val="16"/>
              </w:rPr>
              <w:t xml:space="preserve">1.600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ARR (€)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€18K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€185K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€340K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8A4C"/>
                <w:sz w:val="16"/>
                <w:szCs w:val="16"/>
              </w:rPr>
              <w:t xml:space="preserve">€520K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Almacenes firmados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8A4C"/>
                <w:sz w:val="16"/>
                <w:szCs w:val="16"/>
              </w:rPr>
              <w:t xml:space="preserve">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% sellers que publican 2º lote (90d)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&gt;40%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&gt;50%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&gt;55%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&gt;60%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8A4C"/>
                <w:sz w:val="16"/>
                <w:szCs w:val="16"/>
              </w:rPr>
              <w:t xml:space="preserve">&gt;65%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AOV medio (€)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€280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€340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€450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8A4C"/>
                <w:sz w:val="16"/>
                <w:szCs w:val="16"/>
              </w:rPr>
              <w:t xml:space="preserve">€500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LTV : CAC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4,5x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6,2x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8,0x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10,5x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8A4C"/>
                <w:sz w:val="16"/>
                <w:szCs w:val="16"/>
              </w:rPr>
              <w:t xml:space="preserve">12,5x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7. Gates de decisión · cuándo NO continuar</w:t>
      </w:r>
    </w:p>
    <w:p>
      <w:pPr>
        <w:spacing w:after="30" w:before="30"/>
        <w:jc w:val="both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Gate M6: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Si 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&lt;30 transacciones reales O AOV &lt;€200 O acuerdo con almacén ancla NO firmado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 → pausa, 4 semanas de iteración del concierge model antes de seguir gastando.</w:t>
      </w:r>
    </w:p>
    <w:p>
      <w:pPr>
        <w:spacing w:after="30" w:before="30"/>
        <w:jc w:val="both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Gate M12: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Si 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&lt;150 cuentas activas O % retención sellers &lt;35% O ARR &lt;€40K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 → revisar producto y/o ICP. Posible pivote a tiendas físicas o a vertical de mayor AOV.</w:t>
      </w:r>
    </w:p>
    <w:p>
      <w:pPr>
        <w:spacing w:after="30" w:before="30"/>
        <w:jc w:val="both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Gate M18: 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Si 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&lt;400 cuentas O ARR &lt;€150K O sin VCs en data room</w:t>
      </w: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 → activar bridge round €150-200K para extender runway 6 meses adicionales.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Documento operativo · Mayo 2026 · Revisión trimestral en board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2 ·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ReStock · Estrategia de Ejecución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2026-05-03T08:54:41.146Z</dcterms:created>
  <dcterms:modified xsi:type="dcterms:W3CDTF">2026-05-03T08:54:41.146Z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