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RESTOCK · INVESTMENT MEMO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Pre-seed €300K @ €2M post-money · Jorge Torras · Mayo 2026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Tesis de inversión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ReStock es el primer marketplace B2B de stock sobrante para eCommerce y PYMEs en el sur de Europa. Conecta vendedores con inventario muerto (eCommerce 1-3 años, dropshippers, mayoristas) con compradores que buscan producto barato para revender. El modelo está validado en EE.UU. (Liquidation.com + B-Stock &gt;$3.000M GMV) sin equivalente europeo accesible para el segmento PYME. Estrategia de lanzamiento basada en supply ancla: un acuerdo piloto exclusivo con un almacén medio en Barcelona genera la oferta inicial densa que magnetiza la demanda profesional de revendedores.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Por qué ahora · tres convergencias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Post-pandemia: exceso histórico de inventario en el sistema europeo (Gartner: 20-30% del inventario industrial queda obsoleto/año; €10.000M anuales en stock sobrante en Europa).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Consolidación de Stripe Connect + Shopify España: infraestructura de pago/checkout B2B viable sin construir desde cero.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Ventana competitiva: 18-24 meses antes de que un entrante europeo serio cubra el gap. Wallapop PRO opera en C2C y no compite en B2B real.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Métricas clave · escenario realista España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880"/>
        <w:gridCol w:w="1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M0-M12 (lean)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M12-M24 (Pro)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M24-M36 (BP+vert.)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M36+ (full)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ARPA (€/cuenta/año)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Take rate efectivo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12,0%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13,0%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14,5%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16,0%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Churn anual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LTV ajustado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€530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€730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€960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€1.250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LTV : CAC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6,2x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8,5x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11,2x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8A4C"/>
                <w:sz w:val="16"/>
                <w:szCs w:val="16"/>
              </w:rPr>
              <w:t xml:space="preserve">14,5x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Modelo de monetización progresiva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Una capa transaccional en F1 (8% vendedor + 4% comprador), capas adicionales (Pro tier voluntario, Buyer's Premium escalonada, fee de listado, marketplaces verticales, logística como profit center) introducidas progresivamente solo cuando la oferta densa ya está consolidada. La cláusula anti-bypass de 12 meses al 15% se incluye en T&amp;C desde M0 para proteger LTV. Esta secuencia evita el error fatal de B-Stock-imitators europeos: cobrar agresivo desde día 1 y matar la oferta.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La jugada de oferta ancla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ReStock activa en M3-M6 un acuerdo de exclusividad de 6 meses con un almacén medio español (contacto familiar cercano del founder, reunión confirmada en 2 semanas). Comisión piloto del 5% durante el periodo, exclusividad a cambio. Este contrato genera el supply ancla que magnetiza compradores profesionales (replicando exactamente la jugada B-Stock-Walmart de 2008). El segundo y tercer almacén se firman en M9-M12 con resistencia muy reducida gracias a la validación social del primero.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Uso de fondos · 24 meses · €300K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200"/>
        <w:gridCol w:w="31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Mes activación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Salario founder + ESOP advisor (24m)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€144K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M0-M24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CTO contractor + dev freelance F2-F3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€48K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M9-M24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CAC pagado (LinkedIn, agencias, eventos)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€60K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M6-M24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Stack tecnológico (Lovable, Stripe, hosting)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€18K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M0-M24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Legal + estructura SL + KYC + T&amp;C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€12K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M0-M3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Reserva contingencia M19-M24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€18K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Reserva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Hitos verificables · 24 meses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M3: T&amp;C publicados con anti-bypass · MVP Lovable live · 20 vendedores piloto.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M6: Acuerdo exclusivo con almacén ancla firmado · 50 transacciones reales · AOV &gt;€300.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M9: 2º almacén firmado · 150 transacciones · Pro tier voluntario lanzado · adopción &gt;8%.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M12: 250 cuentas activas pagadoras · ARR €60K · % vendedores que repiten &gt;40%.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M18: 600 cuentas · ARR €185K · 3 contratos almacén operativos · NRR &gt;100%.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M24: 1.100 cuentas · ARR €340K · GMV €2,4M acumulado · data room Series A abierto.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Riesgos top-3 y mitigantes</w:t>
      </w:r>
    </w:p>
    <w:p>
      <w:pPr>
        <w:spacing w:after="30" w:before="30"/>
        <w:jc w:val="both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Riesgo de oferta atomizada (chicken-and-egg).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Mitigante: anchor warehouse contract en M3-M6. La exclusividad piloto resuelve el problema en seco.</w:t>
      </w:r>
    </w:p>
    <w:p>
      <w:pPr>
        <w:spacing w:after="30" w:before="30"/>
        <w:jc w:val="both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Desintermediación post-primera transacción.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Mitigante: cláusula anti-bypass de 12 meses al 15% en T&amp;C desde M0 + reseñas bidireccionales.</w:t>
      </w:r>
    </w:p>
    <w:p>
      <w:pPr>
        <w:spacing w:after="30" w:before="30"/>
        <w:jc w:val="both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Runway gap M22-M27.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Mitigante: bridge round de €150-200K en M18 si Series A no está cerrada. Inversores objetivo identificados desde M12.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Ask</w:t>
      </w:r>
    </w:p>
    <w:p>
      <w:pPr>
        <w:spacing w:after="30" w:before="30"/>
        <w:jc w:val="both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€300K en SAFE @ €2M post-money cap,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estructurado en 4 tramos liberados contra hitos verificables. Founder retiene 75% post-ronda + ESOP del 10% pre-creado. Path realista a Series A €1.5-2M @ €6-8M post-money en M27-M30. Múltiplo de salida proyectado: 5-8x revenue en exit M60-M72.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Documento confidencial · Mayo 2026 · Versión definitiva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2 ·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ReStock · Investment Memo Definitivo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2026-05-03T08:53:03.512Z</dcterms:created>
  <dcterms:modified xsi:type="dcterms:W3CDTF">2026-05-03T08:53:03.542Z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