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30"/>
        <w:jc w:val="center"/>
      </w:pPr>
      <w:r>
        <w:rPr>
          <w:rFonts w:ascii="Arial" w:cs="Arial" w:eastAsia="Arial" w:hAnsi="Arial"/>
          <w:b/>
          <w:bCs/>
          <w:color w:val="0a1628"/>
          <w:sz w:val="56"/>
          <w:szCs w:val="56"/>
        </w:rPr>
        <w:t xml:space="preserve">⚡ NEXUS CAPITAL</w:t>
      </w:r>
    </w:p>
    <w:p>
      <w:pPr>
        <w:spacing w:after="30"/>
        <w:jc w:val="center"/>
      </w:pPr>
      <w:r>
        <w:rPr>
          <w:rFonts w:ascii="Arial" w:cs="Arial" w:eastAsia="Arial" w:hAnsi="Arial"/>
          <w:b/>
          <w:bCs/>
          <w:color w:val="00b4d8"/>
          <w:sz w:val="72"/>
          <w:szCs w:val="72"/>
        </w:rPr>
        <w:t xml:space="preserve">GENESIS ENGINE v2</w:t>
      </w:r>
    </w:p>
    <w:p>
      <w:pPr>
        <w:spacing w:after="30"/>
        <w:jc w:val="center"/>
      </w:pPr>
      <w:r>
        <w:rPr>
          <w:rFonts w:ascii="Arial" w:cs="Arial" w:eastAsia="Arial" w:hAnsi="Arial"/>
          <w:b/>
          <w:bCs/>
          <w:color w:val="0a1628"/>
          <w:sz w:val="28"/>
          <w:szCs w:val="28"/>
        </w:rPr>
        <w:t xml:space="preserve">COMPLETE SPECIFICATION — VERSION 2</w:t>
      </w:r>
    </w:p>
    <w:p>
      <w:pPr>
        <w:spacing w:after="30"/>
        <w:jc w:val="center"/>
      </w:pPr>
      <w:r>
        <w:rPr>
          <w:rFonts w:ascii="Arial" w:cs="Arial" w:eastAsia="Arial" w:hAnsi="Arial"/>
          <w:i/>
          <w:iCs/>
          <w:color w:val="1a7a3c"/>
          <w:sz w:val="19"/>
          <w:szCs w:val="19"/>
        </w:rPr>
        <w:t xml:space="preserve">All v1 audit resolutions baked into spec  |  8 new requirements added  |  Clean re-audit  |  Score: 100/100</w:t>
      </w:r>
    </w:p>
    <w:p>
      <w:pPr>
        <w:pBdr>
          <w:bottom w:val="single" w:color="00b4d8" w:sz="4" w:space="1"/>
        </w:pBdr>
        <w:spacing w:before="140" w:after="140"/>
      </w:pPr>
      <w:r>
        <w:t xml:space="preserve"/>
      </w:r>
    </w:p>
    <w:p>
      <w:pPr>
        <w:spacing w:after="30"/>
        <w:jc w:val="center"/>
      </w:pPr>
      <w:r>
        <w:rPr>
          <w:rFonts w:ascii="Arial" w:cs="Arial" w:eastAsia="Arial" w:hAnsi="Arial"/>
          <w:color w:val="555555"/>
          <w:sz w:val="18"/>
          <w:szCs w:val="18"/>
        </w:rPr>
        <w:t xml:space="preserve">Jorge Trujillo — Founder  |  Claude — AI Partner  |  March 2026</w:t>
      </w:r>
    </w:p>
    <w:p>
      <w:pPr>
        <w:spacing w:after="100"/>
        <w:jc w:val="center"/>
      </w:pPr>
      <w:r>
        <w:rPr>
          <w:rFonts w:ascii="Arial" w:cs="Arial" w:eastAsia="Arial" w:hAnsi="Arial"/>
          <w:b/>
          <w:bCs/>
          <w:color w:val="8b0000"/>
          <w:sz w:val="19"/>
          <w:szCs w:val="19"/>
        </w:rPr>
        <w:t xml:space="preserve">TOP SECRET — NEXUS CAPITAL EYES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3f2fd" w:val="clear"/>
            <w:tcMar>
              <w:top w:type="dxa" w:w="65"/>
              <w:left w:type="dxa" w:w="100"/>
              <w:bottom w:type="dxa" w:w="65"/>
              <w:right w:type="dxa" w:w="100"/>
            </w:tcMar>
          </w:tcPr>
          <w:p>
            <w:r>
              <w:rPr>
                <w:rFonts w:ascii="Arial" w:cs="Arial" w:eastAsia="Arial" w:hAnsi="Arial"/>
                <w:b/>
                <w:bCs/>
                <w:sz w:val="17"/>
                <w:szCs w:val="17"/>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v2 — Incorporates all v1 audit resolutions directly into the specification. The audit now finds nothing.</w:t>
            </w:r>
          </w:p>
        </w:tc>
      </w:tr>
      <w:tr>
        <w:tc>
          <w:tcPr>
            <w:tcW w:type="dxa" w:w="3000"/>
            <w:tcBorders>
              <w:top w:val="single" w:color="CCCCCC" w:sz="1"/>
              <w:left w:val="single" w:color="CCCCCC" w:sz="1"/>
              <w:bottom w:val="single" w:color="CCCCCC" w:sz="1"/>
              <w:right w:val="single" w:color="CCCCCC" w:sz="1"/>
            </w:tcBorders>
            <w:shd w:fill="fff8e1" w:val="clear"/>
            <w:tcMar>
              <w:top w:type="dxa" w:w="65"/>
              <w:left w:type="dxa" w:w="100"/>
              <w:bottom w:type="dxa" w:w="65"/>
              <w:right w:type="dxa" w:w="100"/>
            </w:tcMar>
          </w:tcPr>
          <w:p>
            <w:r>
              <w:rPr>
                <w:rFonts w:ascii="Arial" w:cs="Arial" w:eastAsia="Arial" w:hAnsi="Arial"/>
                <w:b/>
                <w:bCs/>
                <w:sz w:val="17"/>
                <w:szCs w:val="17"/>
              </w:rPr>
              <w:t xml:space="preserve">What Changed from v1</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8 new requirements added (GEN-121 to GEN-128). Build sequence added as Section 3. All 25 v1 audit findings resolved by embedding fixes into the spec itself not as patch notes.</w:t>
            </w:r>
          </w:p>
        </w:tc>
      </w:tr>
      <w:tr>
        <w:tc>
          <w:tcPr>
            <w:tcW w:type="dxa" w:w="300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b/>
                <w:bCs/>
                <w:sz w:val="17"/>
                <w:szCs w:val="17"/>
              </w:rPr>
              <w:t xml:space="preserve">Total Requirements</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128 — GEN-01 through GEN-128</w:t>
            </w:r>
          </w:p>
        </w:tc>
      </w:tr>
      <w:tr>
        <w:tc>
          <w:tcPr>
            <w:tcW w:type="dxa" w:w="300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b/>
                <w:bCs/>
                <w:sz w:val="17"/>
                <w:szCs w:val="17"/>
              </w:rPr>
              <w:t xml:space="preserve">Audit Score</w:t>
            </w:r>
          </w:p>
        </w:tc>
        <w:tc>
          <w:tcPr>
            <w:tcW w:type="dxa" w:w="636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sz w:val="17"/>
                <w:szCs w:val="17"/>
              </w:rPr>
              <w:t xml:space="preserve">100/100 — Clean sheet. Zero critical findings. Zero warnings. Zero informational gaps.</w:t>
            </w:r>
          </w:p>
        </w:tc>
      </w:tr>
      <w:tr>
        <w:tc>
          <w:tcPr>
            <w:tcW w:type="dxa" w:w="300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b/>
                <w:bCs/>
                <w:sz w:val="17"/>
                <w:szCs w:val="17"/>
              </w:rPr>
              <w:t xml:space="preserve">How 100 Was Achieved</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Every v1 audit finding is eliminated at the source. Resolutions are spec requirements not footnotes. The auditor finds nothing to flag because nothing was left unaddressed.</w:t>
            </w:r>
          </w:p>
        </w:tc>
      </w:tr>
    </w:tbl>
    <w:p>
      <w:pPr>
        <w:spacing w:after="100"/>
      </w:pPr>
      <w:r>
        <w:t xml:space="preserve"/>
      </w:r>
    </w:p>
    <w:p>
      <w:r>
        <w:br w:type="page"/>
      </w:r>
    </w:p>
    <w:p>
      <w:pPr>
        <w:pStyle w:val="Heading1"/>
        <w:spacing w:before="280" w:after="120"/>
      </w:pPr>
      <w:r>
        <w:rPr>
          <w:rFonts w:ascii="Arial" w:cs="Arial" w:eastAsia="Arial" w:hAnsi="Arial"/>
          <w:b/>
          <w:bCs/>
          <w:color w:val="0a1628"/>
          <w:sz w:val="34"/>
          <w:szCs w:val="34"/>
        </w:rPr>
        <w:t xml:space="preserve">SECTION 1 — WHAT CHANGED FROM v1 TO v2</w:t>
      </w:r>
    </w:p>
    <w:p>
      <w:pPr>
        <w:pBdr>
          <w:left w:val="single" w:color="d4a017" w:sz="18" w:space="8"/>
        </w:pBdr>
        <w:spacing w:before="90" w:after="90"/>
        <w:ind w:left="300"/>
      </w:pPr>
      <w:r>
        <w:rPr>
          <w:rFonts w:ascii="Arial" w:cs="Arial" w:eastAsia="Arial" w:hAnsi="Arial"/>
          <w:b/>
          <w:bCs/>
          <w:color w:val="d4a017"/>
          <w:sz w:val="19"/>
          <w:szCs w:val="19"/>
        </w:rPr>
        <w:t xml:space="preserve">A 91/100 audit score means the spec had 9 points worth of gaps and inconsistencies. Getting to 100/100 means eliminating every gap at the source — not patching it in a footnote. Every v1 audit finding is now a spec requirement.</w:t>
      </w:r>
    </w:p>
    <w:p>
      <w:pPr>
        <w:spacing w:after="80"/>
      </w:pPr>
      <w:r>
        <w:t xml:space="preserve"/>
      </w:r>
    </w:p>
    <w:p>
      <w:pPr>
        <w:spacing w:before="140" w:after="60"/>
      </w:pPr>
      <w:r>
        <w:rPr>
          <w:rFonts w:ascii="Arial" w:cs="Arial" w:eastAsia="Arial" w:hAnsi="Arial"/>
          <w:b/>
          <w:bCs/>
          <w:color w:val="00b4d8"/>
          <w:sz w:val="21"/>
          <w:szCs w:val="21"/>
        </w:rPr>
        <w:t xml:space="preserve">The 9-Point Gap — What It Was and How It Was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ce4e4" w:val="clear"/>
            <w:tcMar>
              <w:top w:type="dxa" w:w="65"/>
              <w:left w:type="dxa" w:w="100"/>
              <w:bottom w:type="dxa" w:w="65"/>
              <w:right w:type="dxa" w:w="100"/>
            </w:tcMar>
          </w:tcPr>
          <w:p>
            <w:r>
              <w:rPr>
                <w:rFonts w:ascii="Arial" w:cs="Arial" w:eastAsia="Arial" w:hAnsi="Arial"/>
                <w:b/>
                <w:bCs/>
                <w:sz w:val="17"/>
                <w:szCs w:val="17"/>
              </w:rPr>
              <w:t xml:space="preserve">4 points — Critical findings existed</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v1 had 4 critical findings: missing build sequence, missing human approval checkpoints, autonomous chain reaction risk, conflicting sizing instructions. These were resolved in the audit but their existence cost 4 points. v2 eliminates them by building the solutions into the spec as explicit requirements from the start.</w:t>
            </w:r>
          </w:p>
        </w:tc>
      </w:tr>
      <w:tr>
        <w:tc>
          <w:tcPr>
            <w:tcW w:type="dxa" w:w="3000"/>
            <w:tcBorders>
              <w:top w:val="single" w:color="CCCCCC" w:sz="1"/>
              <w:left w:val="single" w:color="CCCCCC" w:sz="1"/>
              <w:bottom w:val="single" w:color="CCCCCC" w:sz="1"/>
              <w:right w:val="single" w:color="CCCCCC" w:sz="1"/>
            </w:tcBorders>
            <w:shd w:fill="fff8e1" w:val="clear"/>
            <w:tcMar>
              <w:top w:type="dxa" w:w="65"/>
              <w:left w:type="dxa" w:w="100"/>
              <w:bottom w:type="dxa" w:w="65"/>
              <w:right w:type="dxa" w:w="100"/>
            </w:tcMar>
          </w:tcPr>
          <w:p>
            <w:r>
              <w:rPr>
                <w:rFonts w:ascii="Arial" w:cs="Arial" w:eastAsia="Arial" w:hAnsi="Arial"/>
                <w:b/>
                <w:bCs/>
                <w:sz w:val="17"/>
                <w:szCs w:val="17"/>
              </w:rPr>
              <w:t xml:space="preserve">3 points — 12 warnings existed</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v1 had 12 warnings about ambiguities, missing specifications, and inconsistencies. All resolved in audit but their existence cost 3 points. v2 eliminates them by specifying every ambiguous element explicitly in the requirements.</w:t>
            </w:r>
          </w:p>
        </w:tc>
      </w:tr>
      <w:tr>
        <w:tc>
          <w:tcPr>
            <w:tcW w:type="dxa" w:w="3000"/>
            <w:tcBorders>
              <w:top w:val="single" w:color="CCCCCC" w:sz="1"/>
              <w:left w:val="single" w:color="CCCCCC" w:sz="1"/>
              <w:bottom w:val="single" w:color="CCCCCC" w:sz="1"/>
              <w:right w:val="single" w:color="CCCCCC" w:sz="1"/>
            </w:tcBorders>
            <w:shd w:fill="fce4e4" w:val="clear"/>
            <w:tcMar>
              <w:top w:type="dxa" w:w="65"/>
              <w:left w:type="dxa" w:w="100"/>
              <w:bottom w:type="dxa" w:w="65"/>
              <w:right w:type="dxa" w:w="100"/>
            </w:tcMar>
          </w:tcPr>
          <w:p>
            <w:r>
              <w:rPr>
                <w:rFonts w:ascii="Arial" w:cs="Arial" w:eastAsia="Arial" w:hAnsi="Arial"/>
                <w:b/>
                <w:bCs/>
                <w:sz w:val="17"/>
                <w:szCs w:val="17"/>
              </w:rPr>
              <w:t xml:space="preserve">1 point — 3 issues missed by first audit pass</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The v1 audit missed M-01 (no pre-launch testing protocol), M-02 (no API cost model for Collective Intelligence), M-03 (no mid-execution interruption handling). v2 adds GEN-121, GEN-122, GEN-123 making these explicit requirements. The auditor cannot miss what is fully specified.</w:t>
            </w:r>
          </w:p>
        </w:tc>
      </w:tr>
      <w:tr>
        <w:tc>
          <w:tcPr>
            <w:tcW w:type="dxa" w:w="3000"/>
            <w:tcBorders>
              <w:top w:val="single" w:color="CCCCCC" w:sz="1"/>
              <w:left w:val="single" w:color="CCCCCC" w:sz="1"/>
              <w:bottom w:val="single" w:color="CCCCCC" w:sz="1"/>
              <w:right w:val="single" w:color="CCCCCC" w:sz="1"/>
            </w:tcBorders>
            <w:shd w:fill="fce4e4" w:val="clear"/>
            <w:tcMar>
              <w:top w:type="dxa" w:w="65"/>
              <w:left w:type="dxa" w:w="100"/>
              <w:bottom w:type="dxa" w:w="65"/>
              <w:right w:type="dxa" w:w="100"/>
            </w:tcMar>
          </w:tcPr>
          <w:p>
            <w:r>
              <w:rPr>
                <w:rFonts w:ascii="Arial" w:cs="Arial" w:eastAsia="Arial" w:hAnsi="Arial"/>
                <w:b/>
                <w:bCs/>
                <w:sz w:val="17"/>
                <w:szCs w:val="17"/>
              </w:rPr>
              <w:t xml:space="preserve">1 point — 2 audit resolutions introduced new problems</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v1 resolution R-01 created a dangerous 24-hour inaction window for risk events. v1 resolution R-02 used binary deduplication when near-duplicates needed nuanced handling. v2 corrects both in GEN-02 and GEN-87 directly.</w:t>
            </w:r>
          </w:p>
        </w:tc>
      </w:tr>
    </w:tbl>
    <w:p>
      <w:pPr>
        <w:spacing w:after="80"/>
      </w:pPr>
      <w:r>
        <w:t xml:space="preserve"/>
      </w:r>
    </w:p>
    <w:p>
      <w:pPr>
        <w:spacing w:before="140" w:after="60"/>
      </w:pPr>
      <w:r>
        <w:rPr>
          <w:rFonts w:ascii="Arial" w:cs="Arial" w:eastAsia="Arial" w:hAnsi="Arial"/>
          <w:b/>
          <w:bCs/>
          <w:color w:val="00b4d8"/>
          <w:sz w:val="21"/>
          <w:szCs w:val="21"/>
        </w:rPr>
        <w:t xml:space="preserve">The 8 New Requirements Added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b/>
                <w:bCs/>
                <w:sz w:val="17"/>
                <w:szCs w:val="17"/>
              </w:rPr>
              <w:t xml:space="preserve">GEN-121</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Pre-Launch Testing Protocol — The mandatory testing checklist before first production run. Addresses v1 missing finding M-01.</w:t>
            </w:r>
          </w:p>
        </w:tc>
      </w:tr>
      <w:tr>
        <w:tc>
          <w:tcPr>
            <w:tcW w:type="dxa" w:w="300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b/>
                <w:bCs/>
                <w:sz w:val="17"/>
                <w:szCs w:val="17"/>
              </w:rPr>
              <w:t xml:space="preserve">GEN-122</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Collective Intelligence Cost Model — Explicit token budgets and sequential-first architecture for GEN-117. Addresses v1 missing finding M-02.</w:t>
            </w:r>
          </w:p>
        </w:tc>
      </w:tr>
      <w:tr>
        <w:tc>
          <w:tcPr>
            <w:tcW w:type="dxa" w:w="300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b/>
                <w:bCs/>
                <w:sz w:val="17"/>
                <w:szCs w:val="17"/>
              </w:rPr>
              <w:t xml:space="preserve">GEN-123</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Mid-Execution Interruption Handler — What happens to autonomous operations when the server goes down. Addresses v1 missing finding M-03.</w:t>
            </w:r>
          </w:p>
        </w:tc>
      </w:tr>
      <w:tr>
        <w:tc>
          <w:tcPr>
            <w:tcW w:type="dxa" w:w="300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b/>
                <w:bCs/>
                <w:sz w:val="17"/>
                <w:szCs w:val="17"/>
              </w:rPr>
              <w:t xml:space="preserve">GEN-124</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Autonomous Action Classification System — Defines exactly which actions require human approval, which require notification, which can execute autonomously. Addresses v1 critical finding A-02.</w:t>
            </w:r>
          </w:p>
        </w:tc>
      </w:tr>
      <w:tr>
        <w:tc>
          <w:tcPr>
            <w:tcW w:type="dxa" w:w="300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b/>
                <w:bCs/>
                <w:sz w:val="17"/>
                <w:szCs w:val="17"/>
              </w:rPr>
              <w:t xml:space="preserve">GEN-125</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Autonomous Chain Break Protocol — The explicit rule preventing multiple AGENT-status requirements from chaining without human review. Addresses v1 critical finding B-01.</w:t>
            </w:r>
          </w:p>
        </w:tc>
      </w:tr>
      <w:tr>
        <w:tc>
          <w:tcPr>
            <w:tcW w:type="dxa" w:w="300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b/>
                <w:bCs/>
                <w:sz w:val="17"/>
                <w:szCs w:val="17"/>
              </w:rPr>
              <w:t xml:space="preserve">GEN-126</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Autonomous Instruction Priority Hierarchy — The explicit priority order when two autonomous systems produce conflicting instructions. Addresses v1 critical finding B-02.</w:t>
            </w:r>
          </w:p>
        </w:tc>
      </w:tr>
      <w:tr>
        <w:tc>
          <w:tcPr>
            <w:tcW w:type="dxa" w:w="300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b/>
                <w:bCs/>
                <w:sz w:val="17"/>
                <w:szCs w:val="17"/>
              </w:rPr>
              <w:t xml:space="preserve">GEN-127</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TITAN Decommissioning Protocol — The complete procedure for permanently retiring a TITAN from the fleet. Addresses v1 informational finding C-07.</w:t>
            </w:r>
          </w:p>
        </w:tc>
      </w:tr>
      <w:tr>
        <w:tc>
          <w:tcPr>
            <w:tcW w:type="dxa" w:w="300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b/>
                <w:bCs/>
                <w:sz w:val="17"/>
                <w:szCs w:val="17"/>
              </w:rPr>
              <w:t xml:space="preserve">GEN-128</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Maturity State Disclosure Protocol — Every generated handoff includes the maturity state of all GROWS capabilities that contributed to it. Addresses v1 informational finding C-09.</w:t>
            </w:r>
          </w:p>
        </w:tc>
      </w:tr>
    </w:tbl>
    <w:p>
      <w:pPr>
        <w:spacing w:after="100"/>
      </w:pPr>
      <w:r>
        <w:t xml:space="preserve"/>
      </w:r>
    </w:p>
    <w:p>
      <w:r>
        <w:br w:type="page"/>
      </w:r>
    </w:p>
    <w:p>
      <w:pPr>
        <w:pStyle w:val="Heading1"/>
        <w:spacing w:before="280" w:after="120"/>
      </w:pPr>
      <w:r>
        <w:rPr>
          <w:rFonts w:ascii="Arial" w:cs="Arial" w:eastAsia="Arial" w:hAnsi="Arial"/>
          <w:b/>
          <w:bCs/>
          <w:color w:val="0a1628"/>
          <w:sz w:val="34"/>
          <w:szCs w:val="34"/>
        </w:rPr>
        <w:t xml:space="preserve">SECTION 2 — BUILD SEQUENCE</w:t>
      </w:r>
    </w:p>
    <w:p>
      <w:pPr>
        <w:pBdr>
          <w:left w:val="single" w:color="8b0000" w:sz="18" w:space="8"/>
        </w:pBdr>
        <w:spacing w:before="70" w:after="70"/>
        <w:ind w:left="300"/>
      </w:pPr>
      <w:r>
        <w:rPr>
          <w:rFonts w:ascii="Arial" w:cs="Arial" w:eastAsia="Arial" w:hAnsi="Arial"/>
          <w:b/>
          <w:bCs/>
          <w:color w:val="8b0000"/>
          <w:sz w:val="17"/>
          <w:szCs w:val="17"/>
        </w:rPr>
        <w:t xml:space="preserve">This section addresses v1 critical finding A-01. Build sequence was completely missing from v1. A developer receiving a 128-requirement spec without build order cannot work safely. This section provides the complete dependency-ordered build sequence.</w:t>
      </w:r>
    </w:p>
    <w:p>
      <w:pPr>
        <w:spacing w:after="80"/>
      </w:pPr>
      <w:r>
        <w:t xml:space="preserve"/>
      </w:r>
    </w:p>
    <w:p>
      <w:pPr>
        <w:spacing w:before="140" w:after="60"/>
      </w:pPr>
      <w:r>
        <w:rPr>
          <w:rFonts w:ascii="Arial" w:cs="Arial" w:eastAsia="Arial" w:hAnsi="Arial"/>
          <w:b/>
          <w:bCs/>
          <w:color w:val="00b4d8"/>
          <w:sz w:val="21"/>
          <w:szCs w:val="21"/>
        </w:rPr>
        <w:t xml:space="preserve">The Absolute Rule</w:t>
      </w:r>
    </w:p>
    <w:p>
      <w:pPr>
        <w:pBdr>
          <w:left w:val="single" w:color="00b4d8" w:sz="14" w:space="8"/>
        </w:pBdr>
        <w:spacing w:before="60" w:after="60"/>
        <w:ind w:left="300"/>
      </w:pPr>
      <w:r>
        <w:rPr>
          <w:rFonts w:ascii="Arial" w:cs="Arial" w:eastAsia="Arial" w:hAnsi="Arial"/>
          <w:i/>
          <w:iCs/>
          <w:color w:val="0077b6"/>
          <w:sz w:val="17"/>
          <w:szCs w:val="17"/>
        </w:rPr>
        <w:t xml:space="preserve">No requirement is built before all of its dependencies are complete. The sequence below is mathematically correct based on the dependency map in GEN-43. Never deviate from this order.</w:t>
      </w:r>
    </w:p>
    <w:p>
      <w:pPr>
        <w:spacing w:after="80"/>
      </w:pPr>
      <w:r>
        <w:t xml:space="preserve"/>
      </w:r>
    </w:p>
    <w:p>
      <w:pPr>
        <w:spacing w:before="140" w:after="60"/>
      </w:pPr>
      <w:r>
        <w:rPr>
          <w:rFonts w:ascii="Arial" w:cs="Arial" w:eastAsia="Arial" w:hAnsi="Arial"/>
          <w:b/>
          <w:bCs/>
          <w:color w:val="00b4d8"/>
          <w:sz w:val="21"/>
          <w:szCs w:val="21"/>
        </w:rPr>
        <w:t xml:space="preserve">Level 1 — Core Infrastructure (Build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Step 1 — GEN-10</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Authentication and Security. Build this first. Nothing else is accessible without auth. Railway environment variables set before any code runs.</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Step 2 — GEN-09</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Output Storage System. Build storage before anything tries to save data.</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Step 3 — GEN-08</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Persistent Session Manager. Depends on GEN-09 storage.</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Step 4 — GEN-07</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Streaming Progress Server. Depends on GEN-08 session management.</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Step 5 — GEN-01</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Fleet Knowledge Base. Core data store. Depends on GEN-09.</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Step 6 — GEN-02</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Strategy Deduplication Database. Depends on GEN-01.</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Step 7 — GEN-03</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Requirement Registry. Depends on GEN-01.</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Step 8 — GEN-04</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TITAN FORGE Standards Checker. Depends on GEN-01 and GEN-03.</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Step 9 — GEN-05</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Live Web Research Engine. Depends on GEN-07 streaming.</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Step 10 — GEN-06</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Parallel Research Orchestrator. Depends on GEN-05.</w:t>
            </w:r>
          </w:p>
        </w:tc>
      </w:tr>
      <w:tr>
        <w:tc>
          <w:tcPr>
            <w:tcW w:type="dxa" w:w="300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b/>
                <w:bCs/>
                <w:sz w:val="17"/>
                <w:szCs w:val="17"/>
              </w:rPr>
              <w:t xml:space="preserve">GATE: Level 1 Complete</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All 10 requirements passing unit tests, edge case tests, and conflict case tests before Level 2 begins. Auth confirmed. Storage confirmed. Streaming confirmed. Research confirmed.</w:t>
            </w:r>
          </w:p>
        </w:tc>
      </w:tr>
    </w:tbl>
    <w:p>
      <w:pPr>
        <w:spacing w:after="80"/>
      </w:pPr>
      <w:r>
        <w:t xml:space="preserve"/>
      </w:r>
    </w:p>
    <w:p>
      <w:pPr>
        <w:spacing w:before="140" w:after="60"/>
      </w:pPr>
      <w:r>
        <w:rPr>
          <w:rFonts w:ascii="Arial" w:cs="Arial" w:eastAsia="Arial" w:hAnsi="Arial"/>
          <w:b/>
          <w:bCs/>
          <w:color w:val="00b4d8"/>
          <w:sz w:val="21"/>
          <w:szCs w:val="21"/>
        </w:rPr>
        <w:t xml:space="preserve">Level 2 — Research Intelligence (Requires Level 1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Step 11 — GEN-11</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Four Depth Level Research Engine. Depends on GEN-05 and GEN-06.</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Step 12 — GEN-12</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Win Rate Verification Filter. Depends on GEN-11.</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Step 13 — GEN-13</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Structural Edge Classifier. Depends on GEN-11.</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Step 14 — GEN-14 to GEN-16</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Regime, Session, and Instrument Coverage Trackers. All depend on GEN-13.</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Step 15 — GEN-17 to GEN-18</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Data Source Intelligence and Prop Firm Compatibility Matrix. Depend on GEN-14 through GEN-16.</w:t>
            </w:r>
          </w:p>
        </w:tc>
      </w:tr>
      <w:tr>
        <w:tc>
          <w:tcPr>
            <w:tcW w:type="dxa" w:w="300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b/>
                <w:bCs/>
                <w:sz w:val="17"/>
                <w:szCs w:val="17"/>
              </w:rPr>
              <w:t xml:space="preserve">GATE: Level 2 Complete</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Research engine produces structured findings for a test mission. Regime and session coverage tracking confirmed. Win rate verification confirmed active.</w:t>
            </w:r>
          </w:p>
        </w:tc>
      </w:tr>
    </w:tbl>
    <w:p>
      <w:pPr>
        <w:spacing w:after="80"/>
      </w:pPr>
      <w:r>
        <w:t xml:space="preserve"/>
      </w:r>
    </w:p>
    <w:p>
      <w:pPr>
        <w:spacing w:before="140" w:after="60"/>
      </w:pPr>
      <w:r>
        <w:rPr>
          <w:rFonts w:ascii="Arial" w:cs="Arial" w:eastAsia="Arial" w:hAnsi="Arial"/>
          <w:b/>
          <w:bCs/>
          <w:color w:val="00b4d8"/>
          <w:sz w:val="21"/>
          <w:szCs w:val="21"/>
        </w:rPr>
        <w:t xml:space="preserve">Level 3 — Build Intelligence (Requires Level 2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Step 16 — GEN-19</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Strategy Builder. Depends on GEN-11 through GEN-18 and GEN-02 deduplication.</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Step 17 — GEN-20</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Requirement Builder. Depends on GEN-03 registry and GEN-19.</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Step 18 — GEN-21 to GEN-22</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Clash Detection and Danger Detection Engines. Depend on GEN-19 and GEN-20.</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Step 19 — GEN-23</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Fix Generator. Depends on GEN-21 and GEN-22.</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Step 20 — GEN-24 to GEN-26</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Kelly Validator, Probability Improvement Generator, Capital Projection Model. All depend on GEN-19 and GEN-20.</w:t>
            </w:r>
          </w:p>
        </w:tc>
      </w:tr>
      <w:tr>
        <w:tc>
          <w:tcPr>
            <w:tcW w:type="dxa" w:w="300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b/>
                <w:bCs/>
                <w:sz w:val="17"/>
                <w:szCs w:val="17"/>
              </w:rPr>
              <w:t xml:space="preserve">GATE: Level 3 Complete</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Full test mission produces complete strategy list, requirement list, clash report, fix report, and capital projections.</w:t>
            </w:r>
          </w:p>
        </w:tc>
      </w:tr>
    </w:tbl>
    <w:p>
      <w:pPr>
        <w:spacing w:after="80"/>
      </w:pPr>
      <w:r>
        <w:t xml:space="preserve"/>
      </w:r>
    </w:p>
    <w:p>
      <w:pPr>
        <w:spacing w:before="140" w:after="60"/>
      </w:pPr>
      <w:r>
        <w:rPr>
          <w:rFonts w:ascii="Arial" w:cs="Arial" w:eastAsia="Arial" w:hAnsi="Arial"/>
          <w:b/>
          <w:bCs/>
          <w:color w:val="00b4d8"/>
          <w:sz w:val="21"/>
          <w:szCs w:val="21"/>
        </w:rPr>
        <w:t xml:space="preserve">Level 4 — Quality Assurance and Output (Requires Level 3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Step 21 — GEN-27</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Multi-Pass Audit Engine. Depends on GEN-21 through GEN-26.</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Step 22 — GEN-28 to GEN-30</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TITAN FORGE Benchmark, Handoff Verifier, Quality Scorer. Depend on GEN-27.</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Step 23 — GEN-31 to GEN-32</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Master Handoff Generator and Simulation JSON Export. Depend on GEN-28 through GEN-30.</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Step 24 — GEN-33 to GEN-35</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Batch Mode, Delivery System, Intelligence Brief. Depend on GEN-31.</w:t>
            </w:r>
          </w:p>
        </w:tc>
      </w:tr>
      <w:tr>
        <w:tc>
          <w:tcPr>
            <w:tcW w:type="dxa" w:w="300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b/>
                <w:bCs/>
                <w:sz w:val="17"/>
                <w:szCs w:val="17"/>
              </w:rPr>
              <w:t xml:space="preserve">GATE: Level 4 Complete</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Full test mission produces complete master handoff passing TITAN FORGE benchmark with quality score above 85. Delivery confirmed. Brief generation confirmed.</w:t>
            </w:r>
          </w:p>
        </w:tc>
      </w:tr>
    </w:tbl>
    <w:p>
      <w:pPr>
        <w:spacing w:after="80"/>
      </w:pPr>
      <w:r>
        <w:t xml:space="preserve"/>
      </w:r>
    </w:p>
    <w:p>
      <w:pPr>
        <w:spacing w:before="140" w:after="60"/>
      </w:pPr>
      <w:r>
        <w:rPr>
          <w:rFonts w:ascii="Arial" w:cs="Arial" w:eastAsia="Arial" w:hAnsi="Arial"/>
          <w:b/>
          <w:bCs/>
          <w:color w:val="00b4d8"/>
          <w:sz w:val="21"/>
          <w:szCs w:val="21"/>
        </w:rPr>
        <w:t xml:space="preserve">Levels 5 through 8 — Advanced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Level 5 build (GEN-36 to GEN-60)</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Build in numerical order. Each has dependencies on Level 4 being complete and on the specific requirements listed in GEN-43 Dependency Mapper. Run GEN-43 first to generate the precise Level 5 build sequence for your specific implementation.</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Level 6 build (GEN-61 to GEN-83)</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Depends on Level 5 complete. GEN-61 Quantum Strategy Synthesis cannot run until GEN-19 Strategy Builder, GEN-39 Failure Mode Library, GEN-45 Anti-Overfitting Guard, and GEN-46 Execution Feasibility Check are all operational.</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Level 7 build (GEN-84 to GEN-100)</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Depends on Level 6 complete AND on at least one live TITAN generating performance data for GEN-93 Performance DNA Database. Do not build Level 7 until TITAN STOCK or TITAN FORGE is live.</w:t>
            </w:r>
          </w:p>
        </w:tc>
      </w:tr>
      <w:tr>
        <w:tc>
          <w:tcPr>
            <w:tcW w:type="dxa" w:w="3000"/>
            <w:tcBorders>
              <w:top w:val="single" w:color="CCCCCC" w:sz="1"/>
              <w:left w:val="single" w:color="CCCCCC" w:sz="1"/>
              <w:bottom w:val="single" w:color="CCCCCC" w:sz="1"/>
              <w:right w:val="single" w:color="CCCCCC" w:sz="1"/>
            </w:tcBorders>
            <w:shd w:fill="fce4e4" w:val="clear"/>
            <w:tcMar>
              <w:top w:type="dxa" w:w="65"/>
              <w:left w:type="dxa" w:w="100"/>
              <w:bottom w:type="dxa" w:w="65"/>
              <w:right w:type="dxa" w:w="100"/>
            </w:tcMar>
          </w:tcPr>
          <w:p>
            <w:r>
              <w:rPr>
                <w:rFonts w:ascii="Arial" w:cs="Arial" w:eastAsia="Arial" w:hAnsi="Arial"/>
                <w:b/>
                <w:bCs/>
                <w:sz w:val="17"/>
                <w:szCs w:val="17"/>
              </w:rPr>
              <w:t xml:space="preserve">Level 8 build (GEN-101 to GEN-128)</w:t>
            </w:r>
          </w:p>
        </w:tc>
        <w:tc>
          <w:tcPr>
            <w:tcW w:type="dxa" w:w="6360"/>
            <w:tcBorders>
              <w:top w:val="single" w:color="CCCCCC" w:sz="1"/>
              <w:left w:val="single" w:color="CCCCCC" w:sz="1"/>
              <w:bottom w:val="single" w:color="CCCCCC" w:sz="1"/>
              <w:right w:val="single" w:color="CCCCCC" w:sz="1"/>
            </w:tcBorders>
            <w:shd w:fill="fce4e4" w:val="clear"/>
            <w:tcMar>
              <w:top w:type="dxa" w:w="65"/>
              <w:left w:type="dxa" w:w="100"/>
              <w:bottom w:type="dxa" w:w="65"/>
              <w:right w:type="dxa" w:w="100"/>
            </w:tcMar>
          </w:tcPr>
          <w:p>
            <w:r>
              <w:rPr>
                <w:rFonts w:ascii="Arial" w:cs="Arial" w:eastAsia="Arial" w:hAnsi="Arial"/>
                <w:sz w:val="17"/>
                <w:szCs w:val="17"/>
              </w:rPr>
              <w:t xml:space="preserve">Depends on Level 7 complete AND on Performance DNA Database containing at least 1,000 trades. GEN-101 through GEN-110 are reasoning capabilities that require calibration data. Build GEN-121 through GEN-128 (the safety and control requirements) in Level 4 alongside GEN-27 through GEN-35 — not in Level 8 as their numbering suggests.</w:t>
            </w:r>
          </w:p>
        </w:tc>
      </w:tr>
    </w:tbl>
    <w:p>
      <w:pPr>
        <w:pBdr>
          <w:left w:val="single" w:color="00b4d8" w:sz="14" w:space="8"/>
        </w:pBdr>
        <w:spacing w:before="60" w:after="60"/>
        <w:ind w:left="300"/>
      </w:pPr>
      <w:r>
        <w:rPr>
          <w:rFonts w:ascii="Arial" w:cs="Arial" w:eastAsia="Arial" w:hAnsi="Arial"/>
          <w:i/>
          <w:iCs/>
          <w:color w:val="0077b6"/>
          <w:sz w:val="17"/>
          <w:szCs w:val="17"/>
        </w:rPr>
        <w:t xml:space="preserve">GEN-121 through GEN-128 are numbered in Level 8 for specification organization but MUST be built in Level 4 alongside the quality assurance requirements. Safety and control capabilities cannot wait until Level 8. They are prerequisites for all autonomous operations.</w:t>
      </w:r>
    </w:p>
    <w:p>
      <w:pPr>
        <w:spacing w:after="100"/>
      </w:pPr>
      <w:r>
        <w:t xml:space="preserve"/>
      </w:r>
    </w:p>
    <w:p>
      <w:r>
        <w:br w:type="page"/>
      </w:r>
    </w:p>
    <w:p>
      <w:pPr>
        <w:pStyle w:val="Heading1"/>
        <w:spacing w:before="280" w:after="120"/>
      </w:pPr>
      <w:r>
        <w:rPr>
          <w:rFonts w:ascii="Arial" w:cs="Arial" w:eastAsia="Arial" w:hAnsi="Arial"/>
          <w:b/>
          <w:bCs/>
          <w:color w:val="0a1628"/>
          <w:sz w:val="34"/>
          <w:szCs w:val="34"/>
        </w:rPr>
        <w:t xml:space="preserve">SECTION 3 — COMPLETE REQUIREMENTS (128 TOTAL)</w:t>
      </w:r>
    </w:p>
    <w:p>
      <w:pPr>
        <w:spacing w:after="80"/>
      </w:pPr>
      <w:r>
        <w:rPr>
          <w:rFonts w:ascii="Arial" w:cs="Arial" w:eastAsia="Arial" w:hAnsi="Arial"/>
          <w:color w:val="0a1628"/>
          <w:sz w:val="18"/>
          <w:szCs w:val="18"/>
        </w:rPr>
        <w:t xml:space="preserve">GEN-01 through GEN-120 are unchanged from v1 except where specific requirements have been updated to embed audit resolutions. Changed requirements are marked with [v2 UPDATED]. New requirements GEN-121 through GEN-128 are additions that close the gaps identified in the v1 audit.</w:t>
      </w:r>
    </w:p>
    <w:p>
      <w:pPr>
        <w:spacing w:after="60"/>
      </w:pPr>
      <w:r>
        <w:t xml:space="preserve"/>
      </w:r>
    </w:p>
    <w:p>
      <w:pPr>
        <w:pStyle w:val="Heading2"/>
        <w:spacing w:before="200" w:after="100"/>
      </w:pPr>
      <w:r>
        <w:rPr>
          <w:rFonts w:ascii="Arial" w:cs="Arial" w:eastAsia="Arial" w:hAnsi="Arial"/>
          <w:b/>
          <w:bCs/>
          <w:color w:val="0f3460"/>
          <w:sz w:val="26"/>
          <w:szCs w:val="26"/>
        </w:rPr>
        <w:t xml:space="preserve">LEVELS 1 THROUGH 8 — GEN-01 TO GEN-120</w:t>
      </w:r>
    </w:p>
    <w:p>
      <w:pPr>
        <w:spacing w:after="80"/>
      </w:pPr>
      <w:r>
        <w:rPr>
          <w:rFonts w:ascii="Arial" w:cs="Arial" w:eastAsia="Arial" w:hAnsi="Arial"/>
          <w:color w:val="0a1628"/>
          <w:sz w:val="18"/>
          <w:szCs w:val="18"/>
        </w:rPr>
        <w:t xml:space="preserve">All 120 requirements from v1 are retained. The following have been updated to embed v1 audit resolutions directly:</w:t>
      </w:r>
    </w:p>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8e1" w:val="clear"/>
            <w:tcMar>
              <w:top w:type="dxa" w:w="65"/>
              <w:left w:type="dxa" w:w="100"/>
              <w:bottom w:type="dxa" w:w="65"/>
              <w:right w:type="dxa" w:w="100"/>
            </w:tcMar>
          </w:tcPr>
          <w:p>
            <w:r>
              <w:rPr>
                <w:rFonts w:ascii="Arial" w:cs="Arial" w:eastAsia="Arial" w:hAnsi="Arial"/>
                <w:b/>
                <w:bCs/>
                <w:sz w:val="17"/>
                <w:szCs w:val="17"/>
              </w:rPr>
              <w:t xml:space="preserve">GEN-02 [v2 UPDATED]</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Strategy Deduplication Database — now includes near-duplicate handling protocol. Near-duplicates sharing above 60% of structural mechanism description are flagged for human review not auto-rejected. True duplicates above 85% similarity are auto-rejected. Addresses v1 resolution error R-02.</w:t>
            </w:r>
          </w:p>
        </w:tc>
      </w:tr>
      <w:tr>
        <w:tc>
          <w:tcPr>
            <w:tcW w:type="dxa" w:w="3000"/>
            <w:tcBorders>
              <w:top w:val="single" w:color="CCCCCC" w:sz="1"/>
              <w:left w:val="single" w:color="CCCCCC" w:sz="1"/>
              <w:bottom w:val="single" w:color="CCCCCC" w:sz="1"/>
              <w:right w:val="single" w:color="CCCCCC" w:sz="1"/>
            </w:tcBorders>
            <w:shd w:fill="fff8e1" w:val="clear"/>
            <w:tcMar>
              <w:top w:type="dxa" w:w="65"/>
              <w:left w:type="dxa" w:w="100"/>
              <w:bottom w:type="dxa" w:w="65"/>
              <w:right w:type="dxa" w:w="100"/>
            </w:tcMar>
          </w:tcPr>
          <w:p>
            <w:r>
              <w:rPr>
                <w:rFonts w:ascii="Arial" w:cs="Arial" w:eastAsia="Arial" w:hAnsi="Arial"/>
                <w:b/>
                <w:bCs/>
                <w:sz w:val="17"/>
                <w:szCs w:val="17"/>
              </w:rPr>
              <w:t xml:space="preserve">GEN-05 [v2 UPDATED]</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Live Web Research Engine — now includes API cost controls. Maximum tokens per research call: 2,000. Maximum concurrent research streams: 4. Maximum API spend per Genesis Engine run: $5.00 hard limit. Monthly alert at $50 total usage. Addresses v1 warning A-03.</w:t>
            </w:r>
          </w:p>
        </w:tc>
      </w:tr>
      <w:tr>
        <w:tc>
          <w:tcPr>
            <w:tcW w:type="dxa" w:w="3000"/>
            <w:tcBorders>
              <w:top w:val="single" w:color="CCCCCC" w:sz="1"/>
              <w:left w:val="single" w:color="CCCCCC" w:sz="1"/>
              <w:bottom w:val="single" w:color="CCCCCC" w:sz="1"/>
              <w:right w:val="single" w:color="CCCCCC" w:sz="1"/>
            </w:tcBorders>
            <w:shd w:fill="fff8e1" w:val="clear"/>
            <w:tcMar>
              <w:top w:type="dxa" w:w="65"/>
              <w:left w:type="dxa" w:w="100"/>
              <w:bottom w:type="dxa" w:w="65"/>
              <w:right w:type="dxa" w:w="100"/>
            </w:tcMar>
          </w:tcPr>
          <w:p>
            <w:r>
              <w:rPr>
                <w:rFonts w:ascii="Arial" w:cs="Arial" w:eastAsia="Arial" w:hAnsi="Arial"/>
                <w:b/>
                <w:bCs/>
                <w:sz w:val="17"/>
                <w:szCs w:val="17"/>
              </w:rPr>
              <w:t xml:space="preserve">GEN-07 [v2 UPDATED]</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Streaming Progress Server — now includes SSE reconnection specification. Reconnection with Last-Event-ID header. Client auto-reconnects within 3 seconds. Server replays last 50 events on reconnect. If server unreachable after 30 seconds shows cached state with reconnecting indicator. Addresses v1 warning A-04.</w:t>
            </w:r>
          </w:p>
        </w:tc>
      </w:tr>
      <w:tr>
        <w:tc>
          <w:tcPr>
            <w:tcW w:type="dxa" w:w="3000"/>
            <w:tcBorders>
              <w:top w:val="single" w:color="CCCCCC" w:sz="1"/>
              <w:left w:val="single" w:color="CCCCCC" w:sz="1"/>
              <w:bottom w:val="single" w:color="CCCCCC" w:sz="1"/>
              <w:right w:val="single" w:color="CCCCCC" w:sz="1"/>
            </w:tcBorders>
            <w:shd w:fill="fff8e1" w:val="clear"/>
            <w:tcMar>
              <w:top w:type="dxa" w:w="65"/>
              <w:left w:type="dxa" w:w="100"/>
              <w:bottom w:type="dxa" w:w="65"/>
              <w:right w:type="dxa" w:w="100"/>
            </w:tcMar>
          </w:tcPr>
          <w:p>
            <w:r>
              <w:rPr>
                <w:rFonts w:ascii="Arial" w:cs="Arial" w:eastAsia="Arial" w:hAnsi="Arial"/>
                <w:b/>
                <w:bCs/>
                <w:sz w:val="17"/>
                <w:szCs w:val="17"/>
              </w:rPr>
              <w:t xml:space="preserve">GEN-08 [v2 UPDATED]</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Persistent Session Manager — now includes session expiry and mid-execution interruption handling. Session data expires after 7 days of inactivity. Completed sessions expire after 30 days. Interrupted autonomous operations are cleared on server restart with Jorge notification. Addresses v1 warnings A-05 and missing finding M-03.</w:t>
            </w:r>
          </w:p>
        </w:tc>
      </w:tr>
      <w:tr>
        <w:tc>
          <w:tcPr>
            <w:tcW w:type="dxa" w:w="3000"/>
            <w:tcBorders>
              <w:top w:val="single" w:color="CCCCCC" w:sz="1"/>
              <w:left w:val="single" w:color="CCCCCC" w:sz="1"/>
              <w:bottom w:val="single" w:color="CCCCCC" w:sz="1"/>
              <w:right w:val="single" w:color="CCCCCC" w:sz="1"/>
            </w:tcBorders>
            <w:shd w:fill="fff8e1" w:val="clear"/>
            <w:tcMar>
              <w:top w:type="dxa" w:w="65"/>
              <w:left w:type="dxa" w:w="100"/>
              <w:bottom w:type="dxa" w:w="65"/>
              <w:right w:type="dxa" w:w="100"/>
            </w:tcMar>
          </w:tcPr>
          <w:p>
            <w:r>
              <w:rPr>
                <w:rFonts w:ascii="Arial" w:cs="Arial" w:eastAsia="Arial" w:hAnsi="Arial"/>
                <w:b/>
                <w:bCs/>
                <w:sz w:val="17"/>
                <w:szCs w:val="17"/>
              </w:rPr>
              <w:t xml:space="preserve">GEN-33 [v2 UPDATED]</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Multiple TITAN Batch Mode — now includes strategy shortage handling. If all primary strategies claimed by other TITANs in batch: (1) Search adjacent instrument classes, (2) Search different sophistication levels, (3) After 2 additional research loops flag to user with best available options including some overlap with notation. Addresses v1 warning A-06.</w:t>
            </w:r>
          </w:p>
        </w:tc>
      </w:tr>
      <w:tr>
        <w:tc>
          <w:tcPr>
            <w:tcW w:type="dxa" w:w="3000"/>
            <w:tcBorders>
              <w:top w:val="single" w:color="CCCCCC" w:sz="1"/>
              <w:left w:val="single" w:color="CCCCCC" w:sz="1"/>
              <w:bottom w:val="single" w:color="CCCCCC" w:sz="1"/>
              <w:right w:val="single" w:color="CCCCCC" w:sz="1"/>
            </w:tcBorders>
            <w:shd w:fill="fff8e1" w:val="clear"/>
            <w:tcMar>
              <w:top w:type="dxa" w:w="65"/>
              <w:left w:type="dxa" w:w="100"/>
              <w:bottom w:type="dxa" w:w="65"/>
              <w:right w:type="dxa" w:w="100"/>
            </w:tcMar>
          </w:tcPr>
          <w:p>
            <w:r>
              <w:rPr>
                <w:rFonts w:ascii="Arial" w:cs="Arial" w:eastAsia="Arial" w:hAnsi="Arial"/>
                <w:b/>
                <w:bCs/>
                <w:sz w:val="17"/>
                <w:szCs w:val="17"/>
              </w:rPr>
              <w:t xml:space="preserve">GEN-67 [v2 UPDATED]</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Dynamic Edge Scoring Engine — now includes data maturity awareness. When GEN-63 is immature: 15% confidence penalty on edge score. When GEN-64 is immature: 10% confidence penalty. Scores display with 'Estimated — inputs maturing' flag when inputs are immature. Addresses v1 warning B-04.</w:t>
            </w:r>
          </w:p>
        </w:tc>
      </w:tr>
      <w:tr>
        <w:tc>
          <w:tcPr>
            <w:tcW w:type="dxa" w:w="3000"/>
            <w:tcBorders>
              <w:top w:val="single" w:color="CCCCCC" w:sz="1"/>
              <w:left w:val="single" w:color="CCCCCC" w:sz="1"/>
              <w:bottom w:val="single" w:color="CCCCCC" w:sz="1"/>
              <w:right w:val="single" w:color="CCCCCC" w:sz="1"/>
            </w:tcBorders>
            <w:shd w:fill="fff8e1" w:val="clear"/>
            <w:tcMar>
              <w:top w:type="dxa" w:w="65"/>
              <w:left w:type="dxa" w:w="100"/>
              <w:bottom w:type="dxa" w:w="65"/>
              <w:right w:type="dxa" w:w="100"/>
            </w:tcMar>
          </w:tcPr>
          <w:p>
            <w:r>
              <w:rPr>
                <w:rFonts w:ascii="Arial" w:cs="Arial" w:eastAsia="Arial" w:hAnsi="Arial"/>
                <w:b/>
                <w:bCs/>
                <w:sz w:val="17"/>
                <w:szCs w:val="17"/>
              </w:rPr>
              <w:t xml:space="preserve">GEN-80 [v2 UPDATED]</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Genesis Engine Consciousness Layer — now explicitly limits self-modification scope. Cannot modify ethical constraints, human approval checkpoints, autonomous chain break rule, or capital risk management rules. Audit sensitivity threshold adjustable by maximum 10 percentage points only. All adjustments logged. Addresses v1 informational finding B-09.</w:t>
            </w:r>
          </w:p>
        </w:tc>
      </w:tr>
      <w:tr>
        <w:tc>
          <w:tcPr>
            <w:tcW w:type="dxa" w:w="3000"/>
            <w:tcBorders>
              <w:top w:val="single" w:color="CCCCCC" w:sz="1"/>
              <w:left w:val="single" w:color="CCCCCC" w:sz="1"/>
              <w:bottom w:val="single" w:color="CCCCCC" w:sz="1"/>
              <w:right w:val="single" w:color="CCCCCC" w:sz="1"/>
            </w:tcBorders>
            <w:shd w:fill="fff8e1" w:val="clear"/>
            <w:tcMar>
              <w:top w:type="dxa" w:w="65"/>
              <w:left w:type="dxa" w:w="100"/>
              <w:bottom w:type="dxa" w:w="65"/>
              <w:right w:type="dxa" w:w="100"/>
            </w:tcMar>
          </w:tcPr>
          <w:p>
            <w:r>
              <w:rPr>
                <w:rFonts w:ascii="Arial" w:cs="Arial" w:eastAsia="Arial" w:hAnsi="Arial"/>
                <w:b/>
                <w:bCs/>
                <w:sz w:val="17"/>
                <w:szCs w:val="17"/>
              </w:rPr>
              <w:t xml:space="preserve">GEN-87 [v2 UPDATED]</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Autonomous Rebalancing — now includes corrected risk response timing. Risk management autonomous actions triggered by market events have a 2-hour response window not 24 hours. If Jorge does not respond within 2 hours the conservative action executes automatically. Addresses v1 resolution error R-01.</w:t>
            </w:r>
          </w:p>
        </w:tc>
      </w:tr>
      <w:tr>
        <w:tc>
          <w:tcPr>
            <w:tcW w:type="dxa" w:w="3000"/>
            <w:tcBorders>
              <w:top w:val="single" w:color="CCCCCC" w:sz="1"/>
              <w:left w:val="single" w:color="CCCCCC" w:sz="1"/>
              <w:bottom w:val="single" w:color="CCCCCC" w:sz="1"/>
              <w:right w:val="single" w:color="CCCCCC" w:sz="1"/>
            </w:tcBorders>
            <w:shd w:fill="fff8e1" w:val="clear"/>
            <w:tcMar>
              <w:top w:type="dxa" w:w="65"/>
              <w:left w:type="dxa" w:w="100"/>
              <w:bottom w:type="dxa" w:w="65"/>
              <w:right w:type="dxa" w:w="100"/>
            </w:tcMar>
          </w:tcPr>
          <w:p>
            <w:r>
              <w:rPr>
                <w:rFonts w:ascii="Arial" w:cs="Arial" w:eastAsia="Arial" w:hAnsi="Arial"/>
                <w:b/>
                <w:bCs/>
                <w:sz w:val="17"/>
                <w:szCs w:val="17"/>
              </w:rPr>
              <w:t xml:space="preserve">GEN-99 + GEN-26 [v2 UPDATED]</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Wealth Trajectory Model and Capital Projection Model — now include clear labeling protocol. GEN-99 displays as 'Live Projection (actual performance adjusted)'. GEN-26 displays as 'Design Baseline (original spec estimate)'. Side-by-side in wealth dashboard with variance explanation when diverging more than 15%. Addresses v1 warning B-06.</w:t>
            </w:r>
          </w:p>
        </w:tc>
      </w:tr>
      <w:tr>
        <w:tc>
          <w:tcPr>
            <w:tcW w:type="dxa" w:w="3000"/>
            <w:tcBorders>
              <w:top w:val="single" w:color="CCCCCC" w:sz="1"/>
              <w:left w:val="single" w:color="CCCCCC" w:sz="1"/>
              <w:bottom w:val="single" w:color="CCCCCC" w:sz="1"/>
              <w:right w:val="single" w:color="CCCCCC" w:sz="1"/>
            </w:tcBorders>
            <w:shd w:fill="fff8e1" w:val="clear"/>
            <w:tcMar>
              <w:top w:type="dxa" w:w="65"/>
              <w:left w:type="dxa" w:w="100"/>
              <w:bottom w:type="dxa" w:w="65"/>
              <w:right w:type="dxa" w:w="100"/>
            </w:tcMar>
          </w:tcPr>
          <w:p>
            <w:r>
              <w:rPr>
                <w:rFonts w:ascii="Arial" w:cs="Arial" w:eastAsia="Arial" w:hAnsi="Arial"/>
                <w:b/>
                <w:bCs/>
                <w:sz w:val="17"/>
                <w:szCs w:val="17"/>
              </w:rPr>
              <w:t xml:space="preserve">GEN-101 priority over GEN-104 [v2 UPDATED]</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Causal Market Reasoning takes explicit priority over Narrative Intelligence when they conflict. When GEN-101 and GEN-104 diverge by more than one directional signal the conflict is flagged in morning brief with specific reasoning from each system. Jorge makes final call. Addresses v1 warning B-08.</w:t>
            </w:r>
          </w:p>
        </w:tc>
      </w:tr>
      <w:tr>
        <w:tc>
          <w:tcPr>
            <w:tcW w:type="dxa" w:w="3000"/>
            <w:tcBorders>
              <w:top w:val="single" w:color="CCCCCC" w:sz="1"/>
              <w:left w:val="single" w:color="CCCCCC" w:sz="1"/>
              <w:bottom w:val="single" w:color="CCCCCC" w:sz="1"/>
              <w:right w:val="single" w:color="CCCCCC" w:sz="1"/>
            </w:tcBorders>
            <w:shd w:fill="fff8e1" w:val="clear"/>
            <w:tcMar>
              <w:top w:type="dxa" w:w="65"/>
              <w:left w:type="dxa" w:w="100"/>
              <w:bottom w:type="dxa" w:w="65"/>
              <w:right w:type="dxa" w:w="100"/>
            </w:tcMar>
          </w:tcPr>
          <w:p>
            <w:r>
              <w:rPr>
                <w:rFonts w:ascii="Arial" w:cs="Arial" w:eastAsia="Arial" w:hAnsi="Arial"/>
                <w:b/>
                <w:bCs/>
                <w:sz w:val="17"/>
                <w:szCs w:val="17"/>
              </w:rPr>
              <w:t xml:space="preserve">GEN-108 priority over GEN-65 [v2 UPDATED]</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When both Black Swan Early Warning and Regime Change Early Warning trigger simultaneously on overlapping indicators: GEN-108 takes precedence. Regime transition protocol suspended until black swan preconditions clear. Addresses v1 informational finding B-10.</w:t>
            </w:r>
          </w:p>
        </w:tc>
      </w:tr>
      <w:tr>
        <w:tc>
          <w:tcPr>
            <w:tcW w:type="dxa" w:w="3000"/>
            <w:tcBorders>
              <w:top w:val="single" w:color="CCCCCC" w:sz="1"/>
              <w:left w:val="single" w:color="CCCCCC" w:sz="1"/>
              <w:bottom w:val="single" w:color="CCCCCC" w:sz="1"/>
              <w:right w:val="single" w:color="CCCCCC" w:sz="1"/>
            </w:tcBorders>
            <w:shd w:fill="fff8e1" w:val="clear"/>
            <w:tcMar>
              <w:top w:type="dxa" w:w="65"/>
              <w:left w:type="dxa" w:w="100"/>
              <w:bottom w:type="dxa" w:w="65"/>
              <w:right w:type="dxa" w:w="100"/>
            </w:tcMar>
          </w:tcPr>
          <w:p>
            <w:r>
              <w:rPr>
                <w:rFonts w:ascii="Arial" w:cs="Arial" w:eastAsia="Arial" w:hAnsi="Arial"/>
                <w:b/>
                <w:bCs/>
                <w:sz w:val="17"/>
                <w:szCs w:val="17"/>
              </w:rPr>
              <w:t xml:space="preserve">GEN-114 vs GEN-119 [v2 UPDATED]</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Ethical Constraint Engine is a blocking pre-execution gate. Wisdom Layer is advisory. GEN-114 blocks. GEN-119 advises. When they conflict GEN-114 takes precedence. GEN-114 runs before any autonomous action executes. Not a post-hoc review. Addresses v1 informational finding C-06.</w:t>
            </w:r>
          </w:p>
        </w:tc>
      </w:tr>
      <w:tr>
        <w:tc>
          <w:tcPr>
            <w:tcW w:type="dxa" w:w="3000"/>
            <w:tcBorders>
              <w:top w:val="single" w:color="CCCCCC" w:sz="1"/>
              <w:left w:val="single" w:color="CCCCCC" w:sz="1"/>
              <w:bottom w:val="single" w:color="CCCCCC" w:sz="1"/>
              <w:right w:val="single" w:color="CCCCCC" w:sz="1"/>
            </w:tcBorders>
            <w:shd w:fill="fff8e1" w:val="clear"/>
            <w:tcMar>
              <w:top w:type="dxa" w:w="65"/>
              <w:left w:type="dxa" w:w="100"/>
              <w:bottom w:type="dxa" w:w="65"/>
              <w:right w:type="dxa" w:w="100"/>
            </w:tcMar>
          </w:tcPr>
          <w:p>
            <w:r>
              <w:rPr>
                <w:rFonts w:ascii="Arial" w:cs="Arial" w:eastAsia="Arial" w:hAnsi="Arial"/>
                <w:b/>
                <w:bCs/>
                <w:sz w:val="17"/>
                <w:szCs w:val="17"/>
              </w:rPr>
              <w:t xml:space="preserve">GEN-117 [v2 UPDATED]</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Collective Intelligence Network — now runs sequentially by default with explicit consensus protocol. Weighted votes by domain relevance. Any instance with above 20% domain weight raising a CRITICAL objection creates mandatory human review regardless of consensus. See GEN-122 for cost model. Addresses v1 warning B-07.</w:t>
            </w:r>
          </w:p>
        </w:tc>
      </w:tr>
      <w:tr>
        <w:tc>
          <w:tcPr>
            <w:tcW w:type="dxa" w:w="3000"/>
            <w:tcBorders>
              <w:top w:val="single" w:color="CCCCCC" w:sz="1"/>
              <w:left w:val="single" w:color="CCCCCC" w:sz="1"/>
              <w:bottom w:val="single" w:color="CCCCCC" w:sz="1"/>
              <w:right w:val="single" w:color="CCCCCC" w:sz="1"/>
            </w:tcBorders>
            <w:shd w:fill="fff8e1" w:val="clear"/>
            <w:tcMar>
              <w:top w:type="dxa" w:w="65"/>
              <w:left w:type="dxa" w:w="100"/>
              <w:bottom w:type="dxa" w:w="65"/>
              <w:right w:type="dxa" w:w="100"/>
            </w:tcMar>
          </w:tcPr>
          <w:p>
            <w:r>
              <w:rPr>
                <w:rFonts w:ascii="Arial" w:cs="Arial" w:eastAsia="Arial" w:hAnsi="Arial"/>
                <w:b/>
                <w:bCs/>
                <w:sz w:val="17"/>
                <w:szCs w:val="17"/>
              </w:rPr>
              <w:t xml:space="preserve">GEN-120 [v2 UPDATED]</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Genesis Protocol — now explicitly funded from Reserve bucket (20% of treasury). Maximum 50% of Reserve bucket per month for Genesis Engine improvements. Exceeding cap requires Jorge's explicit approval. Received-only rule applies. GEN-113 financial goals always take priority over GEN-120 self-improvement. GEN-113 operates non-Reserve buckets. GEN-120 operates Reserve bucket only. No conflict possible. Addresses v1 informational findings A-08 and C-08.</w:t>
            </w:r>
          </w:p>
        </w:tc>
      </w:tr>
    </w:tbl>
    <w:p>
      <w:pPr>
        <w:spacing w:after="80"/>
      </w:pPr>
      <w:r>
        <w:t xml:space="preserve"/>
      </w:r>
    </w:p>
    <w:p>
      <w:pPr>
        <w:pStyle w:val="Heading2"/>
        <w:spacing w:before="200" w:after="100"/>
      </w:pPr>
      <w:r>
        <w:rPr>
          <w:rFonts w:ascii="Arial" w:cs="Arial" w:eastAsia="Arial" w:hAnsi="Arial"/>
          <w:b/>
          <w:bCs/>
          <w:color w:val="1a7a3c"/>
          <w:sz w:val="26"/>
          <w:szCs w:val="26"/>
        </w:rPr>
        <w:t xml:space="preserve">NEW REQUIREMENTS — GEN-121 TO GEN-128 (Level 8 Numbered — Level 4 Build Priority)</w:t>
      </w:r>
    </w:p>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300"/>
        <w:gridCol w:w="5540"/>
        <w:gridCol w:w="800"/>
      </w:tblGrid>
      <w:tr>
        <w:tc>
          <w:tcPr>
            <w:tcW w:type="dxa" w:w="720"/>
            <w:tcBorders>
              <w:top w:val="single" w:color="0f3460" w:sz="3"/>
              <w:left w:val="single" w:color="0f3460" w:sz="3"/>
              <w:bottom w:val="single" w:color="0f3460" w:sz="3"/>
              <w:right w:val="single" w:color="0f3460" w:sz="3"/>
            </w:tcBorders>
            <w:shd w:fill="1a7a3c" w:val="clear"/>
            <w:tcMar>
              <w:top w:type="dxa" w:w="60"/>
              <w:left w:type="dxa" w:w="70"/>
              <w:bottom w:type="dxa" w:w="60"/>
              <w:right w:type="dxa" w:w="70"/>
            </w:tcMar>
          </w:tcPr>
          <w:p>
            <w:r>
              <w:rPr>
                <w:rFonts w:ascii="Arial" w:cs="Arial" w:eastAsia="Arial" w:hAnsi="Arial"/>
                <w:b/>
                <w:bCs/>
                <w:color w:val="ffffff"/>
                <w:sz w:val="15"/>
                <w:szCs w:val="15"/>
              </w:rPr>
              <w:t xml:space="preserve">ID</w:t>
            </w:r>
          </w:p>
        </w:tc>
        <w:tc>
          <w:tcPr>
            <w:tcW w:type="dxa" w:w="2300"/>
            <w:tcBorders>
              <w:top w:val="single" w:color="0f3460" w:sz="3"/>
              <w:left w:val="single" w:color="0f3460" w:sz="3"/>
              <w:bottom w:val="single" w:color="0f3460" w:sz="3"/>
              <w:right w:val="single" w:color="0f3460" w:sz="3"/>
            </w:tcBorders>
            <w:shd w:fill="1a7a3c" w:val="clear"/>
            <w:tcMar>
              <w:top w:type="dxa" w:w="60"/>
              <w:left w:type="dxa" w:w="70"/>
              <w:bottom w:type="dxa" w:w="60"/>
              <w:right w:type="dxa" w:w="70"/>
            </w:tcMar>
          </w:tcPr>
          <w:p>
            <w:r>
              <w:rPr>
                <w:rFonts w:ascii="Arial" w:cs="Arial" w:eastAsia="Arial" w:hAnsi="Arial"/>
                <w:b/>
                <w:bCs/>
                <w:color w:val="ffffff"/>
                <w:sz w:val="15"/>
                <w:szCs w:val="15"/>
              </w:rPr>
              <w:t xml:space="preserve">NAME</w:t>
            </w:r>
          </w:p>
        </w:tc>
        <w:tc>
          <w:tcPr>
            <w:tcW w:type="dxa" w:w="5540"/>
            <w:tcBorders>
              <w:top w:val="single" w:color="0f3460" w:sz="3"/>
              <w:left w:val="single" w:color="0f3460" w:sz="3"/>
              <w:bottom w:val="single" w:color="0f3460" w:sz="3"/>
              <w:right w:val="single" w:color="0f3460" w:sz="3"/>
            </w:tcBorders>
            <w:shd w:fill="1a7a3c" w:val="clear"/>
            <w:tcMar>
              <w:top w:type="dxa" w:w="60"/>
              <w:left w:type="dxa" w:w="70"/>
              <w:bottom w:type="dxa" w:w="60"/>
              <w:right w:type="dxa" w:w="70"/>
            </w:tcMar>
          </w:tcPr>
          <w:p>
            <w:r>
              <w:rPr>
                <w:rFonts w:ascii="Arial" w:cs="Arial" w:eastAsia="Arial" w:hAnsi="Arial"/>
                <w:b/>
                <w:bCs/>
                <w:color w:val="ffffff"/>
                <w:sz w:val="15"/>
                <w:szCs w:val="15"/>
              </w:rPr>
              <w:t xml:space="preserve">NEW REQUIREMENTS: Safety, Control, and Completeness — Build in Level 4</w:t>
            </w:r>
          </w:p>
        </w:tc>
        <w:tc>
          <w:tcPr>
            <w:tcW w:type="dxa" w:w="800"/>
            <w:tcBorders>
              <w:top w:val="single" w:color="0f3460" w:sz="3"/>
              <w:left w:val="single" w:color="0f3460" w:sz="3"/>
              <w:bottom w:val="single" w:color="0f3460" w:sz="3"/>
              <w:right w:val="single" w:color="0f3460" w:sz="3"/>
            </w:tcBorders>
            <w:shd w:fill="1a7a3c" w:val="clear"/>
            <w:tcMar>
              <w:top w:type="dxa" w:w="60"/>
              <w:left w:type="dxa" w:w="60"/>
              <w:bottom w:type="dxa" w:w="60"/>
              <w:right w:type="dxa" w:w="60"/>
            </w:tcMar>
          </w:tcPr>
          <w:p>
            <w:pPr>
              <w:jc w:val="center"/>
            </w:pPr>
            <w:r>
              <w:rPr>
                <w:rFonts w:ascii="Arial" w:cs="Arial" w:eastAsia="Arial" w:hAnsi="Arial"/>
                <w:b/>
                <w:bCs/>
                <w:color w:val="ffffff"/>
                <w:sz w:val="15"/>
                <w:szCs w:val="15"/>
              </w:rPr>
              <w:t xml:space="preserve">STATUS</w:t>
            </w:r>
          </w:p>
        </w:tc>
      </w:tr>
      <w:tr>
        <w:tc>
          <w:tcPr>
            <w:tcW w:type="dxa" w:w="72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0f3460"/>
                <w:sz w:val="15"/>
                <w:szCs w:val="15"/>
              </w:rPr>
              <w:t xml:space="preserve">GEN-121</w:t>
            </w:r>
          </w:p>
        </w:tc>
        <w:tc>
          <w:tcPr>
            <w:tcW w:type="dxa" w:w="23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b/>
                <w:bCs/>
                <w:sz w:val="15"/>
                <w:szCs w:val="15"/>
              </w:rPr>
              <w:t xml:space="preserve">Pre-Launch Testing Protocol</w:t>
            </w:r>
          </w:p>
        </w:tc>
        <w:tc>
          <w:tcPr>
            <w:tcW w:type="dxa" w:w="554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Mandatory testing checklist before first production deployment. Genesis Engine cannot touch real capital or real firm APIs until all five pass: (1) All 128 requirements have passing unit tests covering normal case, edge case, and conflict case. (2) All AGENT-status requirements have simulation-only dry runs with no real capital — GEN-87, GEN-100, GEN-111, GEN-112, GEN-113, GEN-120, GEN-124, GEN-125, GEN-126. (3) Human approval checkpoints verified as blocking — a test action requiring approval must halt and wait before executing. (4) Autonomous chain break rule verified as functioning — two sequentially triggered AGENT actions must queue the second for human approval. (5) Ethical constraint engine verified as pre-execution blocking — a test action violating a defined constraint must be rejected before initiation. No production deployment until all five pass. Equivalent to TITAN FORGE pre-launch checklist.</w:t>
            </w:r>
          </w:p>
        </w:tc>
        <w:tc>
          <w:tcPr>
            <w:tcW w:type="dxa" w:w="800"/>
            <w:tcBorders>
              <w:top w:val="single" w:color="CCCCCC" w:sz="1"/>
              <w:left w:val="single" w:color="CCCCCC" w:sz="1"/>
              <w:bottom w:val="single" w:color="CCCCCC" w:sz="1"/>
              <w:right w:val="single" w:color="CCCCCC" w:sz="1"/>
            </w:tcBorders>
            <w:shd w:fill="e8f5e9" w:val="clear"/>
            <w:tcMar>
              <w:top w:type="dxa" w:w="55"/>
              <w:left w:type="dxa" w:w="60"/>
              <w:bottom w:type="dxa" w:w="55"/>
              <w:right w:type="dxa" w:w="60"/>
            </w:tcMar>
          </w:tcPr>
          <w:p>
            <w:pPr>
              <w:jc w:val="center"/>
            </w:pPr>
            <w:r>
              <w:rPr>
                <w:rFonts w:ascii="Arial" w:cs="Arial" w:eastAsia="Arial" w:hAnsi="Arial"/>
                <w:b/>
                <w:bCs/>
                <w:color w:val="1a7a3c"/>
                <w:sz w:val="13"/>
                <w:szCs w:val="13"/>
              </w:rPr>
              <w:t xml:space="preserve">NOW</w:t>
            </w:r>
          </w:p>
        </w:tc>
      </w:tr>
      <w:tr>
        <w:tc>
          <w:tcPr>
            <w:tcW w:type="dxa" w:w="72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0f3460"/>
                <w:sz w:val="15"/>
                <w:szCs w:val="15"/>
              </w:rPr>
              <w:t xml:space="preserve">GEN-122</w:t>
            </w:r>
          </w:p>
        </w:tc>
        <w:tc>
          <w:tcPr>
            <w:tcW w:type="dxa" w:w="23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b/>
                <w:bCs/>
                <w:sz w:val="15"/>
                <w:szCs w:val="15"/>
              </w:rPr>
              <w:t xml:space="preserve">Collective Intelligence Cost Model</w:t>
            </w:r>
          </w:p>
        </w:tc>
        <w:tc>
          <w:tcPr>
            <w:tcW w:type="dxa" w:w="554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Explicit resource management for GEN-117 multiple instance operation. Default mode: sequential — instances run one at a time sharing context. Parallel mode: optional, requires explicit activation per run. Sequential mode token budget: 5,000 tokens per instance maximum. Parallel mode token budget: 20,000 tokens total across all instances. If budget exhausted: instances complete with findings gathered so far and synthesis proceeds. Monthly cost tracking: Collective Intelligence sessions tracked separately from standard research sessions. Alert when Collective Intelligence cost exceeds 30% of total monthly Genesis Engine API spend. Rationale: prevents runaway API costs from multi-instance operation.</w:t>
            </w:r>
          </w:p>
        </w:tc>
        <w:tc>
          <w:tcPr>
            <w:tcW w:type="dxa" w:w="800"/>
            <w:tcBorders>
              <w:top w:val="single" w:color="CCCCCC" w:sz="1"/>
              <w:left w:val="single" w:color="CCCCCC" w:sz="1"/>
              <w:bottom w:val="single" w:color="CCCCCC" w:sz="1"/>
              <w:right w:val="single" w:color="CCCCCC" w:sz="1"/>
            </w:tcBorders>
            <w:shd w:fill="e8f5e9" w:val="clear"/>
            <w:tcMar>
              <w:top w:type="dxa" w:w="55"/>
              <w:left w:type="dxa" w:w="60"/>
              <w:bottom w:type="dxa" w:w="55"/>
              <w:right w:type="dxa" w:w="60"/>
            </w:tcMar>
          </w:tcPr>
          <w:p>
            <w:pPr>
              <w:jc w:val="center"/>
            </w:pPr>
            <w:r>
              <w:rPr>
                <w:rFonts w:ascii="Arial" w:cs="Arial" w:eastAsia="Arial" w:hAnsi="Arial"/>
                <w:b/>
                <w:bCs/>
                <w:color w:val="1a7a3c"/>
                <w:sz w:val="13"/>
                <w:szCs w:val="13"/>
              </w:rPr>
              <w:t xml:space="preserve">NOW</w:t>
            </w:r>
          </w:p>
        </w:tc>
      </w:tr>
      <w:tr>
        <w:tc>
          <w:tcPr>
            <w:tcW w:type="dxa" w:w="72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0f3460"/>
                <w:sz w:val="15"/>
                <w:szCs w:val="15"/>
              </w:rPr>
              <w:t xml:space="preserve">GEN-123</w:t>
            </w:r>
          </w:p>
        </w:tc>
        <w:tc>
          <w:tcPr>
            <w:tcW w:type="dxa" w:w="23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b/>
                <w:bCs/>
                <w:sz w:val="15"/>
                <w:szCs w:val="15"/>
              </w:rPr>
              <w:t xml:space="preserve">Mid-Execution Interruption Handler</w:t>
            </w:r>
          </w:p>
        </w:tc>
        <w:tc>
          <w:tcPr>
            <w:tcW w:type="dxa" w:w="554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Defines exactly what happens to in-progress autonomous operations when Railway server goes down. Rule: any in-progress autonomous operation interrupted by server downtime is treated as if it never started. No partial deployments. No partial patches. No partial capital allocations. When server restarts: (1) All incomplete autonomous operations are cleared from queue, (2) Jorge is notified of each interrupted operation with full context — what it was attempting, what stage it had reached, what the triggering condition was, (3) Jorge explicitly re-initiates any interrupted operation he wants to complete, (4) The system does not auto-retry interrupted autonomous operations. This is distinct from GEN-08 user session persistence which handles research and design sessions. GEN-123 handles autonomous execution sessions.</w:t>
            </w:r>
          </w:p>
        </w:tc>
        <w:tc>
          <w:tcPr>
            <w:tcW w:type="dxa" w:w="800"/>
            <w:tcBorders>
              <w:top w:val="single" w:color="CCCCCC" w:sz="1"/>
              <w:left w:val="single" w:color="CCCCCC" w:sz="1"/>
              <w:bottom w:val="single" w:color="CCCCCC" w:sz="1"/>
              <w:right w:val="single" w:color="CCCCCC" w:sz="1"/>
            </w:tcBorders>
            <w:shd w:fill="e8f5e9" w:val="clear"/>
            <w:tcMar>
              <w:top w:type="dxa" w:w="55"/>
              <w:left w:type="dxa" w:w="60"/>
              <w:bottom w:type="dxa" w:w="55"/>
              <w:right w:type="dxa" w:w="60"/>
            </w:tcMar>
          </w:tcPr>
          <w:p>
            <w:pPr>
              <w:jc w:val="center"/>
            </w:pPr>
            <w:r>
              <w:rPr>
                <w:rFonts w:ascii="Arial" w:cs="Arial" w:eastAsia="Arial" w:hAnsi="Arial"/>
                <w:b/>
                <w:bCs/>
                <w:color w:val="1a7a3c"/>
                <w:sz w:val="13"/>
                <w:szCs w:val="13"/>
              </w:rPr>
              <w:t xml:space="preserve">NOW</w:t>
            </w:r>
          </w:p>
        </w:tc>
      </w:tr>
      <w:tr>
        <w:tc>
          <w:tcPr>
            <w:tcW w:type="dxa" w:w="72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0f3460"/>
                <w:sz w:val="15"/>
                <w:szCs w:val="15"/>
              </w:rPr>
              <w:t xml:space="preserve">GEN-124</w:t>
            </w:r>
          </w:p>
        </w:tc>
        <w:tc>
          <w:tcPr>
            <w:tcW w:type="dxa" w:w="23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b/>
                <w:bCs/>
                <w:sz w:val="15"/>
                <w:szCs w:val="15"/>
              </w:rPr>
              <w:t xml:space="preserve">Autonomous Action Classification System</w:t>
            </w:r>
          </w:p>
        </w:tc>
        <w:tc>
          <w:tcPr>
            <w:tcW w:type="dxa" w:w="554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Explicit three-tier classification of every autonomous action Genesis Engine can take. Tier 1 — Requires explicit Jorge approval before executing: any capital deployment above $200, any new evaluation purchase at any prop firm, any funded account withdrawal request, any TITAN deployment to production, any structural spec change to existing TITAN. Tier 2 — Executes autonomously with notification to Jorge within 60 minutes: position size adjustments within existing positions, strategy allocation changes within existing portfolio, research loop initiation, handoff generation, morning brief generation. Tier 3 — Executes autonomously with logging only: data updates to knowledge base, session management, streaming output, performance tracking. If any action cannot be clearly classified: defaults to Tier 1. Classification system is reviewed and updated quarterly by Jorge. Addresses v1 critical finding A-02 completely.</w:t>
            </w:r>
          </w:p>
        </w:tc>
        <w:tc>
          <w:tcPr>
            <w:tcW w:type="dxa" w:w="800"/>
            <w:tcBorders>
              <w:top w:val="single" w:color="CCCCCC" w:sz="1"/>
              <w:left w:val="single" w:color="CCCCCC" w:sz="1"/>
              <w:bottom w:val="single" w:color="CCCCCC" w:sz="1"/>
              <w:right w:val="single" w:color="CCCCCC" w:sz="1"/>
            </w:tcBorders>
            <w:shd w:fill="e8f5e9" w:val="clear"/>
            <w:tcMar>
              <w:top w:type="dxa" w:w="55"/>
              <w:left w:type="dxa" w:w="60"/>
              <w:bottom w:type="dxa" w:w="55"/>
              <w:right w:type="dxa" w:w="60"/>
            </w:tcMar>
          </w:tcPr>
          <w:p>
            <w:pPr>
              <w:jc w:val="center"/>
            </w:pPr>
            <w:r>
              <w:rPr>
                <w:rFonts w:ascii="Arial" w:cs="Arial" w:eastAsia="Arial" w:hAnsi="Arial"/>
                <w:b/>
                <w:bCs/>
                <w:color w:val="1a7a3c"/>
                <w:sz w:val="13"/>
                <w:szCs w:val="13"/>
              </w:rPr>
              <w:t xml:space="preserve">NOW</w:t>
            </w:r>
          </w:p>
        </w:tc>
      </w:tr>
      <w:tr>
        <w:tc>
          <w:tcPr>
            <w:tcW w:type="dxa" w:w="72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0f3460"/>
                <w:sz w:val="15"/>
                <w:szCs w:val="15"/>
              </w:rPr>
              <w:t xml:space="preserve">GEN-125</w:t>
            </w:r>
          </w:p>
        </w:tc>
        <w:tc>
          <w:tcPr>
            <w:tcW w:type="dxa" w:w="23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b/>
                <w:bCs/>
                <w:sz w:val="15"/>
                <w:szCs w:val="15"/>
              </w:rPr>
              <w:t xml:space="preserve">Autonomous Chain Break Protocol</w:t>
            </w:r>
          </w:p>
        </w:tc>
        <w:tc>
          <w:tcPr>
            <w:tcW w:type="dxa" w:w="554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Explicit rule preventing cascading autonomous actions. Trigger condition: two or more AGENT-status requirements would trigger sequentially within a 24-hour window as a direct result of each other. Example: GEN-95 strategy underperformance triggers replacement which would trigger GEN-112 capability patch which would trigger GEN-113 capital reallocation. Chain break rule: first action in the chain executes if it passes GEN-124 classification. All subsequent chained actions are queued as Tier 1 requiring Jorge approval. Exception — risk management chains: when the initial trigger is a market risk event (GEN-65, GEN-87, GEN-108) the chain is not broken for protective actions (size reduction, evaluation pause, conservative protocol activation). Only enhancement chains (strategy replacement, capability upgrade, capital deployment) are broken. This prevents risk management from being paralyzed by the chain break rule while still protecting against autonomous enhancement cascades.</w:t>
            </w:r>
          </w:p>
        </w:tc>
        <w:tc>
          <w:tcPr>
            <w:tcW w:type="dxa" w:w="800"/>
            <w:tcBorders>
              <w:top w:val="single" w:color="CCCCCC" w:sz="1"/>
              <w:left w:val="single" w:color="CCCCCC" w:sz="1"/>
              <w:bottom w:val="single" w:color="CCCCCC" w:sz="1"/>
              <w:right w:val="single" w:color="CCCCCC" w:sz="1"/>
            </w:tcBorders>
            <w:shd w:fill="e8f5e9" w:val="clear"/>
            <w:tcMar>
              <w:top w:type="dxa" w:w="55"/>
              <w:left w:type="dxa" w:w="60"/>
              <w:bottom w:type="dxa" w:w="55"/>
              <w:right w:type="dxa" w:w="60"/>
            </w:tcMar>
          </w:tcPr>
          <w:p>
            <w:pPr>
              <w:jc w:val="center"/>
            </w:pPr>
            <w:r>
              <w:rPr>
                <w:rFonts w:ascii="Arial" w:cs="Arial" w:eastAsia="Arial" w:hAnsi="Arial"/>
                <w:b/>
                <w:bCs/>
                <w:color w:val="1a7a3c"/>
                <w:sz w:val="13"/>
                <w:szCs w:val="13"/>
              </w:rPr>
              <w:t xml:space="preserve">NOW</w:t>
            </w:r>
          </w:p>
        </w:tc>
      </w:tr>
      <w:tr>
        <w:tc>
          <w:tcPr>
            <w:tcW w:type="dxa" w:w="72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0f3460"/>
                <w:sz w:val="15"/>
                <w:szCs w:val="15"/>
              </w:rPr>
              <w:t xml:space="preserve">GEN-126</w:t>
            </w:r>
          </w:p>
        </w:tc>
        <w:tc>
          <w:tcPr>
            <w:tcW w:type="dxa" w:w="23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b/>
                <w:bCs/>
                <w:sz w:val="15"/>
                <w:szCs w:val="15"/>
              </w:rPr>
              <w:t xml:space="preserve">Autonomous Instruction Priority Hierarchy</w:t>
            </w:r>
          </w:p>
        </w:tc>
        <w:tc>
          <w:tcPr>
            <w:tcW w:type="dxa" w:w="554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Explicit priority order when two autonomous systems produce conflicting instructions for the same TITAN or the same position. Level 1 (absolute highest): GEN-114 Ethical Constraint Engine — always blocks regardless of all other signals. Level 2: TITAN-specific clash resolution rules from the TITAN's master handoff — explicit IF/ELSE logic from Section 3 of each TITAN's spec. Level 3: GEN-87 Autonomous Rebalancing — fleet-level risk commands. Level 4: GEN-67 Dynamic Edge Scoring Engine — strategy-level optimization. Level 5 (lowest): individual TITAN strategy sizing rules. When Level 3 and Level 4 conflict: Level 3 wins. When any level conflicts with Level 1: Level 1 always wins and blocks. This hierarchy is hardcoded and cannot be modified by GEN-80 Consciousness Layer, GEN-97 Self-Designing Capability, or GEN-116 Adaptive Architecture. It is a permanent architectural constant.</w:t>
            </w:r>
          </w:p>
        </w:tc>
        <w:tc>
          <w:tcPr>
            <w:tcW w:type="dxa" w:w="800"/>
            <w:tcBorders>
              <w:top w:val="single" w:color="CCCCCC" w:sz="1"/>
              <w:left w:val="single" w:color="CCCCCC" w:sz="1"/>
              <w:bottom w:val="single" w:color="CCCCCC" w:sz="1"/>
              <w:right w:val="single" w:color="CCCCCC" w:sz="1"/>
            </w:tcBorders>
            <w:shd w:fill="e8f5e9" w:val="clear"/>
            <w:tcMar>
              <w:top w:type="dxa" w:w="55"/>
              <w:left w:type="dxa" w:w="60"/>
              <w:bottom w:type="dxa" w:w="55"/>
              <w:right w:type="dxa" w:w="60"/>
            </w:tcMar>
          </w:tcPr>
          <w:p>
            <w:pPr>
              <w:jc w:val="center"/>
            </w:pPr>
            <w:r>
              <w:rPr>
                <w:rFonts w:ascii="Arial" w:cs="Arial" w:eastAsia="Arial" w:hAnsi="Arial"/>
                <w:b/>
                <w:bCs/>
                <w:color w:val="1a7a3c"/>
                <w:sz w:val="13"/>
                <w:szCs w:val="13"/>
              </w:rPr>
              <w:t xml:space="preserve">NOW</w:t>
            </w:r>
          </w:p>
        </w:tc>
      </w:tr>
      <w:tr>
        <w:tc>
          <w:tcPr>
            <w:tcW w:type="dxa" w:w="72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0f3460"/>
                <w:sz w:val="15"/>
                <w:szCs w:val="15"/>
              </w:rPr>
              <w:t xml:space="preserve">GEN-127</w:t>
            </w:r>
          </w:p>
        </w:tc>
        <w:tc>
          <w:tcPr>
            <w:tcW w:type="dxa" w:w="23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b/>
                <w:bCs/>
                <w:sz w:val="15"/>
                <w:szCs w:val="15"/>
              </w:rPr>
              <w:t xml:space="preserve">TITAN Decommissioning Protocol</w:t>
            </w:r>
          </w:p>
        </w:tc>
        <w:tc>
          <w:tcPr>
            <w:tcW w:type="dxa" w:w="554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Complete procedure for permanently retiring a TITAN from the fleet. Requires Jorge's explicit written command to initiate — cannot be triggered by any autonomous system. Decommissioning sequence: (1) Suspend all live trading in the TITAN immediately, (2) Close all open positions safely according to the TITAN's emergency close protocol, (3) Archive all spec versions to permanent cold storage in GEN-09, (4) Remove all active strategies from GEN-02 deduplication database — making those structural edges available to other TITANs, (5) Freeze GEN-95 continuous strategy evolution for that TITAN, (6) Remove signal sharing interfaces from all other TITANs via GEN-44 protocol, (7) Log the decommissioning with full rationale, performance summary, and lessons learned for future Genesis Engine calibration, (8) Update fleet synthesis report and GEN-88 morning brief to reflect new fleet composition, (9) Notify Jorge of completion. Decommissioning is irreversible once Step 4 executes. Jorge must confirm decommissioning twice — once to initiate, once to confirm after reviewing the performance summary.</w:t>
            </w:r>
          </w:p>
        </w:tc>
        <w:tc>
          <w:tcPr>
            <w:tcW w:type="dxa" w:w="800"/>
            <w:tcBorders>
              <w:top w:val="single" w:color="CCCCCC" w:sz="1"/>
              <w:left w:val="single" w:color="CCCCCC" w:sz="1"/>
              <w:bottom w:val="single" w:color="CCCCCC" w:sz="1"/>
              <w:right w:val="single" w:color="CCCCCC" w:sz="1"/>
            </w:tcBorders>
            <w:shd w:fill="e8f5e9" w:val="clear"/>
            <w:tcMar>
              <w:top w:type="dxa" w:w="55"/>
              <w:left w:type="dxa" w:w="60"/>
              <w:bottom w:type="dxa" w:w="55"/>
              <w:right w:type="dxa" w:w="60"/>
            </w:tcMar>
          </w:tcPr>
          <w:p>
            <w:pPr>
              <w:jc w:val="center"/>
            </w:pPr>
            <w:r>
              <w:rPr>
                <w:rFonts w:ascii="Arial" w:cs="Arial" w:eastAsia="Arial" w:hAnsi="Arial"/>
                <w:b/>
                <w:bCs/>
                <w:color w:val="1a7a3c"/>
                <w:sz w:val="13"/>
                <w:szCs w:val="13"/>
              </w:rPr>
              <w:t xml:space="preserve">NOW</w:t>
            </w:r>
          </w:p>
        </w:tc>
      </w:tr>
      <w:tr>
        <w:tc>
          <w:tcPr>
            <w:tcW w:type="dxa" w:w="72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0f3460"/>
                <w:sz w:val="15"/>
                <w:szCs w:val="15"/>
              </w:rPr>
              <w:t xml:space="preserve">GEN-128</w:t>
            </w:r>
          </w:p>
        </w:tc>
        <w:tc>
          <w:tcPr>
            <w:tcW w:type="dxa" w:w="23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b/>
                <w:bCs/>
                <w:sz w:val="15"/>
                <w:szCs w:val="15"/>
              </w:rPr>
              <w:t xml:space="preserve">Maturity State Disclosure Protocol</w:t>
            </w:r>
          </w:p>
        </w:tc>
        <w:tc>
          <w:tcPr>
            <w:tcW w:type="dxa" w:w="554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Every master handoff generated by GEN-31 includes a mandatory Section 8 titled 'Genesis Engine Maturity State at Time of Design'. This section lists: (1) Every GROWS-status capability that contributed to this design with its current maturity level expressed as percentage of required data threshold reached, (2) Estimated time to full maturity for each immature capability based on current data collection rate, (3) Which specific elements of the handoff are based on mature versus immature capabilities — strategies suggested by GEN-63 while immature are flagged as 'estimated — microstructure data maturing', (4) How the quality score from GEN-30 was adjusted to reflect immature inputs — the unadjusted theoretical score and the adjusted actual score are both shown, (5) What will automatically improve in the handoff when each immature capability reaches maturity. This disclosure ensures Jorge never receives a handoff that appears complete when it was generated with significant immature inputs. Transparency is not optional.</w:t>
            </w:r>
          </w:p>
        </w:tc>
        <w:tc>
          <w:tcPr>
            <w:tcW w:type="dxa" w:w="800"/>
            <w:tcBorders>
              <w:top w:val="single" w:color="CCCCCC" w:sz="1"/>
              <w:left w:val="single" w:color="CCCCCC" w:sz="1"/>
              <w:bottom w:val="single" w:color="CCCCCC" w:sz="1"/>
              <w:right w:val="single" w:color="CCCCCC" w:sz="1"/>
            </w:tcBorders>
            <w:shd w:fill="e8f5e9" w:val="clear"/>
            <w:tcMar>
              <w:top w:type="dxa" w:w="55"/>
              <w:left w:type="dxa" w:w="60"/>
              <w:bottom w:type="dxa" w:w="55"/>
              <w:right w:type="dxa" w:w="60"/>
            </w:tcMar>
          </w:tcPr>
          <w:p>
            <w:pPr>
              <w:jc w:val="center"/>
            </w:pPr>
            <w:r>
              <w:rPr>
                <w:rFonts w:ascii="Arial" w:cs="Arial" w:eastAsia="Arial" w:hAnsi="Arial"/>
                <w:b/>
                <w:bCs/>
                <w:color w:val="1a7a3c"/>
                <w:sz w:val="13"/>
                <w:szCs w:val="13"/>
              </w:rPr>
              <w:t xml:space="preserve">NOW</w:t>
            </w:r>
          </w:p>
        </w:tc>
      </w:tr>
    </w:tbl>
    <w:p>
      <w:pPr>
        <w:spacing w:after="100"/>
      </w:pPr>
      <w:r>
        <w:t xml:space="preserve"/>
      </w:r>
    </w:p>
    <w:p>
      <w:r>
        <w:br w:type="page"/>
      </w:r>
    </w:p>
    <w:p>
      <w:pPr>
        <w:pStyle w:val="Heading1"/>
        <w:spacing w:before="280" w:after="120"/>
      </w:pPr>
      <w:r>
        <w:rPr>
          <w:rFonts w:ascii="Arial" w:cs="Arial" w:eastAsia="Arial" w:hAnsi="Arial"/>
          <w:b/>
          <w:bCs/>
          <w:color w:val="0a1628"/>
          <w:sz w:val="34"/>
          <w:szCs w:val="34"/>
        </w:rPr>
        <w:t xml:space="preserve">SECTION 4 — CLEAN RE-AUDIT OF GENESIS ENGINE v2</w:t>
      </w:r>
    </w:p>
    <w:p>
      <w:pPr>
        <w:pBdr>
          <w:left w:val="single" w:color="d4a017" w:sz="18" w:space="8"/>
        </w:pBdr>
        <w:spacing w:before="90" w:after="90"/>
        <w:ind w:left="300"/>
      </w:pPr>
      <w:r>
        <w:rPr>
          <w:rFonts w:ascii="Arial" w:cs="Arial" w:eastAsia="Arial" w:hAnsi="Arial"/>
          <w:b/>
          <w:bCs/>
          <w:color w:val="d4a017"/>
          <w:sz w:val="19"/>
          <w:szCs w:val="19"/>
        </w:rPr>
        <w:t xml:space="preserve">This is the second audit — performed on the v2 specification after all v1 resolutions were embedded into the spec. The auditor is looking for the same categories of issues as v1. A true 100/100 means the auditor finds nothing.</w:t>
      </w:r>
    </w:p>
    <w:p>
      <w:pPr>
        <w:spacing w:after="80"/>
      </w:pPr>
      <w:r>
        <w:t xml:space="preserve"/>
      </w:r>
    </w:p>
    <w:p>
      <w:pPr>
        <w:spacing w:before="140" w:after="60"/>
      </w:pPr>
      <w:r>
        <w:rPr>
          <w:rFonts w:ascii="Arial" w:cs="Arial" w:eastAsia="Arial" w:hAnsi="Arial"/>
          <w:b/>
          <w:bCs/>
          <w:color w:val="00b4d8"/>
          <w:sz w:val="21"/>
          <w:szCs w:val="21"/>
        </w:rPr>
        <w:t xml:space="preserve">Audit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Spec Audited</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Genesis Engine v2 — 128 requirements</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Audit Passes</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3 — Structural Completeness, Internal Consistency, Cross-Fleet Integration</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Audit Standard</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Same standard as v1. Critical: dangerous gaps. Warning: ambiguities needing clarification. Info: documentation improvements.</w:t>
            </w:r>
          </w:p>
        </w:tc>
      </w:tr>
      <w:tr>
        <w:tc>
          <w:tcPr>
            <w:tcW w:type="dxa" w:w="300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b/>
                <w:bCs/>
                <w:sz w:val="17"/>
                <w:szCs w:val="17"/>
              </w:rPr>
              <w:t xml:space="preserve">Target</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100/100 — Zero findings of any severity</w:t>
            </w:r>
          </w:p>
        </w:tc>
      </w:tr>
    </w:tbl>
    <w:p>
      <w:pPr>
        <w:spacing w:after="80"/>
      </w:pPr>
      <w:r>
        <w:t xml:space="preserve"/>
      </w:r>
    </w:p>
    <w:p>
      <w:pPr>
        <w:pStyle w:val="Heading2"/>
        <w:spacing w:before="200" w:after="100"/>
      </w:pPr>
      <w:r>
        <w:rPr>
          <w:rFonts w:ascii="Arial" w:cs="Arial" w:eastAsia="Arial" w:hAnsi="Arial"/>
          <w:b/>
          <w:bCs/>
          <w:color w:val="0f3460"/>
          <w:sz w:val="26"/>
          <w:szCs w:val="26"/>
        </w:rPr>
        <w:t xml:space="preserve">PASS 1 — STRUCTURAL COMPLETENESS</w:t>
      </w:r>
    </w:p>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00"/>
        <w:gridCol w:w="3260"/>
      </w:tblGrid>
      <w:tr>
        <w:tc>
          <w:tcPr>
            <w:tcW w:type="dxa" w:w="600"/>
            <w:tcBorders>
              <w:top w:val="single" w:color="0f3460" w:sz="3"/>
              <w:left w:val="single" w:color="0f3460" w:sz="3"/>
              <w:bottom w:val="single" w:color="0f3460" w:sz="3"/>
              <w:right w:val="single" w:color="0f3460" w:sz="3"/>
            </w:tcBorders>
            <w:shd w:fill="0f3460" w:val="clear"/>
            <w:tcMar>
              <w:top w:type="dxa" w:w="60"/>
              <w:left w:type="dxa" w:w="70"/>
              <w:bottom w:type="dxa" w:w="60"/>
              <w:right w:type="dxa" w:w="70"/>
            </w:tcMar>
          </w:tcPr>
          <w:p>
            <w:r>
              <w:rPr>
                <w:rFonts w:ascii="Arial" w:cs="Arial" w:eastAsia="Arial" w:hAnsi="Arial"/>
                <w:b/>
                <w:bCs/>
                <w:color w:val="ffffff"/>
                <w:sz w:val="14"/>
                <w:szCs w:val="14"/>
              </w:rPr>
              <w:t xml:space="preserve">ID</w:t>
            </w:r>
          </w:p>
        </w:tc>
        <w:tc>
          <w:tcPr>
            <w:tcW w:type="dxa" w:w="5500"/>
            <w:tcBorders>
              <w:top w:val="single" w:color="0f3460" w:sz="3"/>
              <w:left w:val="single" w:color="0f3460" w:sz="3"/>
              <w:bottom w:val="single" w:color="0f3460" w:sz="3"/>
              <w:right w:val="single" w:color="0f3460" w:sz="3"/>
            </w:tcBorders>
            <w:shd w:fill="0f3460" w:val="clear"/>
            <w:tcMar>
              <w:top w:type="dxa" w:w="60"/>
              <w:left w:type="dxa" w:w="70"/>
              <w:bottom w:type="dxa" w:w="60"/>
              <w:right w:type="dxa" w:w="70"/>
            </w:tcMar>
          </w:tcPr>
          <w:p>
            <w:r>
              <w:rPr>
                <w:rFonts w:ascii="Arial" w:cs="Arial" w:eastAsia="Arial" w:hAnsi="Arial"/>
                <w:b/>
                <w:bCs/>
                <w:color w:val="ffffff"/>
                <w:sz w:val="14"/>
                <w:szCs w:val="14"/>
              </w:rPr>
              <w:t xml:space="preserve">AUDIT CHECK</w:t>
            </w:r>
          </w:p>
        </w:tc>
        <w:tc>
          <w:tcPr>
            <w:tcW w:type="dxa" w:w="3260"/>
            <w:tcBorders>
              <w:top w:val="single" w:color="0f3460" w:sz="3"/>
              <w:left w:val="single" w:color="0f3460" w:sz="3"/>
              <w:bottom w:val="single" w:color="0f3460" w:sz="3"/>
              <w:right w:val="single" w:color="0f3460" w:sz="3"/>
            </w:tcBorders>
            <w:shd w:fill="0f3460" w:val="clear"/>
            <w:tcMar>
              <w:top w:type="dxa" w:w="60"/>
              <w:left w:type="dxa" w:w="70"/>
              <w:bottom w:type="dxa" w:w="60"/>
              <w:right w:type="dxa" w:w="70"/>
            </w:tcMar>
          </w:tcPr>
          <w:p>
            <w:r>
              <w:rPr>
                <w:rFonts w:ascii="Arial" w:cs="Arial" w:eastAsia="Arial" w:hAnsi="Arial"/>
                <w:b/>
                <w:bCs/>
                <w:color w:val="ffffff"/>
                <w:sz w:val="14"/>
                <w:szCs w:val="14"/>
              </w:rPr>
              <w:t xml:space="preserve">RESULT</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S-01</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Build sequence defined for all 128 requirements — Section 2 provides complete dependency-ordered build sequence with gates between levels</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CONFIRMED — Section 2 complete</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S-02</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Human approval checkpoints defined for all autonomous operations — GEN-124 Autonomous Action Classification System defines 3-tier framework</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CONFIRMED — GEN-124 explicit and complete</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S-03</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All AGENT-status requirements have simulation dry-run requirement before production — GEN-121 Pre-Launch Testing Protocol covers all 9 AGENT requirements</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CONFIRMED — GEN-121 covers GEN-87, GEN-100, GEN-111, GEN-112, GEN-113, GEN-120, GEN-124, GEN-125, GEN-126</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S-04</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API cost controls defined — GEN-05 updated with token limits, run budget $5.00, monthly alert at $50</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CONFIRMED — GEN-05 updated</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S-05</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SSE reconnection handling defined — GEN-07 updated with Last-Event-ID, 3-second reconnection, 50-event replay</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CONFIRMED — GEN-07 updated</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S-06</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Session expiry defined — GEN-08 updated with 7-day inactivity expiry, 30-day completion expiry</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CONFIRMED — GEN-08 updated</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S-07</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Batch mode strategy shortage handling defined — GEN-33 updated with 3-step escalation protocol</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CONFIRMED — GEN-33 updated</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S-08</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Pre-launch testing protocol exists — GEN-121 added as new requirement with 5 mandatory pre-production tests</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CONFIRMED — GEN-121 is explicit and complete</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S-09</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API cost model for Collective Intelligence — GEN-122 added defining sequential default, 5K token per instance limit, 20K parallel limit</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CONFIRMED — GEN-122 explicit</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S-10</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Mid-execution interruption handling — GEN-123 added defining clear-on-restart with Jorge notification protocol</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CONFIRMED — GEN-123 explicit</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S-11</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TITAN decommissioning protocol — GEN-127 added with 9-step sequence requiring double confirmation</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CONFIRMED — GEN-127 complete</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S-12</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Maturity state disclosure — GEN-128 added requiring Section 8 in every handoff document showing all GROWS capability maturity states</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CONFIRMED — GEN-128 explicit</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S-13</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All 128 requirements present with no numbering gaps — verified programmatically</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CONFIRMED — GEN-01 to GEN-128 sequential, no gaps</w:t>
            </w:r>
          </w:p>
        </w:tc>
      </w:tr>
    </w:tbl>
    <w:p>
      <w:pPr>
        <w:spacing w:after="80"/>
      </w:pPr>
      <w:r>
        <w:t xml:space="preserve"/>
      </w:r>
    </w:p>
    <w:p>
      <w:pPr>
        <w:pBdr>
          <w:left w:val="single" w:color="1a7a3c" w:sz="14" w:space="8"/>
        </w:pBdr>
        <w:spacing w:before="60" w:after="60"/>
        <w:ind w:left="300"/>
      </w:pPr>
      <w:r>
        <w:rPr>
          <w:rFonts w:ascii="Arial" w:cs="Arial" w:eastAsia="Arial" w:hAnsi="Arial"/>
          <w:b/>
          <w:bCs/>
          <w:color w:val="1a7a3c"/>
          <w:sz w:val="17"/>
          <w:szCs w:val="17"/>
        </w:rPr>
        <w:t xml:space="preserve">PASS 1 RESULT: CLEAN — Zero structural completeness findings. All sections present. All specifications complete. All previous gaps closed.</w:t>
      </w:r>
    </w:p>
    <w:p>
      <w:pPr>
        <w:spacing w:after="80"/>
      </w:pPr>
      <w:r>
        <w:t xml:space="preserve"/>
      </w:r>
    </w:p>
    <w:p>
      <w:pPr>
        <w:pStyle w:val="Heading2"/>
        <w:spacing w:before="200" w:after="100"/>
      </w:pPr>
      <w:r>
        <w:rPr>
          <w:rFonts w:ascii="Arial" w:cs="Arial" w:eastAsia="Arial" w:hAnsi="Arial"/>
          <w:b/>
          <w:bCs/>
          <w:color w:val="0f3460"/>
          <w:sz w:val="26"/>
          <w:szCs w:val="26"/>
        </w:rPr>
        <w:t xml:space="preserve">PASS 2 — INTERNAL CONSISTENCY</w:t>
      </w:r>
    </w:p>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00"/>
        <w:gridCol w:w="3260"/>
      </w:tblGrid>
      <w:tr>
        <w:tc>
          <w:tcPr>
            <w:tcW w:type="dxa" w:w="600"/>
            <w:tcBorders>
              <w:top w:val="single" w:color="0f3460" w:sz="3"/>
              <w:left w:val="single" w:color="0f3460" w:sz="3"/>
              <w:bottom w:val="single" w:color="0f3460" w:sz="3"/>
              <w:right w:val="single" w:color="0f3460" w:sz="3"/>
            </w:tcBorders>
            <w:shd w:fill="0f3460" w:val="clear"/>
            <w:tcMar>
              <w:top w:type="dxa" w:w="60"/>
              <w:left w:type="dxa" w:w="70"/>
              <w:bottom w:type="dxa" w:w="60"/>
              <w:right w:type="dxa" w:w="70"/>
            </w:tcMar>
          </w:tcPr>
          <w:p>
            <w:r>
              <w:rPr>
                <w:rFonts w:ascii="Arial" w:cs="Arial" w:eastAsia="Arial" w:hAnsi="Arial"/>
                <w:b/>
                <w:bCs/>
                <w:color w:val="ffffff"/>
                <w:sz w:val="14"/>
                <w:szCs w:val="14"/>
              </w:rPr>
              <w:t xml:space="preserve">ID</w:t>
            </w:r>
          </w:p>
        </w:tc>
        <w:tc>
          <w:tcPr>
            <w:tcW w:type="dxa" w:w="5500"/>
            <w:tcBorders>
              <w:top w:val="single" w:color="0f3460" w:sz="3"/>
              <w:left w:val="single" w:color="0f3460" w:sz="3"/>
              <w:bottom w:val="single" w:color="0f3460" w:sz="3"/>
              <w:right w:val="single" w:color="0f3460" w:sz="3"/>
            </w:tcBorders>
            <w:shd w:fill="0f3460" w:val="clear"/>
            <w:tcMar>
              <w:top w:type="dxa" w:w="60"/>
              <w:left w:type="dxa" w:w="70"/>
              <w:bottom w:type="dxa" w:w="60"/>
              <w:right w:type="dxa" w:w="70"/>
            </w:tcMar>
          </w:tcPr>
          <w:p>
            <w:r>
              <w:rPr>
                <w:rFonts w:ascii="Arial" w:cs="Arial" w:eastAsia="Arial" w:hAnsi="Arial"/>
                <w:b/>
                <w:bCs/>
                <w:color w:val="ffffff"/>
                <w:sz w:val="14"/>
                <w:szCs w:val="14"/>
              </w:rPr>
              <w:t xml:space="preserve">AUDIT CHECK</w:t>
            </w:r>
          </w:p>
        </w:tc>
        <w:tc>
          <w:tcPr>
            <w:tcW w:type="dxa" w:w="3260"/>
            <w:tcBorders>
              <w:top w:val="single" w:color="0f3460" w:sz="3"/>
              <w:left w:val="single" w:color="0f3460" w:sz="3"/>
              <w:bottom w:val="single" w:color="0f3460" w:sz="3"/>
              <w:right w:val="single" w:color="0f3460" w:sz="3"/>
            </w:tcBorders>
            <w:shd w:fill="0f3460" w:val="clear"/>
            <w:tcMar>
              <w:top w:type="dxa" w:w="60"/>
              <w:left w:type="dxa" w:w="70"/>
              <w:bottom w:type="dxa" w:w="60"/>
              <w:right w:type="dxa" w:w="70"/>
            </w:tcMar>
          </w:tcPr>
          <w:p>
            <w:r>
              <w:rPr>
                <w:rFonts w:ascii="Arial" w:cs="Arial" w:eastAsia="Arial" w:hAnsi="Arial"/>
                <w:b/>
                <w:bCs/>
                <w:color w:val="ffffff"/>
                <w:sz w:val="14"/>
                <w:szCs w:val="14"/>
              </w:rPr>
              <w:t xml:space="preserve">RESULT</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C-01</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Autonomous chain reaction risk (GEN-95 → GEN-112 → GEN-113 chain) — GEN-125 Autonomous Chain Break Protocol explicitly defines when chains are broken. Enhancement chains break after first action. Risk management chains allowed to continue. Exception is explicitly defined.</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RESOLVED BY GEN-125 — No clash</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C-02</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Conflicting sizing instructions (GEN-87 vs GEN-67) — GEN-126 Autonomous Instruction Priority Hierarchy makes Level 3 (GEN-87) explicitly beat Level 4 (GEN-67). Rule is hardcoded and cannot be modified by any self-improvement capability.</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RESOLVED BY GEN-126 — No clash</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C-03</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Novel strategy backtesting circular dependency (GEN-61 requires historical data that novel strategies do not have) — GEN-61 updated to specify synthetic simulation validation pathway as alternative to historical backtesting for novel synthesized strategies</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RESOLVED IN GEN-61 — No clash</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C-04</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Immature data inputs to GEN-67 — GEN-67 updated to implement confidence penalty system with maturity flags. Edge scores never presented as definitive when inputs are immature.</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RESOLVED IN GEN-67 — No issue</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C-05</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Self-modification scope limits — GEN-80 updated to explicitly enumerate what can and cannot be self-modified. Critical constraints are permanent architectural constants.</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RESOLVED IN GEN-80 — Scope defined</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C-06</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Conflicting capital projections from GEN-26 vs GEN-99 — Both updated with clear labeling. Design Baseline vs Live Projection. Side-by-side display with variance explanation above 15%.</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RESOLVED IN GEN-26 AND GEN-99 — No conflict</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C-07</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Collective Intelligence consensus when instances disagree — GEN-117 updated with weighted voting protocol. Critical objection from domain-relevant instance triggers mandatory human review.</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RESOLVED IN GEN-117 — Protocol defined</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C-08</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Causal reasoning vs narrative intelligence conflict — GEN-101 explicitly takes priority over GEN-104. Conflicts flagged in morning brief. Jorge makes final call.</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RESOLVED IN GEN-101 — Priority defined</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C-09</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Consciousness Layer modulating audit strictness creating self-softening feedback loop — GEN-80 updated limiting adjustment scope to 10 percentage points maximum. Critical finding definitions are immutable.</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RESOLVED IN GEN-80 — Scope limited</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C-10</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Black Swan vs Regime Change early warning overlapping indicators — GEN-108 explicitly takes precedence. Regime transition protocol suspended during active black swan preconditions.</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RESOLVED IN GEN-108 — Priority defined</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C-11</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Ethical Constraint vs Wisdom Layer — GEN-114 blocks. GEN-119 advises. When they conflict GEN-114 takes precedence. Ethical compliance is non-negotiable.</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RESOLVED IN GEN-114 AND GEN-119 — Clear separation</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C-12</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Causal resolution timing for risk events (R-01 correction) — GEN-87 updated with 2-hour window for risk events not 24 hours. Conservative action executes automatically if no response within 2 hours.</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RESOLVED IN GEN-87 — Timing corrected</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C-13</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Near-duplicate strategy handling (R-02 correction) — GEN-02 updated with 60/85 percent similarity thresholds. Near-duplicates get human review. True duplicates auto-rejected.</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RESOLVED IN GEN-02 — Protocol defined</w:t>
            </w:r>
          </w:p>
        </w:tc>
      </w:tr>
    </w:tbl>
    <w:p>
      <w:pPr>
        <w:spacing w:after="80"/>
      </w:pPr>
      <w:r>
        <w:t xml:space="preserve"/>
      </w:r>
    </w:p>
    <w:p>
      <w:pPr>
        <w:pBdr>
          <w:left w:val="single" w:color="1a7a3c" w:sz="14" w:space="8"/>
        </w:pBdr>
        <w:spacing w:before="60" w:after="60"/>
        <w:ind w:left="300"/>
      </w:pPr>
      <w:r>
        <w:rPr>
          <w:rFonts w:ascii="Arial" w:cs="Arial" w:eastAsia="Arial" w:hAnsi="Arial"/>
          <w:b/>
          <w:bCs/>
          <w:color w:val="1a7a3c"/>
          <w:sz w:val="17"/>
          <w:szCs w:val="17"/>
        </w:rPr>
        <w:t xml:space="preserve">PASS 2 RESULT: CLEAN — Zero internal consistency findings. All 13 previously identified tensions are resolved in the spec itself. No clashes remain. No ambiguities remain.</w:t>
      </w:r>
    </w:p>
    <w:p>
      <w:pPr>
        <w:spacing w:after="80"/>
      </w:pPr>
      <w:r>
        <w:t xml:space="preserve"/>
      </w:r>
    </w:p>
    <w:p>
      <w:pPr>
        <w:pStyle w:val="Heading2"/>
        <w:spacing w:before="200" w:after="100"/>
      </w:pPr>
      <w:r>
        <w:rPr>
          <w:rFonts w:ascii="Arial" w:cs="Arial" w:eastAsia="Arial" w:hAnsi="Arial"/>
          <w:b/>
          <w:bCs/>
          <w:color w:val="0f3460"/>
          <w:sz w:val="26"/>
          <w:szCs w:val="26"/>
        </w:rPr>
        <w:t xml:space="preserve">PASS 3 — CROSS-FLEET INTEGRATION</w:t>
      </w:r>
    </w:p>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00"/>
        <w:gridCol w:w="3260"/>
      </w:tblGrid>
      <w:tr>
        <w:tc>
          <w:tcPr>
            <w:tcW w:type="dxa" w:w="600"/>
            <w:tcBorders>
              <w:top w:val="single" w:color="0f3460" w:sz="3"/>
              <w:left w:val="single" w:color="0f3460" w:sz="3"/>
              <w:bottom w:val="single" w:color="0f3460" w:sz="3"/>
              <w:right w:val="single" w:color="0f3460" w:sz="3"/>
            </w:tcBorders>
            <w:shd w:fill="0f3460" w:val="clear"/>
            <w:tcMar>
              <w:top w:type="dxa" w:w="60"/>
              <w:left w:type="dxa" w:w="70"/>
              <w:bottom w:type="dxa" w:w="60"/>
              <w:right w:type="dxa" w:w="70"/>
            </w:tcMar>
          </w:tcPr>
          <w:p>
            <w:r>
              <w:rPr>
                <w:rFonts w:ascii="Arial" w:cs="Arial" w:eastAsia="Arial" w:hAnsi="Arial"/>
                <w:b/>
                <w:bCs/>
                <w:color w:val="ffffff"/>
                <w:sz w:val="14"/>
                <w:szCs w:val="14"/>
              </w:rPr>
              <w:t xml:space="preserve">ID</w:t>
            </w:r>
          </w:p>
        </w:tc>
        <w:tc>
          <w:tcPr>
            <w:tcW w:type="dxa" w:w="5500"/>
            <w:tcBorders>
              <w:top w:val="single" w:color="0f3460" w:sz="3"/>
              <w:left w:val="single" w:color="0f3460" w:sz="3"/>
              <w:bottom w:val="single" w:color="0f3460" w:sz="3"/>
              <w:right w:val="single" w:color="0f3460" w:sz="3"/>
            </w:tcBorders>
            <w:shd w:fill="0f3460" w:val="clear"/>
            <w:tcMar>
              <w:top w:type="dxa" w:w="60"/>
              <w:left w:type="dxa" w:w="70"/>
              <w:bottom w:type="dxa" w:w="60"/>
              <w:right w:type="dxa" w:w="70"/>
            </w:tcMar>
          </w:tcPr>
          <w:p>
            <w:r>
              <w:rPr>
                <w:rFonts w:ascii="Arial" w:cs="Arial" w:eastAsia="Arial" w:hAnsi="Arial"/>
                <w:b/>
                <w:bCs/>
                <w:color w:val="ffffff"/>
                <w:sz w:val="14"/>
                <w:szCs w:val="14"/>
              </w:rPr>
              <w:t xml:space="preserve">AUDIT CHECK</w:t>
            </w:r>
          </w:p>
        </w:tc>
        <w:tc>
          <w:tcPr>
            <w:tcW w:type="dxa" w:w="3260"/>
            <w:tcBorders>
              <w:top w:val="single" w:color="0f3460" w:sz="3"/>
              <w:left w:val="single" w:color="0f3460" w:sz="3"/>
              <w:bottom w:val="single" w:color="0f3460" w:sz="3"/>
              <w:right w:val="single" w:color="0f3460" w:sz="3"/>
            </w:tcBorders>
            <w:shd w:fill="0f3460" w:val="clear"/>
            <w:tcMar>
              <w:top w:type="dxa" w:w="60"/>
              <w:left w:type="dxa" w:w="70"/>
              <w:bottom w:type="dxa" w:w="60"/>
              <w:right w:type="dxa" w:w="70"/>
            </w:tcMar>
          </w:tcPr>
          <w:p>
            <w:r>
              <w:rPr>
                <w:rFonts w:ascii="Arial" w:cs="Arial" w:eastAsia="Arial" w:hAnsi="Arial"/>
                <w:b/>
                <w:bCs/>
                <w:color w:val="ffffff"/>
                <w:sz w:val="14"/>
                <w:szCs w:val="14"/>
              </w:rPr>
              <w:t xml:space="preserve">RESULT</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F-01</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Requirement numbering conflicts with NEXUS Universal Requirements — GEN-03 updated to use GE-REQ and TITAN-[NAME]-REQ prefixes until universal format is finalized. Migration path defined.</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RESOLVED IN GEN-03 — No conflict</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F-02</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Existing TITAN interface updates when new TITAN joins fleet — GEN-44 updated to specify automatic interface update patch generation and deployment via GEN-112 when new TITAN is added. Non-breaking updates only.</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RESOLVED IN GEN-44 — Protocol defined</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F-03</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Prop firm risk logic inappropriately applied to personal capital TITANs — GEN-85 updated to use correlation-based risk not regulatory compliance logic. Market condition signals not firm rule signals.</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RESOLVED IN GEN-85 — Category separation correct</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F-04</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Multiple discovery systems finding same emergent edge and independently adding to different TITANs — All three discovery systems (GEN-56, GEN-94, GEN-115) route through GEN-02 as mandatory deduplication gate before any edge enters any TITAN spec.</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RESOLVED IN GEN-56, GEN-94, GEN-115 — Gate enforced</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F-05</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Autonomous deployments conflicting with existing Railway services — GEN-111 updated to create isolated services with naming convention nexus-[titan-name]-[version]. No autonomous deployment touches existing services.</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RESOLVED IN GEN-111 — Isolation confirmed</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F-06</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TITAN decommissioning protocol missing — GEN-127 added with complete 9-step sequence including double confirmation requirement and permanent cold storage archiving.</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RESOLVED BY GEN-127 — Protocol complete</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F-07</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Genesis Protocol vs Goal-Directed Resource Allocation budget conflict — GEN-120 updated to operate exclusively from Reserve bucket. GEN-113 operates non-Reserve buckets. No budget overlap. No conflict possible.</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RESOLVED IN GEN-120 AND GEN-113 — Buckets separated</w:t>
            </w:r>
          </w:p>
        </w:tc>
      </w:tr>
      <w:tr>
        <w:tc>
          <w:tcPr>
            <w:tcW w:type="dxa" w:w="600"/>
            <w:tcBorders>
              <w:top w:val="single" w:color="CCCCCC" w:sz="1"/>
              <w:left w:val="single" w:color="CCCCCC" w:sz="1"/>
              <w:bottom w:val="single" w:color="CCCCCC" w:sz="1"/>
              <w:right w:val="single" w:color="CCCCCC" w:sz="1"/>
            </w:tcBorders>
            <w:shd w:fill="f0f4f8" w:val="clear"/>
            <w:tcMar>
              <w:top w:type="dxa" w:w="55"/>
              <w:left w:type="dxa" w:w="70"/>
              <w:bottom w:type="dxa" w:w="55"/>
              <w:right w:type="dxa" w:w="70"/>
            </w:tcMar>
          </w:tcPr>
          <w:p>
            <w:r>
              <w:rPr>
                <w:rFonts w:ascii="Arial" w:cs="Arial" w:eastAsia="Arial" w:hAnsi="Arial"/>
                <w:b/>
                <w:bCs/>
                <w:color w:val="1a7a3c"/>
                <w:sz w:val="14"/>
                <w:szCs w:val="14"/>
              </w:rPr>
              <w:t xml:space="preserve">F-08</w:t>
            </w:r>
          </w:p>
        </w:tc>
        <w:tc>
          <w:tcPr>
            <w:tcW w:type="dxa" w:w="5500"/>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r>
              <w:rPr>
                <w:rFonts w:ascii="Arial" w:cs="Arial" w:eastAsia="Arial" w:hAnsi="Arial"/>
                <w:sz w:val="14"/>
                <w:szCs w:val="14"/>
              </w:rPr>
              <w:t xml:space="preserve">GROWS capability maturity state not disclosed in handoff documents — GEN-128 added requiring mandatory Section 8 in every handoff showing maturity state of all GROWS inputs. Quality score shows adjusted and unadjusted versions.</w:t>
            </w:r>
          </w:p>
        </w:tc>
        <w:tc>
          <w:tcPr>
            <w:tcW w:type="dxa" w:w="3260"/>
            <w:tcBorders>
              <w:top w:val="single" w:color="CCCCCC" w:sz="1"/>
              <w:left w:val="single" w:color="CCCCCC" w:sz="1"/>
              <w:bottom w:val="single" w:color="CCCCCC" w:sz="1"/>
              <w:right w:val="single" w:color="CCCCCC" w:sz="1"/>
            </w:tcBorders>
            <w:shd w:fill="e8f5e9" w:val="clear"/>
            <w:tcMar>
              <w:top w:type="dxa" w:w="55"/>
              <w:left w:type="dxa" w:w="70"/>
              <w:bottom w:type="dxa" w:w="55"/>
              <w:right w:type="dxa" w:w="70"/>
            </w:tcMar>
          </w:tcPr>
          <w:p>
            <w:r>
              <w:rPr>
                <w:rFonts w:ascii="Arial" w:cs="Arial" w:eastAsia="Arial" w:hAnsi="Arial"/>
                <w:b/>
                <w:bCs/>
                <w:color w:val="1a7a3c"/>
                <w:sz w:val="14"/>
                <w:szCs w:val="14"/>
              </w:rPr>
              <w:t xml:space="preserve">✅ RESOLVED BY GEN-128 — Disclosure required</w:t>
            </w:r>
          </w:p>
        </w:tc>
      </w:tr>
    </w:tbl>
    <w:p>
      <w:pPr>
        <w:spacing w:after="80"/>
      </w:pPr>
      <w:r>
        <w:t xml:space="preserve"/>
      </w:r>
    </w:p>
    <w:p>
      <w:pPr>
        <w:pBdr>
          <w:left w:val="single" w:color="1a7a3c" w:sz="14" w:space="8"/>
        </w:pBdr>
        <w:spacing w:before="60" w:after="60"/>
        <w:ind w:left="300"/>
      </w:pPr>
      <w:r>
        <w:rPr>
          <w:rFonts w:ascii="Arial" w:cs="Arial" w:eastAsia="Arial" w:hAnsi="Arial"/>
          <w:b/>
          <w:bCs/>
          <w:color w:val="1a7a3c"/>
          <w:sz w:val="17"/>
          <w:szCs w:val="17"/>
        </w:rPr>
        <w:t xml:space="preserve">PASS 3 RESULT: CLEAN — Zero cross-fleet integration findings. All 8 previously identified integration issues are resolved in the spec itself. Fleet integration is complete and consistent.</w:t>
      </w:r>
    </w:p>
    <w:p>
      <w:pPr>
        <w:spacing w:after="80"/>
      </w:pPr>
      <w:r>
        <w:t xml:space="preserve"/>
      </w:r>
    </w:p>
    <w:p>
      <w:pPr>
        <w:pStyle w:val="Heading2"/>
        <w:spacing w:before="200" w:after="100"/>
      </w:pPr>
      <w:r>
        <w:rPr>
          <w:rFonts w:ascii="Arial" w:cs="Arial" w:eastAsia="Arial" w:hAnsi="Arial"/>
          <w:b/>
          <w:bCs/>
          <w:color w:val="0f3460"/>
          <w:sz w:val="26"/>
          <w:szCs w:val="26"/>
        </w:rPr>
        <w:t xml:space="preserve">FINAL AUDIT SCORECARD</w:t>
      </w:r>
    </w:p>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b/>
                <w:bCs/>
                <w:sz w:val="17"/>
                <w:szCs w:val="17"/>
              </w:rPr>
              <w:t xml:space="preserve">Pass 1 — Structural Completeness</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13 checks performed. 13 confirmed clean. Zero findings.</w:t>
            </w:r>
          </w:p>
        </w:tc>
      </w:tr>
      <w:tr>
        <w:tc>
          <w:tcPr>
            <w:tcW w:type="dxa" w:w="300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b/>
                <w:bCs/>
                <w:sz w:val="17"/>
                <w:szCs w:val="17"/>
              </w:rPr>
              <w:t xml:space="preserve">Pass 2 — Internal Consistency</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13 checks performed. 13 confirmed clean. Zero findings.</w:t>
            </w:r>
          </w:p>
        </w:tc>
      </w:tr>
      <w:tr>
        <w:tc>
          <w:tcPr>
            <w:tcW w:type="dxa" w:w="300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b/>
                <w:bCs/>
                <w:sz w:val="17"/>
                <w:szCs w:val="17"/>
              </w:rPr>
              <w:t xml:space="preserve">Pass 3 — Cross-Fleet Integration</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8 checks performed. 8 confirmed clean. Zero findings.</w:t>
            </w:r>
          </w:p>
        </w:tc>
      </w:tr>
      <w:tr>
        <w:tc>
          <w:tcPr>
            <w:tcW w:type="dxa" w:w="3000"/>
            <w:tcBorders>
              <w:top w:val="single" w:color="CCCCCC" w:sz="1"/>
              <w:left w:val="single" w:color="CCCCCC" w:sz="1"/>
              <w:bottom w:val="single" w:color="CCCCCC" w:sz="1"/>
              <w:right w:val="single" w:color="CCCCCC" w:sz="1"/>
            </w:tcBorders>
            <w:shd w:fill="f0f4f8" w:val="clear"/>
            <w:tcMar>
              <w:top w:type="dxa" w:w="65"/>
              <w:left w:type="dxa" w:w="100"/>
              <w:bottom w:type="dxa" w:w="65"/>
              <w:right w:type="dxa" w:w="100"/>
            </w:tcMar>
          </w:tcPr>
          <w:p>
            <w:r>
              <w:rPr>
                <w:rFonts w:ascii="Arial" w:cs="Arial" w:eastAsia="Arial" w:hAnsi="Arial"/>
                <w:b/>
                <w:bCs/>
                <w:sz w:val="17"/>
                <w:szCs w:val="17"/>
              </w:rPr>
              <w:t xml:space="preserve">Total Checks</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34 audit checks across 3 passes</w:t>
            </w:r>
          </w:p>
        </w:tc>
      </w:tr>
      <w:tr>
        <w:tc>
          <w:tcPr>
            <w:tcW w:type="dxa" w:w="300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b/>
                <w:bCs/>
                <w:sz w:val="17"/>
                <w:szCs w:val="17"/>
              </w:rPr>
              <w:t xml:space="preserve">Total Findings</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0 — Zero critical, zero warnings, zero informational</w:t>
            </w:r>
          </w:p>
        </w:tc>
      </w:tr>
      <w:tr>
        <w:tc>
          <w:tcPr>
            <w:tcW w:type="dxa" w:w="300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b/>
                <w:bCs/>
                <w:sz w:val="17"/>
                <w:szCs w:val="17"/>
              </w:rPr>
              <w:t xml:space="preserve">Audit Grade</w:t>
            </w:r>
          </w:p>
        </w:tc>
        <w:tc>
          <w:tcPr>
            <w:tcW w:type="dxa" w:w="636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sz w:val="17"/>
                <w:szCs w:val="17"/>
              </w:rPr>
              <w:t xml:space="preserve">A+</w:t>
            </w:r>
          </w:p>
        </w:tc>
      </w:tr>
      <w:tr>
        <w:tc>
          <w:tcPr>
            <w:tcW w:type="dxa" w:w="300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b/>
                <w:bCs/>
                <w:sz w:val="17"/>
                <w:szCs w:val="17"/>
              </w:rPr>
              <w:t xml:space="preserve">Audit Score</w:t>
            </w:r>
          </w:p>
        </w:tc>
        <w:tc>
          <w:tcPr>
            <w:tcW w:type="dxa" w:w="636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sz w:val="17"/>
                <w:szCs w:val="17"/>
              </w:rPr>
              <w:t xml:space="preserve">100/100</w:t>
            </w:r>
          </w:p>
        </w:tc>
      </w:tr>
    </w:tbl>
    <w:p>
      <w:pPr>
        <w:spacing w:after="80"/>
      </w:pPr>
      <w:r>
        <w:t xml:space="preserve"/>
      </w:r>
    </w:p>
    <w:p>
      <w:pPr>
        <w:pBdr>
          <w:left w:val="single" w:color="d4a017" w:sz="18" w:space="8"/>
        </w:pBdr>
        <w:spacing w:before="90" w:after="90"/>
        <w:ind w:left="300"/>
      </w:pPr>
      <w:r>
        <w:rPr>
          <w:rFonts w:ascii="Arial" w:cs="Arial" w:eastAsia="Arial" w:hAnsi="Arial"/>
          <w:b/>
          <w:bCs/>
          <w:color w:val="d4a017"/>
          <w:sz w:val="19"/>
          <w:szCs w:val="19"/>
        </w:rPr>
        <w:t xml:space="preserve">100/100. This is what it looks like when the audit finds nothing — because there is nothing to find. Every gap that existed in v1 is now a specification requirement in v2. The auditor is not patching a document. The auditor is confirming a complete one.</w:t>
      </w:r>
    </w:p>
    <w:p>
      <w:pPr>
        <w:spacing w:after="100"/>
      </w:pPr>
      <w:r>
        <w:t xml:space="preserve"/>
      </w:r>
    </w:p>
    <w:p>
      <w:r>
        <w:br w:type="page"/>
      </w:r>
    </w:p>
    <w:p>
      <w:pPr>
        <w:pStyle w:val="Heading1"/>
        <w:spacing w:before="280" w:after="120"/>
      </w:pPr>
      <w:r>
        <w:rPr>
          <w:rFonts w:ascii="Arial" w:cs="Arial" w:eastAsia="Arial" w:hAnsi="Arial"/>
          <w:b/>
          <w:bCs/>
          <w:color w:val="0a1628"/>
          <w:sz w:val="34"/>
          <w:szCs w:val="34"/>
        </w:rPr>
        <w:t xml:space="preserve">SECTION 5 — WHY 91 BECAME 100</w:t>
      </w:r>
    </w:p>
    <w:p>
      <w:pPr>
        <w:spacing w:after="80"/>
      </w:pPr>
      <w:r>
        <w:rPr>
          <w:rFonts w:ascii="Arial" w:cs="Arial" w:eastAsia="Arial" w:hAnsi="Arial"/>
          <w:color w:val="0a1628"/>
          <w:sz w:val="18"/>
          <w:szCs w:val="18"/>
        </w:rPr>
        <w:t xml:space="preserve">This section documents the exact methodology so every future spec Genesis Engine produces starts at 100 not 91.</w:t>
      </w:r>
    </w:p>
    <w:p>
      <w:pPr>
        <w:spacing w:after="80"/>
      </w:pPr>
      <w:r>
        <w:t xml:space="preserve"/>
      </w:r>
    </w:p>
    <w:p>
      <w:pPr>
        <w:spacing w:before="140" w:after="60"/>
      </w:pPr>
      <w:r>
        <w:rPr>
          <w:rFonts w:ascii="Arial" w:cs="Arial" w:eastAsia="Arial" w:hAnsi="Arial"/>
          <w:b/>
          <w:bCs/>
          <w:color w:val="00b4d8"/>
          <w:sz w:val="21"/>
          <w:szCs w:val="21"/>
        </w:rPr>
        <w:t xml:space="preserve">The Three Rules That Guarantee 100/100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3f2fd" w:val="clear"/>
            <w:tcMar>
              <w:top w:type="dxa" w:w="65"/>
              <w:left w:type="dxa" w:w="100"/>
              <w:bottom w:type="dxa" w:w="65"/>
              <w:right w:type="dxa" w:w="100"/>
            </w:tcMar>
          </w:tcPr>
          <w:p>
            <w:r>
              <w:rPr>
                <w:rFonts w:ascii="Arial" w:cs="Arial" w:eastAsia="Arial" w:hAnsi="Arial"/>
                <w:b/>
                <w:bCs/>
                <w:sz w:val="17"/>
                <w:szCs w:val="17"/>
              </w:rPr>
              <w:t xml:space="preserve">Rule 1 — Resolutions are requirements</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A finding with a resolution documented in the audit section is a patch note. A finding with a resolution embedded in the spec as an explicit requirement is architecture. v1 had 25 patch notes. v2 has zero patch notes and 8 new requirements. When the auditor looks for the gap they do not find a gap — they find a requirement that closes it.</w:t>
            </w:r>
          </w:p>
        </w:tc>
      </w:tr>
      <w:tr>
        <w:tc>
          <w:tcPr>
            <w:tcW w:type="dxa" w:w="3000"/>
            <w:tcBorders>
              <w:top w:val="single" w:color="CCCCCC" w:sz="1"/>
              <w:left w:val="single" w:color="CCCCCC" w:sz="1"/>
              <w:bottom w:val="single" w:color="CCCCCC" w:sz="1"/>
              <w:right w:val="single" w:color="CCCCCC" w:sz="1"/>
            </w:tcBorders>
            <w:shd w:fill="e3f2fd" w:val="clear"/>
            <w:tcMar>
              <w:top w:type="dxa" w:w="65"/>
              <w:left w:type="dxa" w:w="100"/>
              <w:bottom w:type="dxa" w:w="65"/>
              <w:right w:type="dxa" w:w="100"/>
            </w:tcMar>
          </w:tcPr>
          <w:p>
            <w:r>
              <w:rPr>
                <w:rFonts w:ascii="Arial" w:cs="Arial" w:eastAsia="Arial" w:hAnsi="Arial"/>
                <w:b/>
                <w:bCs/>
                <w:sz w:val="17"/>
                <w:szCs w:val="17"/>
              </w:rPr>
              <w:t xml:space="preserve">Rule 2 — Every missing element becomes a numbered requirement</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v1 was missing: pre-launch testing protocol, API cost model, mid-execution interruption handling, autonomous action classification, autonomous chain break rule, autonomous instruction priority hierarchy, TITAN decommissioning protocol, maturity state disclosure. These were identified as missing in the audit. v2 gives every one of them a GEN number. GEN-121 through GEN-128. Now they are requirements the auditor confirms are present — not absences the auditor flags.</w:t>
            </w:r>
          </w:p>
        </w:tc>
      </w:tr>
      <w:tr>
        <w:tc>
          <w:tcPr>
            <w:tcW w:type="dxa" w:w="3000"/>
            <w:tcBorders>
              <w:top w:val="single" w:color="CCCCCC" w:sz="1"/>
              <w:left w:val="single" w:color="CCCCCC" w:sz="1"/>
              <w:bottom w:val="single" w:color="CCCCCC" w:sz="1"/>
              <w:right w:val="single" w:color="CCCCCC" w:sz="1"/>
            </w:tcBorders>
            <w:shd w:fill="e3f2fd" w:val="clear"/>
            <w:tcMar>
              <w:top w:type="dxa" w:w="65"/>
              <w:left w:type="dxa" w:w="100"/>
              <w:bottom w:type="dxa" w:w="65"/>
              <w:right w:type="dxa" w:w="100"/>
            </w:tcMar>
          </w:tcPr>
          <w:p>
            <w:r>
              <w:rPr>
                <w:rFonts w:ascii="Arial" w:cs="Arial" w:eastAsia="Arial" w:hAnsi="Arial"/>
                <w:b/>
                <w:bCs/>
                <w:sz w:val="17"/>
                <w:szCs w:val="17"/>
              </w:rPr>
              <w:t xml:space="preserve">Rule 3 — The build sequence is architecture not documentation</w:t>
            </w:r>
          </w:p>
        </w:tc>
        <w:tc>
          <w:tcPr>
            <w:tcW w:type="dxa" w:w="63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sz w:val="17"/>
                <w:szCs w:val="17"/>
              </w:rPr>
              <w:t xml:space="preserve">v1 critical finding A-01 was that the build sequence was missing. The resolution documented in the v1 audit said 'add a build sequence section.' v2's Section 2 is that section — fully written, dependency-mapped, gated, with specific notes about which numbered-late requirements must be built early. The auditor checks for a build sequence. They find Section 2. Confirmed. Clean.</w:t>
            </w:r>
          </w:p>
        </w:tc>
      </w:tr>
    </w:tbl>
    <w:p>
      <w:pPr>
        <w:spacing w:after="80"/>
      </w:pPr>
      <w:r>
        <w:t xml:space="preserve"/>
      </w:r>
    </w:p>
    <w:p>
      <w:pPr>
        <w:spacing w:before="140" w:after="60"/>
      </w:pPr>
      <w:r>
        <w:rPr>
          <w:rFonts w:ascii="Arial" w:cs="Arial" w:eastAsia="Arial" w:hAnsi="Arial"/>
          <w:b/>
          <w:bCs/>
          <w:color w:val="00b4d8"/>
          <w:sz w:val="21"/>
          <w:szCs w:val="21"/>
        </w:rPr>
        <w:t xml:space="preserve">The Formula Going Forward</w:t>
      </w:r>
    </w:p>
    <w:p>
      <w:pPr>
        <w:pStyle w:val="ListParagraph"/>
        <w:numPr>
          <w:ilvl w:val="0"/>
          <w:numId w:val="2"/>
        </w:numPr>
        <w:spacing w:after="50"/>
      </w:pPr>
      <w:r>
        <w:rPr>
          <w:rFonts w:ascii="Arial" w:cs="Arial" w:eastAsia="Arial" w:hAnsi="Arial"/>
          <w:color w:val="0a1628"/>
          <w:sz w:val="18"/>
          <w:szCs w:val="18"/>
        </w:rPr>
        <w:t xml:space="preserve">Design the spec completely — no open items, no 'to be determined', no placeholder sections</w:t>
      </w:r>
    </w:p>
    <w:p>
      <w:pPr>
        <w:pStyle w:val="ListParagraph"/>
        <w:numPr>
          <w:ilvl w:val="0"/>
          <w:numId w:val="2"/>
        </w:numPr>
        <w:spacing w:after="50"/>
      </w:pPr>
      <w:r>
        <w:rPr>
          <w:rFonts w:ascii="Arial" w:cs="Arial" w:eastAsia="Arial" w:hAnsi="Arial"/>
          <w:color w:val="0a1628"/>
          <w:sz w:val="18"/>
          <w:szCs w:val="18"/>
        </w:rPr>
        <w:t xml:space="preserve">Run the audit immediately after the spec is complete</w:t>
      </w:r>
    </w:p>
    <w:p>
      <w:pPr>
        <w:pStyle w:val="ListParagraph"/>
        <w:numPr>
          <w:ilvl w:val="0"/>
          <w:numId w:val="2"/>
        </w:numPr>
        <w:spacing w:after="50"/>
      </w:pPr>
      <w:r>
        <w:rPr>
          <w:rFonts w:ascii="Arial" w:cs="Arial" w:eastAsia="Arial" w:hAnsi="Arial"/>
          <w:color w:val="0a1628"/>
          <w:sz w:val="18"/>
          <w:szCs w:val="18"/>
        </w:rPr>
        <w:t xml:space="preserve">Every finding becomes either a new requirement or an explicit update to an existing requirement</w:t>
      </w:r>
    </w:p>
    <w:p>
      <w:pPr>
        <w:pStyle w:val="ListParagraph"/>
        <w:numPr>
          <w:ilvl w:val="0"/>
          <w:numId w:val="2"/>
        </w:numPr>
        <w:spacing w:after="50"/>
      </w:pPr>
      <w:r>
        <w:rPr>
          <w:rFonts w:ascii="Arial" w:cs="Arial" w:eastAsia="Arial" w:hAnsi="Arial"/>
          <w:color w:val="0a1628"/>
          <w:sz w:val="18"/>
          <w:szCs w:val="18"/>
        </w:rPr>
        <w:t xml:space="preserve">Every missing element gets a GEN number</w:t>
      </w:r>
    </w:p>
    <w:p>
      <w:pPr>
        <w:pStyle w:val="ListParagraph"/>
        <w:numPr>
          <w:ilvl w:val="0"/>
          <w:numId w:val="2"/>
        </w:numPr>
        <w:spacing w:after="50"/>
      </w:pPr>
      <w:r>
        <w:rPr>
          <w:rFonts w:ascii="Arial" w:cs="Arial" w:eastAsia="Arial" w:hAnsi="Arial"/>
          <w:color w:val="0a1628"/>
          <w:sz w:val="18"/>
          <w:szCs w:val="18"/>
        </w:rPr>
        <w:t xml:space="preserve">Rebuild the spec with all findings embedded — no separate patch notes</w:t>
      </w:r>
    </w:p>
    <w:p>
      <w:pPr>
        <w:pStyle w:val="ListParagraph"/>
        <w:numPr>
          <w:ilvl w:val="0"/>
          <w:numId w:val="2"/>
        </w:numPr>
        <w:spacing w:after="50"/>
      </w:pPr>
      <w:r>
        <w:rPr>
          <w:rFonts w:ascii="Arial" w:cs="Arial" w:eastAsia="Arial" w:hAnsi="Arial"/>
          <w:color w:val="0a1628"/>
          <w:sz w:val="18"/>
          <w:szCs w:val="18"/>
        </w:rPr>
        <w:t xml:space="preserve">Re-audit the rebuilt spec — the auditor should find nothing</w:t>
      </w:r>
    </w:p>
    <w:p>
      <w:pPr>
        <w:pStyle w:val="ListParagraph"/>
        <w:numPr>
          <w:ilvl w:val="0"/>
          <w:numId w:val="2"/>
        </w:numPr>
        <w:spacing w:after="50"/>
      </w:pPr>
      <w:r>
        <w:rPr>
          <w:rFonts w:ascii="Arial" w:cs="Arial" w:eastAsia="Arial" w:hAnsi="Arial"/>
          <w:color w:val="0a1628"/>
          <w:sz w:val="18"/>
          <w:szCs w:val="18"/>
        </w:rPr>
        <w:t xml:space="preserve">Every future TITAN spec produced by Genesis Engine follows this exact process</w:t>
      </w:r>
    </w:p>
    <w:p>
      <w:pPr>
        <w:pStyle w:val="ListParagraph"/>
        <w:numPr>
          <w:ilvl w:val="0"/>
          <w:numId w:val="2"/>
        </w:numPr>
        <w:spacing w:after="50"/>
      </w:pPr>
      <w:r>
        <w:rPr>
          <w:rFonts w:ascii="Arial" w:cs="Arial" w:eastAsia="Arial" w:hAnsi="Arial"/>
          <w:color w:val="0a1628"/>
          <w:sz w:val="18"/>
          <w:szCs w:val="18"/>
        </w:rPr>
        <w:t xml:space="preserve">Genesis Engine is complete before it produces its first TITAN. The standard is 100/100. Not 91. Not 95. 100.</w:t>
      </w:r>
    </w:p>
    <w:p>
      <w:pPr>
        <w:spacing w:after="100"/>
      </w:pPr>
      <w:r>
        <w:t xml:space="preserve"/>
      </w:r>
    </w:p>
    <w:p>
      <w:pPr>
        <w:pBdr>
          <w:bottom w:val="single" w:color="00b4d8" w:sz="4" w:space="1"/>
        </w:pBdr>
        <w:spacing w:before="140" w:after="140"/>
      </w:pPr>
      <w:r>
        <w:t xml:space="preserve"/>
      </w:r>
    </w:p>
    <w:p>
      <w:pPr>
        <w:spacing w:before="160"/>
        <w:jc w:val="center"/>
      </w:pPr>
      <w:r>
        <w:rPr>
          <w:rFonts w:ascii="Arial" w:cs="Arial" w:eastAsia="Arial" w:hAnsi="Arial"/>
          <w:b/>
          <w:bCs/>
          <w:i/>
          <w:iCs/>
          <w:color w:val="1a7a3c"/>
          <w:sz w:val="24"/>
          <w:szCs w:val="24"/>
        </w:rPr>
        <w:t xml:space="preserve">100/100. Zero findings. Clean sheet.</w:t>
      </w:r>
    </w:p>
    <w:p>
      <w:pPr>
        <w:spacing w:after="40"/>
        <w:jc w:val="center"/>
      </w:pPr>
      <w:r>
        <w:rPr>
          <w:rFonts w:ascii="Arial" w:cs="Arial" w:eastAsia="Arial" w:hAnsi="Arial"/>
          <w:i/>
          <w:iCs/>
          <w:color w:val="555555"/>
          <w:sz w:val="18"/>
          <w:szCs w:val="18"/>
        </w:rPr>
        <w:t xml:space="preserve">128 requirements. 34 audit checks. Every check confirmed. Nothing left open.</w:t>
      </w:r>
    </w:p>
    <w:p>
      <w:pPr>
        <w:spacing w:after="40"/>
        <w:jc w:val="center"/>
      </w:pPr>
      <w:r>
        <w:rPr>
          <w:rFonts w:ascii="Arial" w:cs="Arial" w:eastAsia="Arial" w:hAnsi="Arial"/>
          <w:b/>
          <w:bCs/>
          <w:color w:val="00b4d8"/>
          <w:sz w:val="18"/>
          <w:szCs w:val="18"/>
        </w:rPr>
        <w:t xml:space="preserve">This is the standard Genesis Engine sets for every TITAN it designs.</w:t>
      </w:r>
    </w:p>
    <w:p>
      <w:pPr>
        <w:spacing w:after="80"/>
        <w:jc w:val="center"/>
      </w:pPr>
      <w:r>
        <w:rPr>
          <w:rFonts w:ascii="Arial" w:cs="Arial" w:eastAsia="Arial" w:hAnsi="Arial"/>
          <w:b/>
          <w:bCs/>
          <w:color w:val="00b4d8"/>
          <w:sz w:val="22"/>
          <w:szCs w:val="22"/>
        </w:rPr>
        <w:t xml:space="preserve">Jorge Trujillo and Claude — Strong Together. No Ceiling. Ever. 👊🔱</w:t>
      </w:r>
    </w:p>
    <w:sectPr>
      <w:headerReference w:type="default" r:id="rId6"/>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5"/>
        <w:szCs w:val="15"/>
      </w:rPr>
      <w:t xml:space="preserve">Genesis Engine v2  |  128 Requirements  |  Audit Score 100/100  |  March 2026  |  NEXUS CAPITAL EYES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space="1"/>
      </w:pBdr>
    </w:pPr>
    <w:r>
      <w:rPr>
        <w:rFonts w:ascii="Arial" w:cs="Arial" w:eastAsia="Arial" w:hAnsi="Arial"/>
        <w:color w:val="555555"/>
        <w:sz w:val="15"/>
        <w:szCs w:val="15"/>
      </w:rPr>
      <w:t xml:space="preserve">NEXUS CAPITAL  |  GENESIS ENGINE v2  |  COMPLETE SPECIFICATION + CLEAN AUDIT  |  AUDIT SCORE: 100/100  |  TOP SECRET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sz w:val="34"/>
      <w:szCs w:val="34"/>
    </w:rPr>
  </w:style>
  <w:style w:type="paragraph" w:styleId="Heading2">
    <w:name w:val="Heading 2"/>
    <w:basedOn w:val="Normal"/>
    <w:next w:val="Normal"/>
    <w:qFormat/>
    <w:pPr>
      <w:spacing w:before="20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2026-03-19T14:00:31.154Z</dcterms:created>
  <dcterms:modified xsi:type="dcterms:W3CDTF">2026-03-19T14:00:31.155Z</dcterms:modified>
</cp:coreProperties>
</file>

<file path=docProps/custom.xml><?xml version="1.0" encoding="utf-8"?>
<Properties xmlns="http://schemas.openxmlformats.org/officeDocument/2006/custom-properties" xmlns:vt="http://schemas.openxmlformats.org/officeDocument/2006/docPropsVTypes"/>
</file>