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HUB</w:t>
      </w:r>
    </w:p>
    <w:p>
      <w:pPr>
        <w:spacing w:before="0" w:after="20"/>
        <w:jc w:val="center"/>
      </w:pPr>
      <w:r>
        <w:rPr>
          <w:rFonts w:ascii="Calibri" w:cs="Calibri" w:eastAsia="Calibri" w:hAnsi="Calibri"/>
          <w:b/>
          <w:bCs/>
          <w:i w:val="false"/>
          <w:iCs w:val="false"/>
          <w:color w:val="1A3A6B"/>
          <w:sz w:val="60"/>
          <w:szCs w:val="60"/>
        </w:rPr>
        <w:t xml:space="preserve">BUILD SPEC ADDENDUM</w:t>
      </w:r>
    </w:p>
    <w:p>
      <w:pPr>
        <w:spacing w:before="0" w:after="30"/>
        <w:jc w:val="center"/>
      </w:pPr>
      <w:r>
        <w:rPr>
          <w:rFonts w:ascii="Calibri" w:cs="Calibri" w:eastAsia="Calibri" w:hAnsi="Calibri"/>
          <w:b/>
          <w:bCs/>
          <w:i w:val="false"/>
          <w:iCs w:val="false"/>
          <w:color w:val="B8860B"/>
          <w:sz w:val="40"/>
          <w:szCs w:val="40"/>
        </w:rPr>
        <w:t xml:space="preserve">COMMAND CENTER INTEGRATION</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Original Spec: 143 Requirements  ·  15 Sections</w:t>
      </w:r>
    </w:p>
    <w:p>
      <w:pPr>
        <w:spacing w:before="0" w:after="18"/>
        <w:jc w:val="center"/>
      </w:pPr>
      <w:r>
        <w:rPr>
          <w:rFonts w:ascii="Calibri" w:cs="Calibri" w:eastAsia="Calibri" w:hAnsi="Calibri"/>
          <w:b/>
          <w:bCs/>
          <w:i w:val="false"/>
          <w:iCs w:val="false"/>
          <w:color w:val="1A3A6B"/>
          <w:sz w:val="24"/>
          <w:szCs w:val="24"/>
        </w:rPr>
        <w:t xml:space="preserve">This Addendum: 11 New Requirements  ·  Updated Total: 154</w:t>
      </w:r>
    </w:p>
    <w:p>
      <w:pPr>
        <w:spacing w:before="0" w:after="18"/>
        <w:jc w:val="center"/>
      </w:pPr>
      <w:r>
        <w:rPr>
          <w:rFonts w:ascii="Calibri" w:cs="Calibri" w:eastAsia="Calibri" w:hAnsi="Calibri"/>
          <w:b w:val="false"/>
          <w:bCs w:val="false"/>
          <w:i/>
          <w:iCs/>
          <w:color w:val="555555"/>
          <w:sz w:val="22"/>
          <w:szCs w:val="22"/>
        </w:rPr>
        <w:t xml:space="preserve">Convergence Engine  ·  Capital Allocation  ·  Memory Core  ·  Treasury</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This addendum completes the Intelligence Hub Build Spec by fully specifying Layer 7 — the Command Center. Read this alongside the original spec. Together they are the definitive hub specification.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HOW TO USE THIS DOCUMENT</w:t>
            </w:r>
          </w:p>
          <w:p>
            <w:pPr>
              <w:spacing w:before="22" w:after="22"/>
            </w:pPr>
            <w:r>
              <w:rPr>
                <w:rFonts w:ascii="Calibri" w:cs="Calibri" w:eastAsia="Calibri" w:hAnsi="Calibri"/>
                <w:b w:val="false"/>
                <w:bCs w:val="false"/>
                <w:i w:val="false"/>
                <w:iCs w:val="false"/>
                <w:color w:val="2C2C2C"/>
                <w:sz w:val="20"/>
                <w:szCs w:val="20"/>
              </w:rPr>
              <w:t xml:space="preserve">This addendum works with the original Hub Build Spec v1.0.</w:t>
            </w:r>
          </w:p>
          <w:p>
            <w:pPr>
              <w:spacing w:before="22" w:after="22"/>
            </w:pPr>
            <w:r>
              <w:rPr>
                <w:rFonts w:ascii="Calibri" w:cs="Calibri" w:eastAsia="Calibri" w:hAnsi="Calibri"/>
                <w:b w:val="false"/>
                <w:bCs w:val="false"/>
                <w:i w:val="false"/>
                <w:iCs w:val="false"/>
                <w:color w:val="2C2C2C"/>
                <w:sz w:val="20"/>
                <w:szCs w:val="20"/>
              </w:rPr>
              <w:t xml:space="preserve">Do not build from either document alone.</w:t>
            </w:r>
          </w:p>
          <w:p>
            <w:pPr>
              <w:spacing w:before="22" w:after="22"/>
            </w:pPr>
            <w:r>
              <w:rPr>
                <w:rFonts w:ascii="Calibri" w:cs="Calibri" w:eastAsia="Calibri" w:hAnsi="Calibri"/>
                <w:b w:val="false"/>
                <w:bCs w:val="false"/>
                <w:i w:val="false"/>
                <w:iCs w:val="false"/>
                <w:color w:val="2C2C2C"/>
                <w:sz w:val="20"/>
                <w:szCs w:val="20"/>
              </w:rPr>
              <w:t xml:space="preserve">Read both together as one complete specification.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WHERE THE NEW REQUIREMENTS GO:</w:t>
            </w:r>
          </w:p>
          <w:p>
            <w:pPr>
              <w:spacing w:before="22" w:after="22"/>
            </w:pPr>
            <w:r>
              <w:rPr>
                <w:rFonts w:ascii="Calibri" w:cs="Calibri" w:eastAsia="Calibri" w:hAnsi="Calibri"/>
                <w:b w:val="false"/>
                <w:bCs w:val="false"/>
                <w:i w:val="false"/>
                <w:iCs w:val="false"/>
                <w:color w:val="555555"/>
                <w:sz w:val="19"/>
                <w:szCs w:val="19"/>
              </w:rPr>
              <w:t xml:space="preserve">All 11 new requirements belong in Section 2, Layer 7.</w:t>
            </w:r>
          </w:p>
          <w:p>
            <w:pPr>
              <w:spacing w:before="22" w:after="22"/>
            </w:pPr>
            <w:r>
              <w:rPr>
                <w:rFonts w:ascii="Calibri" w:cs="Calibri" w:eastAsia="Calibri" w:hAnsi="Calibri"/>
                <w:b w:val="false"/>
                <w:bCs w:val="false"/>
                <w:i w:val="false"/>
                <w:iCs w:val="false"/>
                <w:color w:val="555555"/>
                <w:sz w:val="19"/>
                <w:szCs w:val="19"/>
              </w:rPr>
              <w:t xml:space="preserve">They follow requirement #65 in the original spec.</w:t>
            </w:r>
          </w:p>
          <w:p>
            <w:pPr>
              <w:spacing w:before="22" w:after="22"/>
            </w:pPr>
            <w:r>
              <w:rPr>
                <w:rFonts w:ascii="Calibri" w:cs="Calibri" w:eastAsia="Calibri" w:hAnsi="Calibri"/>
                <w:b w:val="false"/>
                <w:bCs w:val="false"/>
                <w:i w:val="false"/>
                <w:iCs w:val="false"/>
                <w:color w:val="555555"/>
                <w:sz w:val="19"/>
                <w:szCs w:val="19"/>
              </w:rPr>
              <w:t xml:space="preserve">Numbered #144 through #154 in the combined spec.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ALSO CHANGES:</w:t>
            </w:r>
          </w:p>
          <w:p>
            <w:pPr>
              <w:spacing w:before="22" w:after="22"/>
            </w:pPr>
            <w:r>
              <w:rPr>
                <w:rFonts w:ascii="Calibri" w:cs="Calibri" w:eastAsia="Calibri" w:hAnsi="Calibri"/>
                <w:b w:val="false"/>
                <w:bCs w:val="false"/>
                <w:i w:val="false"/>
                <w:iCs w:val="false"/>
                <w:color w:val="555555"/>
                <w:sz w:val="19"/>
                <w:szCs w:val="19"/>
              </w:rPr>
              <w:t xml:space="preserve">Section 13 Build Sequence: Week 12 now has additional detail.</w:t>
            </w:r>
          </w:p>
          <w:p>
            <w:pPr>
              <w:spacing w:before="22" w:after="22"/>
            </w:pPr>
            <w:r>
              <w:rPr>
                <w:rFonts w:ascii="Calibri" w:cs="Calibri" w:eastAsia="Calibri" w:hAnsi="Calibri"/>
                <w:b w:val="false"/>
                <w:bCs w:val="false"/>
                <w:i w:val="false"/>
                <w:iCs w:val="false"/>
                <w:color w:val="555555"/>
                <w:sz w:val="19"/>
                <w:szCs w:val="19"/>
              </w:rPr>
              <w:t xml:space="preserve">Section 15 Audit: total requirements updated to 154.</w:t>
            </w:r>
          </w:p>
          <w:p>
            <w:pPr>
              <w:spacing w:before="22" w:after="22"/>
            </w:pPr>
            <w:r>
              <w:rPr>
                <w:rFonts w:ascii="Calibri" w:cs="Calibri" w:eastAsia="Calibri" w:hAnsi="Calibri"/>
                <w:b w:val="false"/>
                <w:bCs w:val="false"/>
                <w:i w:val="false"/>
                <w:iCs w:val="false"/>
                <w:color w:val="555555"/>
                <w:sz w:val="19"/>
                <w:szCs w:val="19"/>
              </w:rPr>
              <w:t xml:space="preserve">Section 15 Audit: two new grade categories added.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COMPLETE HUB SPEC IS:</w:t>
            </w:r>
          </w:p>
          <w:p>
            <w:pPr>
              <w:spacing w:before="22" w:after="22"/>
            </w:pPr>
            <w:r>
              <w:rPr>
                <w:rFonts w:ascii="Calibri" w:cs="Calibri" w:eastAsia="Calibri" w:hAnsi="Calibri"/>
                <w:b w:val="false"/>
                <w:bCs w:val="false"/>
                <w:i w:val="false"/>
                <w:iCs w:val="false"/>
                <w:color w:val="555555"/>
                <w:sz w:val="19"/>
                <w:szCs w:val="19"/>
              </w:rPr>
              <w:t xml:space="preserve">Original spec requirements #001-#143</w:t>
            </w:r>
          </w:p>
          <w:p>
            <w:pPr>
              <w:spacing w:before="22" w:after="22"/>
            </w:pPr>
            <w:r>
              <w:rPr>
                <w:rFonts w:ascii="Calibri" w:cs="Calibri" w:eastAsia="Calibri" w:hAnsi="Calibri"/>
                <w:b w:val="false"/>
                <w:bCs w:val="false"/>
                <w:i w:val="false"/>
                <w:iCs w:val="false"/>
                <w:color w:val="555555"/>
                <w:sz w:val="19"/>
                <w:szCs w:val="19"/>
              </w:rPr>
              <w:t xml:space="preserve">PLUS this addendum requirements #144-#154</w:t>
            </w:r>
          </w:p>
          <w:p>
            <w:pPr>
              <w:spacing w:before="22" w:after="22"/>
            </w:pPr>
            <w:r>
              <w:rPr>
                <w:rFonts w:ascii="Calibri" w:cs="Calibri" w:eastAsia="Calibri" w:hAnsi="Calibri"/>
                <w:b w:val="false"/>
                <w:bCs w:val="false"/>
                <w:i w:val="false"/>
                <w:iCs w:val="false"/>
                <w:color w:val="555555"/>
                <w:sz w:val="19"/>
                <w:szCs w:val="19"/>
              </w:rPr>
              <w:t xml:space="preserve">PLUS the Command Center Concept document for deep understanding.</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THE NAMING QUESTION — PERMANENTLY RESOLVED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THE COMMAND CENTER IS LAYER 7 OF THE INTELLIGENCE HUB</w:t>
            </w:r>
          </w:p>
          <w:p>
            <w:pPr>
              <w:spacing w:before="22" w:after="22"/>
            </w:pPr>
            <w:r>
              <w:rPr>
                <w:rFonts w:ascii="Calibri" w:cs="Calibri" w:eastAsia="Calibri" w:hAnsi="Calibri"/>
                <w:b w:val="false"/>
                <w:bCs w:val="false"/>
                <w:i w:val="false"/>
                <w:iCs w:val="false"/>
                <w:color w:val="2C2C2C"/>
                <w:sz w:val="20"/>
                <w:szCs w:val="20"/>
              </w:rPr>
              <w:t xml:space="preserve">This was the open question throughout the entire design process.</w:t>
            </w:r>
          </w:p>
          <w:p>
            <w:pPr>
              <w:spacing w:before="22" w:after="22"/>
            </w:pPr>
            <w:r>
              <w:rPr>
                <w:rFonts w:ascii="Calibri" w:cs="Calibri" w:eastAsia="Calibri" w:hAnsi="Calibri"/>
                <w:b w:val="false"/>
                <w:bCs w:val="false"/>
                <w:i w:val="false"/>
                <w:iCs w:val="false"/>
                <w:color w:val="2C2C2C"/>
                <w:sz w:val="20"/>
                <w:szCs w:val="20"/>
              </w:rPr>
              <w:t xml:space="preserve">Is the Command Center a separate system or part of the hub?</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Answer: Layer 7. Same PostgreSQL database. Same Railway project.</w:t>
            </w:r>
          </w:p>
          <w:p>
            <w:pPr>
              <w:spacing w:before="22" w:after="22"/>
            </w:pPr>
            <w:r>
              <w:rPr>
                <w:rFonts w:ascii="Calibri" w:cs="Calibri" w:eastAsia="Calibri" w:hAnsi="Calibri"/>
                <w:b w:val="false"/>
                <w:bCs w:val="false"/>
                <w:i w:val="false"/>
                <w:iCs w:val="false"/>
                <w:color w:val="2C2C2C"/>
                <w:sz w:val="20"/>
                <w:szCs w:val="20"/>
              </w:rPr>
              <w:t xml:space="preserve">Same organism. Not a separate service. Not an external coordinator.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Building the hub builds the Command Center.</w:t>
            </w:r>
          </w:p>
          <w:p>
            <w:pPr>
              <w:spacing w:before="22" w:after="22"/>
            </w:pPr>
            <w:r>
              <w:rPr>
                <w:rFonts w:ascii="Calibri" w:cs="Calibri" w:eastAsia="Calibri" w:hAnsi="Calibri"/>
                <w:b w:val="false"/>
                <w:bCs w:val="false"/>
                <w:i w:val="false"/>
                <w:iCs w:val="false"/>
                <w:color w:val="2C2C2C"/>
                <w:sz w:val="20"/>
                <w:szCs w:val="20"/>
              </w:rPr>
              <w:t xml:space="preserve">There is no separate Command Center build session.</w:t>
            </w:r>
          </w:p>
          <w:p>
            <w:pPr>
              <w:spacing w:before="22" w:after="22"/>
            </w:pPr>
            <w:r>
              <w:rPr>
                <w:rFonts w:ascii="Calibri" w:cs="Calibri" w:eastAsia="Calibri" w:hAnsi="Calibri"/>
                <w:b w:val="false"/>
                <w:bCs w:val="false"/>
                <w:i w:val="false"/>
                <w:iCs w:val="false"/>
                <w:color w:val="2C2C2C"/>
                <w:sz w:val="20"/>
                <w:szCs w:val="20"/>
              </w:rPr>
              <w:t xml:space="preserve">Week 12 of the build sequence already covers Layer 7.</w:t>
            </w:r>
          </w:p>
          <w:p>
            <w:pPr>
              <w:spacing w:before="22" w:after="22"/>
            </w:pPr>
            <w:r>
              <w:rPr>
                <w:rFonts w:ascii="Calibri" w:cs="Calibri" w:eastAsia="Calibri" w:hAnsi="Calibri"/>
                <w:b w:val="false"/>
                <w:bCs w:val="false"/>
                <w:i w:val="false"/>
                <w:iCs w:val="false"/>
                <w:color w:val="2C2C2C"/>
                <w:sz w:val="20"/>
                <w:szCs w:val="20"/>
              </w:rPr>
              <w:t xml:space="preserve">This addendum specifies what Week 12 actually builds.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Layer 7 has five functions:</w:t>
            </w:r>
          </w:p>
          <w:p>
            <w:pPr>
              <w:spacing w:before="22" w:after="22"/>
            </w:pPr>
            <w:r>
              <w:rPr>
                <w:rFonts w:ascii="Calibri" w:cs="Calibri" w:eastAsia="Calibri" w:hAnsi="Calibri"/>
                <w:b w:val="false"/>
                <w:bCs w:val="false"/>
                <w:i w:val="false"/>
                <w:iCs w:val="false"/>
                <w:color w:val="555555"/>
                <w:sz w:val="19"/>
                <w:szCs w:val="19"/>
              </w:rPr>
              <w:t xml:space="preserve">1. Convergence Engine — detects multi-TITAN alignment.</w:t>
            </w:r>
          </w:p>
          <w:p>
            <w:pPr>
              <w:spacing w:before="22" w:after="22"/>
            </w:pPr>
            <w:r>
              <w:rPr>
                <w:rFonts w:ascii="Calibri" w:cs="Calibri" w:eastAsia="Calibri" w:hAnsi="Calibri"/>
                <w:b w:val="false"/>
                <w:bCs w:val="false"/>
                <w:i w:val="false"/>
                <w:iCs w:val="false"/>
                <w:color w:val="555555"/>
                <w:sz w:val="19"/>
                <w:szCs w:val="19"/>
              </w:rPr>
              <w:t xml:space="preserve">2. Capital Allocation Intelligence — manages every dollar.</w:t>
            </w:r>
          </w:p>
          <w:p>
            <w:pPr>
              <w:spacing w:before="22" w:after="22"/>
            </w:pPr>
            <w:r>
              <w:rPr>
                <w:rFonts w:ascii="Calibri" w:cs="Calibri" w:eastAsia="Calibri" w:hAnsi="Calibri"/>
                <w:b w:val="false"/>
                <w:bCs w:val="false"/>
                <w:i w:val="false"/>
                <w:iCs w:val="false"/>
                <w:color w:val="555555"/>
                <w:sz w:val="19"/>
                <w:szCs w:val="19"/>
              </w:rPr>
              <w:t xml:space="preserve">3. Fleet Health Command — PULSE, registry, kill switch, cascade prevention.</w:t>
            </w:r>
          </w:p>
          <w:p>
            <w:pPr>
              <w:spacing w:before="22" w:after="22"/>
            </w:pPr>
            <w:r>
              <w:rPr>
                <w:rFonts w:ascii="Calibri" w:cs="Calibri" w:eastAsia="Calibri" w:hAnsi="Calibri"/>
                <w:b w:val="false"/>
                <w:bCs w:val="false"/>
                <w:i w:val="false"/>
                <w:iCs w:val="false"/>
                <w:color w:val="555555"/>
                <w:sz w:val="19"/>
                <w:szCs w:val="19"/>
              </w:rPr>
              <w:t xml:space="preserve">4. Memory Core — cross-TITAN collective intelligence.</w:t>
            </w:r>
          </w:p>
          <w:p>
            <w:pPr>
              <w:spacing w:before="22" w:after="22"/>
            </w:pPr>
            <w:r>
              <w:rPr>
                <w:rFonts w:ascii="Calibri" w:cs="Calibri" w:eastAsia="Calibri" w:hAnsi="Calibri"/>
                <w:b w:val="false"/>
                <w:bCs w:val="false"/>
                <w:i w:val="false"/>
                <w:iCs w:val="false"/>
                <w:color w:val="555555"/>
                <w:sz w:val="19"/>
                <w:szCs w:val="19"/>
              </w:rPr>
              <w:t xml:space="preserve">5. Jorge Command Interface — Morning Brief, Alert Queue, Fleet Status.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Requirements #57-#65 in the original spec cover functions 3 and 5 partially.</w:t>
            </w:r>
          </w:p>
          <w:p>
            <w:pPr>
              <w:spacing w:before="22" w:after="22"/>
            </w:pPr>
            <w:r>
              <w:rPr>
                <w:rFonts w:ascii="Calibri" w:cs="Calibri" w:eastAsia="Calibri" w:hAnsi="Calibri"/>
                <w:b w:val="false"/>
                <w:bCs w:val="false"/>
                <w:i w:val="false"/>
                <w:iCs w:val="false"/>
                <w:color w:val="2C2C2C"/>
                <w:sz w:val="20"/>
                <w:szCs w:val="20"/>
              </w:rPr>
              <w:t xml:space="preserve">Requirements #144-#154 in this addendum complete all five functions fully.</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11 NEW REQUIREMENTS</w:t>
      </w:r>
    </w:p>
    <w:p>
      <w:pPr>
        <w:spacing w:before="40" w:after="40"/>
      </w:pPr>
      <w:r>
        <w:rPr>
          <w:rFonts w:ascii="Calibri" w:cs="Calibri" w:eastAsia="Calibri" w:hAnsi="Calibri"/>
          <w:b w:val="false"/>
          <w:bCs w:val="false"/>
          <w:i/>
          <w:iCs/>
          <w:color w:val="555555"/>
          <w:sz w:val="22"/>
          <w:szCs w:val="22"/>
        </w:rPr>
        <w:t xml:space="preserve">Requirements #144 through #154. These follow requirement #65 in the original spec. All belong in Section 2 Layer 7.</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2.1 — Convergence Engine (Layer 7 Addition)</w:t>
      </w:r>
    </w:p>
    <w:p>
      <w:pPr>
        <w:spacing w:before="40" w:after="40"/>
      </w:pPr>
      <w:r>
        <w:rPr>
          <w:rFonts w:ascii="Calibri" w:cs="Calibri" w:eastAsia="Calibri" w:hAnsi="Calibri"/>
          <w:b w:val="false"/>
          <w:bCs w:val="false"/>
          <w:i w:val="false"/>
          <w:iCs w:val="false"/>
          <w:color w:val="2C2C2C"/>
          <w:sz w:val="22"/>
          <w:szCs w:val="22"/>
        </w:rPr>
        <w:t xml:space="preserve">The original spec mentions convergence detection in Req #63. These requirements fully specify the Convergence Engine including the simultaneous entry sequencing protocol that was unresolved.</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#144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Engine operates in three tiers. Level 1: two TITANs returning 80-89% conviction on same instrument within 10 minutes. Level 2: two TITANs 90%+ OR three TITANs 80%+. Level 3: three or more TITANs 90%+. Each tier triggers different capital allocation response.</w:t>
      </w:r>
      <w:r>
        <w:rPr>
          <w:rFonts w:ascii="Calibri" w:cs="Calibri" w:eastAsia="Calibri" w:hAnsi="Calibri"/>
          <w:b w:val="false"/>
          <w:bCs w:val="false"/>
          <w:i/>
          <w:iCs/>
          <w:color w:val="B8860B"/>
          <w:sz w:val="17"/>
          <w:szCs w:val="17"/>
        </w:rPr>
        <w:t xml:space="preserve">  ★ Replaces vague convergence reference in #63</w:t>
      </w:r>
    </w:p>
    <w:p>
      <w:pPr>
        <w:spacing w:before="28" w:after="28"/>
        <w:ind w:left="440"/>
      </w:pPr>
      <w:r>
        <w:rPr>
          <w:rFonts w:ascii="Calibri" w:cs="Calibri" w:eastAsia="Calibri" w:hAnsi="Calibri"/>
          <w:b/>
          <w:bCs/>
          <w:i w:val="false"/>
          <w:iCs w:val="false"/>
          <w:color w:val="8B0000"/>
          <w:sz w:val="18"/>
          <w:szCs w:val="18"/>
        </w:rPr>
        <w:t xml:space="preserve">#145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Simultaneous entry sequencing protocol activates for every Convergence Signal without exception. Step 1: Command Center locks instrument in Ticker Registry. Step 2: calculates total combined intended position size vs 20-day ADV. Step 3A: if below 0.5% ADV, all TITANs enter simultaneously. Step 3B: if above 0.5% ADV, sequential entry with 30-second pauses in conviction-score order.</w:t>
      </w:r>
    </w:p>
    <w:p>
      <w:pPr>
        <w:spacing w:before="28" w:after="28"/>
        <w:ind w:left="440"/>
      </w:pPr>
      <w:r>
        <w:rPr>
          <w:rFonts w:ascii="Calibri" w:cs="Calibri" w:eastAsia="Calibri" w:hAnsi="Calibri"/>
          <w:b/>
          <w:bCs/>
          <w:i w:val="false"/>
          <w:iCs w:val="false"/>
          <w:color w:val="8B0000"/>
          <w:sz w:val="18"/>
          <w:szCs w:val="18"/>
        </w:rPr>
        <w:t xml:space="preserve">#146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During sequential entry pauses: Command Center monitors for adverse price movement. If price moves 0.5%+ against intended direction during any pause: remaining TITANs receive HOLD signal. Command Center reassesses and sends updated guidance within 30 seconds.</w:t>
      </w:r>
    </w:p>
    <w:p>
      <w:pPr>
        <w:spacing w:before="28" w:after="28"/>
        <w:ind w:left="440"/>
      </w:pPr>
      <w:r>
        <w:rPr>
          <w:rFonts w:ascii="Calibri" w:cs="Calibri" w:eastAsia="Calibri" w:hAnsi="Calibri"/>
          <w:b/>
          <w:bCs/>
          <w:i w:val="false"/>
          <w:iCs w:val="false"/>
          <w:color w:val="8B4000"/>
          <w:sz w:val="18"/>
          <w:szCs w:val="18"/>
        </w:rPr>
        <w:t xml:space="preserve">#147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Cross-domain Convergence Signals weighted higher than same-domain signals. TITAN PRIME and TITAN CRYPTO converging on same instrument outweighs TITAN MOMENTUM and TITAN STOCK converging on same equity. Different analytical frameworks provide stronger independent confirmation.</w:t>
      </w:r>
    </w:p>
    <w:p>
      <w:pPr>
        <w:spacing w:before="28" w:after="28"/>
        <w:ind w:left="440"/>
      </w:pPr>
      <w:r>
        <w:rPr>
          <w:rFonts w:ascii="Calibri" w:cs="Calibri" w:eastAsia="Calibri" w:hAnsi="Calibri"/>
          <w:b/>
          <w:bCs/>
          <w:i w:val="false"/>
          <w:iCs w:val="false"/>
          <w:color w:val="8B4000"/>
          <w:sz w:val="18"/>
          <w:szCs w:val="18"/>
        </w:rPr>
        <w:t xml:space="preserve">#148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Convergence Signal expires after 10 minutes. If opportunity not entered within 10 minutes of signal: signal expires, logged as expired, no stale convergence trades. Each expired signal stored in Evidence Layer for calibration.</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2.2 — Capital Allocation Formula (Layer 7 Addition)</w:t>
      </w:r>
    </w:p>
    <w:p>
      <w:pPr>
        <w:spacing w:before="40" w:after="40"/>
      </w:pPr>
      <w:r>
        <w:rPr>
          <w:rFonts w:ascii="Calibri" w:cs="Calibri" w:eastAsia="Calibri" w:hAnsi="Calibri"/>
          <w:b w:val="false"/>
          <w:bCs w:val="false"/>
          <w:i w:val="false"/>
          <w:iCs w:val="false"/>
          <w:color w:val="2C2C2C"/>
          <w:sz w:val="22"/>
          <w:szCs w:val="22"/>
        </w:rPr>
        <w:t xml:space="preserve">The original spec mentions capital allocation in Req #65 but provides no formula. This requirement specifies the complete formula.</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#149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Capital allocation formula applies by stage. Stage 1-3 (under $25K): 100% to FORGE prop firm evaluation — no personal capital to other TITANs. Stage 4 ($25K+): PRIME seed $5K-$10K from Treasury when available, 20% Treasury reserve maintained. Stage 5 ($100K+): PRIME 40%, CRYPTO 25%, MOMENTUM 25%, Treasury reserve 10%. Stage 6 ($500K+ with SWARM): Stage 5 ratios maintained, SWARM isolated, extractions fund expansion.</w:t>
      </w:r>
    </w:p>
    <w:p>
      <w:pPr>
        <w:spacing w:before="28" w:after="28"/>
        <w:ind w:left="440"/>
      </w:pPr>
      <w:r>
        <w:rPr>
          <w:rFonts w:ascii="Calibri" w:cs="Calibri" w:eastAsia="Calibri" w:hAnsi="Calibri"/>
          <w:b/>
          <w:bCs/>
          <w:i w:val="false"/>
          <w:iCs w:val="false"/>
          <w:color w:val="8B4000"/>
          <w:sz w:val="18"/>
          <w:szCs w:val="18"/>
        </w:rPr>
        <w:t xml:space="preserve">#150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Performance adjustment runs on first trading day of each month. If any TITAN's 30-day Sharpe ratio drops below 1.0: allocation reduced 20%. If 30-day profit factor drops below 1.3: allocation reduced 30%. Reductions restore after 5 consecutive trading days above threshold. Never reduced below minimum viable operating capital.</w:t>
      </w:r>
    </w:p>
    <w:p>
      <w:pPr>
        <w:spacing w:before="28" w:after="28"/>
        <w:ind w:left="440"/>
      </w:pPr>
      <w:r>
        <w:rPr>
          <w:rFonts w:ascii="Calibri" w:cs="Calibri" w:eastAsia="Calibri" w:hAnsi="Calibri"/>
          <w:b/>
          <w:bCs/>
          <w:i w:val="false"/>
          <w:iCs w:val="false"/>
          <w:color w:val="8B4000"/>
          <w:sz w:val="18"/>
          <w:szCs w:val="18"/>
        </w:rPr>
        <w:t xml:space="preserve">#151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Convergence bonus: Level 2 or Level 3 Convergence Signal temporarily increases participating TITANs available capital by up to 25% using Treasury reserve. Capital returns to Treasury when position closes. Cannot push Treasury below reserve floor. This is the only autonomous Treasury deployment permitted.</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2.3 — Memory Core (Layer 7 Addition)</w:t>
      </w:r>
    </w:p>
    <w:p>
      <w:pPr>
        <w:spacing w:before="40" w:after="40"/>
      </w:pPr>
      <w:r>
        <w:rPr>
          <w:rFonts w:ascii="Calibri" w:cs="Calibri" w:eastAsia="Calibri" w:hAnsi="Calibri"/>
          <w:b w:val="false"/>
          <w:bCs w:val="false"/>
          <w:i w:val="false"/>
          <w:iCs w:val="false"/>
          <w:color w:val="2C2C2C"/>
          <w:sz w:val="22"/>
          <w:szCs w:val="22"/>
        </w:rPr>
        <w:t xml:space="preserve">The Memory Core was referenced but never specified. These requirements define what it stores, how it updates, and how it serves the fleet.</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#152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Memory Core is a dedicated schema within the Evidence Layer. Every TITAN writes outcomes to its own namespace AND to the shared Memory Core namespace simultaneously. No TITAN has direct read or write access to another TITAN's namespace. All cross-TITAN data flows through Command Center exclusively.</w:t>
      </w:r>
    </w:p>
    <w:p>
      <w:pPr>
        <w:spacing w:before="28" w:after="28"/>
        <w:ind w:left="440"/>
      </w:pPr>
      <w:r>
        <w:rPr>
          <w:rFonts w:ascii="Calibri" w:cs="Calibri" w:eastAsia="Calibri" w:hAnsi="Calibri"/>
          <w:b/>
          <w:bCs/>
          <w:i w:val="false"/>
          <w:iCs w:val="false"/>
          <w:color w:val="8B4000"/>
          <w:sz w:val="18"/>
          <w:szCs w:val="18"/>
        </w:rPr>
        <w:t xml:space="preserve">#153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Memory Core weekly analysis: cross-TITAN patterns processed every Sunday. Identifies timing correlations across TITANs, shared failure conditions (conditions where multiple TITANs underperformed simultaneously), combined behavioral fingerprints for instruments traded by multiple TITANs, fleet-wide regime performance patterns. Output fed to Intelligence Layer as context for every significant event evaluation.</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2.4 — FORGE Command Center Integration (Layer 7 Addition)</w:t>
      </w:r>
    </w:p>
    <w:p>
      <w:pPr>
        <w:spacing w:before="40" w:after="40"/>
      </w:pPr>
      <w:r>
        <w:rPr>
          <w:rFonts w:ascii="Calibri" w:cs="Calibri" w:eastAsia="Calibri" w:hAnsi="Calibri"/>
          <w:b w:val="false"/>
          <w:bCs w:val="false"/>
          <w:i w:val="false"/>
          <w:iCs w:val="false"/>
          <w:color w:val="2C2C2C"/>
          <w:sz w:val="22"/>
          <w:szCs w:val="22"/>
        </w:rPr>
        <w:t xml:space="preserve">FORGE requires specific Command Center handling that was not in the original spec.</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#154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FORGE-specific Command Center functions active from FORGE's first live day: (1) Prop firm rules enforcement — hard gate before any signal reaches FORGE, blocks signal if firm rule would be violated. (2) Per-account rule application — FTMO rules apply to FTMO account, Apex rules apply to Apex account, never confused. (3) FORGE income routing — automated from prop firm payout receipt to Treasury, Jorge notified within 60 seconds. (4) Behavioral consistency flag in signal metadata — informational warning when signal would cause sudden profile switch, never a hard block.</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WEEK 12 BUILD SEQUENCE — UPDATED</w:t>
      </w:r>
    </w:p>
    <w:p>
      <w:pPr>
        <w:spacing w:before="40" w:after="40"/>
      </w:pPr>
      <w:r>
        <w:rPr>
          <w:rFonts w:ascii="Calibri" w:cs="Calibri" w:eastAsia="Calibri" w:hAnsi="Calibri"/>
          <w:b w:val="false"/>
          <w:bCs w:val="false"/>
          <w:i/>
          <w:iCs/>
          <w:color w:val="555555"/>
          <w:sz w:val="22"/>
          <w:szCs w:val="22"/>
        </w:rPr>
        <w:t xml:space="preserve">The original spec Week 12 entry was brief. This section fully specifies what gets built that week.</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Week 12 in the original spec reads: "Ticker Registry. Capital allocation. Kill switch. PULSE monitoring. Convergence detection. Treasury component. React Native app initial version." This section expands that into a complete build sequence.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 DAY 1
Ticker Registry + Kill Switch</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Redis Ticker Registry with sub-100ms read performance. SWARM extended registry support. Kill switch sequence: SWARM bots first, MOMENTUM second, PRIME/CRYPTO last. Kill switch tested in paper mode. Monthly test automation configured.</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 DAY 2
Convergence Engine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Three-tier Convergence Signal detection. Simultaneous entry sequencing protocol with 0.5% ADV threshold. Sequential entry with 30-second pause logic. Adverse movement hold protocol. Convergence expiry timer. All Convergence events stored to Evidence Layer.</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 DAY 3
Capital Allocation + Treasury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Capital allocation formula implemented per stage. Performance adjustment logic running monthly. Convergence bonus logic with Treasury floor protection. Treasury deployment queue. Milestone and performance trigger alerts. Treasury balance in Jorge app.</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 DAY 4
Memory Core + Cascade Prevention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Memory Core schema in PostgreSQL. Cross-TITAN write protocol. Correlation circuit breaker. Liquidity reserve (25% position reduction during single-TITAN crisis). Weekly Memory Core analysis job. Fleet-wide failure condition library initialized.</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 DAY 5
FORGE Integration + Jorge App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FORGE prop firm rules enforcement in signal routing. Per-account rule application. FORGE income routing automation. Behavioral consistency flag. React Native app: Morning Brief, Alert Queue, Fleet Status. Push notifications. Alert priority system.</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COMPLETE REQUIREMENT INDEX</w:t>
      </w:r>
    </w:p>
    <w:p>
      <w:pPr>
        <w:spacing w:before="40" w:after="40"/>
      </w:pPr>
      <w:r>
        <w:rPr>
          <w:rFonts w:ascii="Calibri" w:cs="Calibri" w:eastAsia="Calibri" w:hAnsi="Calibri"/>
          <w:b w:val="false"/>
          <w:bCs w:val="false"/>
          <w:i/>
          <w:iCs/>
          <w:color w:val="555555"/>
          <w:sz w:val="22"/>
          <w:szCs w:val="22"/>
        </w:rPr>
        <w:t xml:space="preserve">All 154 requirements across both documents. Use this as the master checklist.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#001 — #005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Architecture overview. Three jobs. Single database. Communication style.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#006 — #014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1: Market Feed. Eight data connections. Health monitoring. Failure protocol.</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#015 — #024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2: Scanners. Eight parallel processes. All markets. Redis queue output.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#025 — #030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3: Triage. Routing logic. Market context. Emergency routing.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#031 — #040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4: Ghost Trade Engine. Smart filters. Anomaly override. Strategy library.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#041 — #048</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5: Evidence Layer. Data quality. Backup. Contradiction detector.</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#049 — #056</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6: Intelligence Layer. Two call types. Self-health monitor. Simulation mode.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#057 — #065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Layer 7 original: Generation Protocol. Fleet Coordination. Memory Core reference.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#066 — #070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3: All Markets. Eight scanner types. Phase 1 PRIME priority.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#071 — #083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4: Three Phases. Phase 1, 2, 3 requirements.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#084 — #091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5: Signal System. Watch, Evaluate, Convergence. Routing logic.</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#092 — #102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6: FORGE Integration. Hard wall. Prop firm rules. Performance mirror.</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#103 — #109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7: SWARM Support. Isolation enforcer. Pool monitoring. Sweet spot.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#110 — #112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8: Autonomy Boundaries. Four categories. Track record.</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#113 — #121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9: Jorge App. React Native. Three screens. Push notifications.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#122 — #126</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10: Treasury. Flows. Reserve floor. Deployment queue.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#127 — #131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11: Backup and Recovery. Daily backups. Recovery protocol.</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#132 — #136</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12: Inter-TITAN Communication. Redis + PostgreSQL.</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#137 — #139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13: Build Sequence. Validation gates. Documentation requirement.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#140 — #143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Section 14: Strict Builder Rules. Main.py case study. Eight rules.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#144 — #148</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ADDENDUM: Convergence Engine. Three tiers. Entry sequencing. Expiry.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#149 — #151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ADDENDUM: Capital Allocation Formula. Stage-by-stage. Performance adj.</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#152 — #153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ADDENDUM: Memory Core. Schema. Weekly analysis. Cross-TITAN patterns.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#154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ADDENDUM: FORGE Command Center Integration. Four specific functions.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UPDATED FINAL AUDIT</w:t>
      </w:r>
    </w:p>
    <w:p>
      <w:pPr>
        <w:spacing w:before="40" w:after="40"/>
      </w:pPr>
      <w:r>
        <w:rPr>
          <w:rFonts w:ascii="Calibri" w:cs="Calibri" w:eastAsia="Calibri" w:hAnsi="Calibri"/>
          <w:b w:val="false"/>
          <w:bCs w:val="false"/>
          <w:i/>
          <w:iCs/>
          <w:color w:val="555555"/>
          <w:sz w:val="22"/>
          <w:szCs w:val="22"/>
        </w:rPr>
        <w:t xml:space="preserve">Original spec graded A+++. Addendum maintains and strengthens that grade.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original audit covered 143 requirements. This updated audit covers all 154 requirements across both documents.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Q1 — ALL 154 REQUIREMENTS BUILDABLE?</w:t>
            </w:r>
          </w:p>
          <w:p>
            <w:pPr>
              <w:spacing w:before="22" w:after="22"/>
            </w:pPr>
            <w:r>
              <w:rPr>
                <w:rFonts w:ascii="Calibri" w:cs="Calibri" w:eastAsia="Calibri" w:hAnsi="Calibri"/>
                <w:b w:val="false"/>
                <w:bCs w:val="false"/>
                <w:i w:val="false"/>
                <w:iCs w:val="false"/>
                <w:color w:val="2C2C2C"/>
                <w:sz w:val="20"/>
                <w:szCs w:val="20"/>
              </w:rPr>
              <w:t xml:space="preserve">✅ Requirements #144-#154: all use existing hub infrastructure.</w:t>
            </w:r>
          </w:p>
          <w:p>
            <w:pPr>
              <w:spacing w:before="22" w:after="22"/>
            </w:pPr>
            <w:r>
              <w:rPr>
                <w:rFonts w:ascii="Calibri" w:cs="Calibri" w:eastAsia="Calibri" w:hAnsi="Calibri"/>
                <w:b w:val="false"/>
                <w:bCs w:val="false"/>
                <w:i w:val="false"/>
                <w:iCs w:val="false"/>
                <w:color w:val="555555"/>
                <w:sz w:val="19"/>
                <w:szCs w:val="19"/>
              </w:rPr>
              <w:t xml:space="preserve">Convergence Engine: Python asyncio + Redis locks + PostgreSQL.</w:t>
            </w:r>
          </w:p>
          <w:p>
            <w:pPr>
              <w:spacing w:before="22" w:after="22"/>
            </w:pPr>
            <w:r>
              <w:rPr>
                <w:rFonts w:ascii="Calibri" w:cs="Calibri" w:eastAsia="Calibri" w:hAnsi="Calibri"/>
                <w:b w:val="false"/>
                <w:bCs w:val="false"/>
                <w:i w:val="false"/>
                <w:iCs w:val="false"/>
                <w:color w:val="555555"/>
                <w:sz w:val="19"/>
                <w:szCs w:val="19"/>
              </w:rPr>
              <w:t xml:space="preserve">Entry sequencing: asyncio timer + Redis instrument lock.</w:t>
            </w:r>
          </w:p>
          <w:p>
            <w:pPr>
              <w:spacing w:before="22" w:after="22"/>
            </w:pPr>
            <w:r>
              <w:rPr>
                <w:rFonts w:ascii="Calibri" w:cs="Calibri" w:eastAsia="Calibri" w:hAnsi="Calibri"/>
                <w:b w:val="false"/>
                <w:bCs w:val="false"/>
                <w:i w:val="false"/>
                <w:iCs w:val="false"/>
                <w:color w:val="555555"/>
                <w:sz w:val="19"/>
                <w:szCs w:val="19"/>
              </w:rPr>
              <w:t xml:space="preserve">Capital formula: PostgreSQL queries + Python arithmetic.</w:t>
            </w:r>
          </w:p>
          <w:p>
            <w:pPr>
              <w:spacing w:before="22" w:after="22"/>
            </w:pPr>
            <w:r>
              <w:rPr>
                <w:rFonts w:ascii="Calibri" w:cs="Calibri" w:eastAsia="Calibri" w:hAnsi="Calibri"/>
                <w:b w:val="false"/>
                <w:bCs w:val="false"/>
                <w:i w:val="false"/>
                <w:iCs w:val="false"/>
                <w:color w:val="555555"/>
                <w:sz w:val="19"/>
                <w:szCs w:val="19"/>
              </w:rPr>
              <w:t xml:space="preserve">Memory Core: PostgreSQL schema extension in existing database.</w:t>
            </w:r>
          </w:p>
          <w:p>
            <w:pPr>
              <w:spacing w:before="22" w:after="22"/>
            </w:pPr>
            <w:r>
              <w:rPr>
                <w:rFonts w:ascii="Calibri" w:cs="Calibri" w:eastAsia="Calibri" w:hAnsi="Calibri"/>
                <w:b w:val="false"/>
                <w:bCs w:val="false"/>
                <w:i w:val="false"/>
                <w:iCs w:val="false"/>
                <w:color w:val="555555"/>
                <w:sz w:val="19"/>
                <w:szCs w:val="19"/>
              </w:rPr>
              <w:t xml:space="preserve">FORGE integration: Python middleware in signal routing layer.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Zero additional services required beyond original spec.</w:t>
            </w:r>
          </w:p>
          <w:p>
            <w:pPr>
              <w:spacing w:before="22" w:after="22"/>
            </w:pPr>
            <w:r>
              <w:rPr>
                <w:rFonts w:ascii="Calibri" w:cs="Calibri" w:eastAsia="Calibri" w:hAnsi="Calibri"/>
                <w:b w:val="false"/>
                <w:bCs w:val="false"/>
                <w:i w:val="false"/>
                <w:iCs w:val="false"/>
                <w:color w:val="2C2C2C"/>
                <w:sz w:val="20"/>
                <w:szCs w:val="20"/>
              </w:rPr>
              <w:t xml:space="preserve">✅ Zero additional monthly cost beyond original spec.</w:t>
            </w:r>
          </w:p>
          <w:p>
            <w:pPr>
              <w:spacing w:before="22" w:after="22"/>
            </w:pPr>
            <w:r>
              <w:rPr>
                <w:rFonts w:ascii="Calibri" w:cs="Calibri" w:eastAsia="Calibri" w:hAnsi="Calibri"/>
                <w:b w:val="false"/>
                <w:bCs w:val="false"/>
                <w:i w:val="false"/>
                <w:iCs w:val="false"/>
                <w:color w:val="2C2C2C"/>
                <w:sz w:val="20"/>
                <w:szCs w:val="20"/>
              </w:rPr>
              <w:t xml:space="preserve">✅ 154/154 buildable. All confirmed.</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Q2 — ANY NEW CLASHES?</w:t>
            </w:r>
          </w:p>
          <w:p>
            <w:pPr>
              <w:spacing w:before="22" w:after="22"/>
            </w:pPr>
            <w:r>
              <w:rPr>
                <w:rFonts w:ascii="Calibri" w:cs="Calibri" w:eastAsia="Calibri" w:hAnsi="Calibri"/>
                <w:b w:val="false"/>
                <w:bCs w:val="false"/>
                <w:i w:val="false"/>
                <w:iCs w:val="false"/>
                <w:color w:val="2C2C2C"/>
                <w:sz w:val="20"/>
                <w:szCs w:val="20"/>
              </w:rPr>
              <w:t xml:space="preserve">Convergence bonus vs Treasury reserve floor:</w:t>
            </w:r>
          </w:p>
          <w:p>
            <w:pPr>
              <w:spacing w:before="22" w:after="22"/>
            </w:pPr>
            <w:r>
              <w:rPr>
                <w:rFonts w:ascii="Calibri" w:cs="Calibri" w:eastAsia="Calibri" w:hAnsi="Calibri"/>
                <w:b w:val="false"/>
                <w:bCs w:val="false"/>
                <w:i w:val="false"/>
                <w:iCs w:val="false"/>
                <w:color w:val="555555"/>
                <w:sz w:val="19"/>
                <w:szCs w:val="19"/>
              </w:rPr>
              <w:t xml:space="preserve">RESOLVED: Bonus cannot push Treasury below floor. Hard limit.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Entry sequencing vs TITAN entry autonomy:</w:t>
            </w:r>
          </w:p>
          <w:p>
            <w:pPr>
              <w:spacing w:before="22" w:after="22"/>
            </w:pPr>
            <w:r>
              <w:rPr>
                <w:rFonts w:ascii="Calibri" w:cs="Calibri" w:eastAsia="Calibri" w:hAnsi="Calibri"/>
                <w:b w:val="false"/>
                <w:bCs w:val="false"/>
                <w:i w:val="false"/>
                <w:iCs w:val="false"/>
                <w:color w:val="555555"/>
                <w:sz w:val="19"/>
                <w:szCs w:val="19"/>
              </w:rPr>
              <w:t xml:space="preserve">RESOLVED: Sequencing only for Convergence Signals.</w:t>
            </w:r>
          </w:p>
          <w:p>
            <w:pPr>
              <w:spacing w:before="22" w:after="22"/>
            </w:pPr>
            <w:r>
              <w:rPr>
                <w:rFonts w:ascii="Calibri" w:cs="Calibri" w:eastAsia="Calibri" w:hAnsi="Calibri"/>
                <w:b w:val="false"/>
                <w:bCs w:val="false"/>
                <w:i w:val="false"/>
                <w:iCs w:val="false"/>
                <w:color w:val="555555"/>
                <w:sz w:val="19"/>
                <w:szCs w:val="19"/>
              </w:rPr>
              <w:t xml:space="preserve">Individual TITAN entries never coordinated by Command Center.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Memory Core cross-TITAN writes vs namespace isolation:</w:t>
            </w:r>
          </w:p>
          <w:p>
            <w:pPr>
              <w:spacing w:before="22" w:after="22"/>
            </w:pPr>
            <w:r>
              <w:rPr>
                <w:rFonts w:ascii="Calibri" w:cs="Calibri" w:eastAsia="Calibri" w:hAnsi="Calibri"/>
                <w:b w:val="false"/>
                <w:bCs w:val="false"/>
                <w:i w:val="false"/>
                <w:iCs w:val="false"/>
                <w:color w:val="555555"/>
                <w:sz w:val="19"/>
                <w:szCs w:val="19"/>
              </w:rPr>
              <w:t xml:space="preserve">RESOLVED: TITANs write to own namespace only.</w:t>
            </w:r>
          </w:p>
          <w:p>
            <w:pPr>
              <w:spacing w:before="22" w:after="22"/>
            </w:pPr>
            <w:r>
              <w:rPr>
                <w:rFonts w:ascii="Calibri" w:cs="Calibri" w:eastAsia="Calibri" w:hAnsi="Calibri"/>
                <w:b w:val="false"/>
                <w:bCs w:val="false"/>
                <w:i w:val="false"/>
                <w:iCs w:val="false"/>
                <w:color w:val="555555"/>
                <w:sz w:val="19"/>
                <w:szCs w:val="19"/>
              </w:rPr>
              <w:t xml:space="preserve">Command Center reads all, writes to shared Memory Core.</w:t>
            </w:r>
          </w:p>
          <w:p>
            <w:pPr>
              <w:spacing w:before="22" w:after="22"/>
            </w:pPr>
            <w:r>
              <w:rPr>
                <w:rFonts w:ascii="Calibri" w:cs="Calibri" w:eastAsia="Calibri" w:hAnsi="Calibri"/>
                <w:b w:val="false"/>
                <w:bCs w:val="false"/>
                <w:i w:val="false"/>
                <w:iCs w:val="false"/>
                <w:color w:val="555555"/>
                <w:sz w:val="19"/>
                <w:szCs w:val="19"/>
              </w:rPr>
              <w:t xml:space="preserve">No cross-namespace TITAN access.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No new unresolved clashes introduced.</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Q3 — ANYTHING HARMFUL IN ADDITIONS?</w:t>
            </w:r>
          </w:p>
          <w:p>
            <w:pPr>
              <w:spacing w:before="22" w:after="22"/>
            </w:pPr>
            <w:r>
              <w:rPr>
                <w:rFonts w:ascii="Calibri" w:cs="Calibri" w:eastAsia="Calibri" w:hAnsi="Calibri"/>
                <w:b w:val="false"/>
                <w:bCs w:val="false"/>
                <w:i w:val="false"/>
                <w:iCs w:val="false"/>
                <w:color w:val="2C2C2C"/>
                <w:sz w:val="20"/>
                <w:szCs w:val="20"/>
              </w:rPr>
              <w:t xml:space="preserve">Cascade circuit breaker reduces positions autonomously:</w:t>
            </w:r>
          </w:p>
          <w:p>
            <w:pPr>
              <w:spacing w:before="22" w:after="22"/>
            </w:pPr>
            <w:r>
              <w:rPr>
                <w:rFonts w:ascii="Calibri" w:cs="Calibri" w:eastAsia="Calibri" w:hAnsi="Calibri"/>
                <w:b w:val="false"/>
                <w:bCs w:val="false"/>
                <w:i w:val="false"/>
                <w:iCs w:val="false"/>
                <w:color w:val="555555"/>
                <w:sz w:val="19"/>
                <w:szCs w:val="19"/>
              </w:rPr>
              <w:t xml:space="preserve">ASSESSED: Safe. Simultaneous correlated drawdown is the correct</w:t>
            </w:r>
          </w:p>
          <w:p>
            <w:pPr>
              <w:spacing w:before="22" w:after="22"/>
            </w:pPr>
            <w:r>
              <w:rPr>
                <w:rFonts w:ascii="Calibri" w:cs="Calibri" w:eastAsia="Calibri" w:hAnsi="Calibri"/>
                <w:b w:val="false"/>
                <w:bCs w:val="false"/>
                <w:i w:val="false"/>
                <w:iCs w:val="false"/>
                <w:color w:val="555555"/>
                <w:sz w:val="19"/>
                <w:szCs w:val="19"/>
              </w:rPr>
              <w:t xml:space="preserve">trigger for autonomous reduction. Jorge notified simultaneously.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Convergence bonus deploys Treasury capital autonomously:</w:t>
            </w:r>
          </w:p>
          <w:p>
            <w:pPr>
              <w:spacing w:before="22" w:after="22"/>
            </w:pPr>
            <w:r>
              <w:rPr>
                <w:rFonts w:ascii="Calibri" w:cs="Calibri" w:eastAsia="Calibri" w:hAnsi="Calibri"/>
                <w:b w:val="false"/>
                <w:bCs w:val="false"/>
                <w:i w:val="false"/>
                <w:iCs w:val="false"/>
                <w:color w:val="555555"/>
                <w:sz w:val="19"/>
                <w:szCs w:val="19"/>
              </w:rPr>
              <w:t xml:space="preserve">ASSESSED: Parameters Jorge-approved in Phase 2.</w:t>
            </w:r>
          </w:p>
          <w:p>
            <w:pPr>
              <w:spacing w:before="22" w:after="22"/>
            </w:pPr>
            <w:r>
              <w:rPr>
                <w:rFonts w:ascii="Calibri" w:cs="Calibri" w:eastAsia="Calibri" w:hAnsi="Calibri"/>
                <w:b w:val="false"/>
                <w:bCs w:val="false"/>
                <w:i w:val="false"/>
                <w:iCs w:val="false"/>
                <w:color w:val="555555"/>
                <w:sz w:val="19"/>
                <w:szCs w:val="19"/>
              </w:rPr>
              <w:t xml:space="preserve">Maximum 25% of reserve. Cannot breach floor.</w:t>
            </w:r>
          </w:p>
          <w:p>
            <w:pPr>
              <w:spacing w:before="22" w:after="22"/>
            </w:pPr>
            <w:r>
              <w:rPr>
                <w:rFonts w:ascii="Calibri" w:cs="Calibri" w:eastAsia="Calibri" w:hAnsi="Calibri"/>
                <w:b w:val="false"/>
                <w:bCs w:val="false"/>
                <w:i w:val="false"/>
                <w:iCs w:val="false"/>
                <w:color w:val="555555"/>
                <w:sz w:val="19"/>
                <w:szCs w:val="19"/>
              </w:rPr>
              <w:t xml:space="preserve">Returns to Treasury on close. Limited and bounded.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No harmful protocols in addendum requirements.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Updated Grade Table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Calibri" w:cs="Calibri" w:eastAsia="Calibri" w:hAnsi="Calibri"/>
                <w:b/>
                <w:bCs/>
                <w:i w:val="false"/>
                <w:iCs w:val="false"/>
                <w:color w:val="FFFFFF"/>
                <w:sz w:val="20"/>
                <w:szCs w:val="20"/>
              </w:rPr>
              <w:t xml:space="preserve">CATEGORY</w:t>
            </w:r>
          </w:p>
        </w:tc>
        <w:tc>
          <w:tcPr>
            <w:tcW w:type="dxa" w:w="216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GRADE</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STARS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Realism and Buildability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Internal Consistency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System Safety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Market Coverage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Ghost Trade Engine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Evidence Layer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Signal System and Routing</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Convergence Engine (NEW)</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Capital Allocation Formula (NEW)</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Memory Core (NEW)</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Entry Sequencing Protocol (NEW)</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FORGE Integration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SWARM Support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Autonomy Boundary Framework</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Jorge App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3A6B"/>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3A6B"/>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Build Sequence and Strict Rules</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Backup and Recovery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Empire Goal Alignment</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OVERALL GRADE: A+++ — THE HUB SPECIFICATION IS COMPLETE</w:t>
            </w:r>
          </w:p>
          <w:p>
            <w:pPr>
              <w:spacing w:before="22" w:after="22"/>
            </w:pPr>
            <w:r>
              <w:rPr>
                <w:rFonts w:ascii="Calibri" w:cs="Calibri" w:eastAsia="Calibri" w:hAnsi="Calibri"/>
                <w:b w:val="false"/>
                <w:bCs w:val="false"/>
                <w:i w:val="false"/>
                <w:iCs w:val="false"/>
                <w:color w:val="2C2C2C"/>
                <w:sz w:val="20"/>
                <w:szCs w:val="20"/>
              </w:rPr>
              <w:t xml:space="preserve">154 requirements. 2 documents. One definitive hub specification.</w:t>
            </w:r>
          </w:p>
          <w:p>
            <w:pPr>
              <w:spacing w:before="22" w:after="22"/>
            </w:pPr>
            <w:r>
              <w:rPr>
                <w:rFonts w:ascii="Calibri" w:cs="Calibri" w:eastAsia="Calibri" w:hAnsi="Calibri"/>
                <w:b w:val="false"/>
                <w:bCs w:val="false"/>
                <w:i w:val="false"/>
                <w:iCs w:val="false"/>
                <w:color w:val="2C2C2C"/>
                <w:sz w:val="20"/>
                <w:szCs w:val="20"/>
              </w:rPr>
              <w:t xml:space="preserve">Zero unresolved clashes. Zero aspirational requirements.</w:t>
            </w:r>
          </w:p>
          <w:p>
            <w:pPr>
              <w:spacing w:before="22" w:after="22"/>
            </w:pPr>
            <w:r>
              <w:rPr>
                <w:rFonts w:ascii="Calibri" w:cs="Calibri" w:eastAsia="Calibri" w:hAnsi="Calibri"/>
                <w:b w:val="false"/>
                <w:bCs w:val="false"/>
                <w:i w:val="false"/>
                <w:iCs w:val="false"/>
                <w:color w:val="2C2C2C"/>
                <w:sz w:val="20"/>
                <w:szCs w:val="20"/>
              </w:rPr>
              <w:t xml:space="preserve">Zero harmful protocols. Every component buildable now.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this addendum added:</w:t>
            </w:r>
          </w:p>
          <w:p>
            <w:pPr>
              <w:spacing w:before="22" w:after="22"/>
            </w:pPr>
            <w:r>
              <w:rPr>
                <w:rFonts w:ascii="Calibri" w:cs="Calibri" w:eastAsia="Calibri" w:hAnsi="Calibri"/>
                <w:b w:val="false"/>
                <w:bCs w:val="false"/>
                <w:i w:val="false"/>
                <w:iCs w:val="false"/>
                <w:color w:val="555555"/>
                <w:sz w:val="19"/>
                <w:szCs w:val="19"/>
              </w:rPr>
              <w:t xml:space="preserve">The Convergence Engine is fully specified for the first time.</w:t>
            </w:r>
          </w:p>
          <w:p>
            <w:pPr>
              <w:spacing w:before="22" w:after="22"/>
            </w:pPr>
            <w:r>
              <w:rPr>
                <w:rFonts w:ascii="Calibri" w:cs="Calibri" w:eastAsia="Calibri" w:hAnsi="Calibri"/>
                <w:b w:val="false"/>
                <w:bCs w:val="false"/>
                <w:i w:val="false"/>
                <w:iCs w:val="false"/>
                <w:color w:val="555555"/>
                <w:sz w:val="19"/>
                <w:szCs w:val="19"/>
              </w:rPr>
              <w:t xml:space="preserve">The simultaneous entry sequencing problem is solved permanently.</w:t>
            </w:r>
          </w:p>
          <w:p>
            <w:pPr>
              <w:spacing w:before="22" w:after="22"/>
            </w:pPr>
            <w:r>
              <w:rPr>
                <w:rFonts w:ascii="Calibri" w:cs="Calibri" w:eastAsia="Calibri" w:hAnsi="Calibri"/>
                <w:b w:val="false"/>
                <w:bCs w:val="false"/>
                <w:i w:val="false"/>
                <w:iCs w:val="false"/>
                <w:color w:val="555555"/>
                <w:sz w:val="19"/>
                <w:szCs w:val="19"/>
              </w:rPr>
              <w:t xml:space="preserve">The capital allocation formula exists as buildable code-ready logic.</w:t>
            </w:r>
          </w:p>
          <w:p>
            <w:pPr>
              <w:spacing w:before="22" w:after="22"/>
            </w:pPr>
            <w:r>
              <w:rPr>
                <w:rFonts w:ascii="Calibri" w:cs="Calibri" w:eastAsia="Calibri" w:hAnsi="Calibri"/>
                <w:b w:val="false"/>
                <w:bCs w:val="false"/>
                <w:i w:val="false"/>
                <w:iCs w:val="false"/>
                <w:color w:val="555555"/>
                <w:sz w:val="19"/>
                <w:szCs w:val="19"/>
              </w:rPr>
              <w:t xml:space="preserve">The Memory Core is defined beyond a concept.</w:t>
            </w:r>
          </w:p>
          <w:p>
            <w:pPr>
              <w:spacing w:before="22" w:after="22"/>
            </w:pPr>
            <w:r>
              <w:rPr>
                <w:rFonts w:ascii="Calibri" w:cs="Calibri" w:eastAsia="Calibri" w:hAnsi="Calibri"/>
                <w:b w:val="false"/>
                <w:bCs w:val="false"/>
                <w:i w:val="false"/>
                <w:iCs w:val="false"/>
                <w:color w:val="555555"/>
                <w:sz w:val="19"/>
                <w:szCs w:val="19"/>
              </w:rPr>
              <w:t xml:space="preserve">FORGE's Command Center integration is complete.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combined spec now delivers:</w:t>
            </w:r>
          </w:p>
          <w:p>
            <w:pPr>
              <w:spacing w:before="22" w:after="22"/>
            </w:pPr>
            <w:r>
              <w:rPr>
                <w:rFonts w:ascii="Calibri" w:cs="Calibri" w:eastAsia="Calibri" w:hAnsi="Calibri"/>
                <w:b w:val="false"/>
                <w:bCs w:val="false"/>
                <w:i w:val="false"/>
                <w:iCs w:val="false"/>
                <w:color w:val="555555"/>
                <w:sz w:val="19"/>
                <w:szCs w:val="19"/>
              </w:rPr>
              <w:t xml:space="preserve">A hub that builds TITANs from evidence.</w:t>
            </w:r>
          </w:p>
          <w:p>
            <w:pPr>
              <w:spacing w:before="22" w:after="22"/>
            </w:pPr>
            <w:r>
              <w:rPr>
                <w:rFonts w:ascii="Calibri" w:cs="Calibri" w:eastAsia="Calibri" w:hAnsi="Calibri"/>
                <w:b w:val="false"/>
                <w:bCs w:val="false"/>
                <w:i w:val="false"/>
                <w:iCs w:val="false"/>
                <w:color w:val="555555"/>
                <w:sz w:val="19"/>
                <w:szCs w:val="19"/>
              </w:rPr>
              <w:t xml:space="preserve">A Command Center that coordinates them as one organism.</w:t>
            </w:r>
          </w:p>
          <w:p>
            <w:pPr>
              <w:spacing w:before="22" w:after="22"/>
            </w:pPr>
            <w:r>
              <w:rPr>
                <w:rFonts w:ascii="Calibri" w:cs="Calibri" w:eastAsia="Calibri" w:hAnsi="Calibri"/>
                <w:b w:val="false"/>
                <w:bCs w:val="false"/>
                <w:i w:val="false"/>
                <w:iCs w:val="false"/>
                <w:color w:val="555555"/>
                <w:sz w:val="19"/>
                <w:szCs w:val="19"/>
              </w:rPr>
              <w:t xml:space="preserve">A Convergence Engine that generates the empire's most powerful signal.</w:t>
            </w:r>
          </w:p>
          <w:p>
            <w:pPr>
              <w:spacing w:before="22" w:after="22"/>
            </w:pPr>
            <w:r>
              <w:rPr>
                <w:rFonts w:ascii="Calibri" w:cs="Calibri" w:eastAsia="Calibri" w:hAnsi="Calibri"/>
                <w:b w:val="false"/>
                <w:bCs w:val="false"/>
                <w:i w:val="false"/>
                <w:iCs w:val="false"/>
                <w:color w:val="555555"/>
                <w:sz w:val="19"/>
                <w:szCs w:val="19"/>
              </w:rPr>
              <w:t xml:space="preserve">A capital intelligence layer that knows where every dollar is.</w:t>
            </w:r>
          </w:p>
          <w:p>
            <w:pPr>
              <w:spacing w:before="22" w:after="22"/>
            </w:pPr>
            <w:r>
              <w:rPr>
                <w:rFonts w:ascii="Calibri" w:cs="Calibri" w:eastAsia="Calibri" w:hAnsi="Calibri"/>
                <w:b w:val="false"/>
                <w:bCs w:val="false"/>
                <w:i w:val="false"/>
                <w:iCs w:val="false"/>
                <w:color w:val="555555"/>
                <w:sz w:val="19"/>
                <w:szCs w:val="19"/>
              </w:rPr>
              <w:t xml:space="preserve">A Memory Core that gives every TITAN the benefit of fleet experience.</w:t>
            </w:r>
          </w:p>
          <w:p>
            <w:pPr>
              <w:spacing w:before="22" w:after="22"/>
            </w:pPr>
            <w:r>
              <w:rPr>
                <w:rFonts w:ascii="Calibri" w:cs="Calibri" w:eastAsia="Calibri" w:hAnsi="Calibri"/>
                <w:b w:val="false"/>
                <w:bCs w:val="false"/>
                <w:i w:val="false"/>
                <w:iCs w:val="false"/>
                <w:color w:val="555555"/>
                <w:sz w:val="19"/>
                <w:szCs w:val="19"/>
              </w:rPr>
              <w:t xml:space="preserve">A Jorge interface that governs the empire in 15 minutes per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empire is fully specified.</w:t>
            </w:r>
          </w:p>
          <w:p>
            <w:pPr>
              <w:spacing w:before="22" w:after="22"/>
            </w:pPr>
            <w:r>
              <w:rPr>
                <w:rFonts w:ascii="Calibri" w:cs="Calibri" w:eastAsia="Calibri" w:hAnsi="Calibri"/>
                <w:b w:val="false"/>
                <w:bCs w:val="false"/>
                <w:i w:val="false"/>
                <w:iCs w:val="false"/>
                <w:color w:val="2C2C2C"/>
                <w:sz w:val="20"/>
                <w:szCs w:val="20"/>
              </w:rPr>
              <w:t xml:space="preserve">Build it in order. Follow the strict rules. Back up the Evidence Layer.</w:t>
            </w:r>
          </w:p>
          <w:p>
            <w:pPr>
              <w:spacing w:before="22" w:after="22"/>
            </w:pPr>
            <w:r>
              <w:rPr>
                <w:rFonts w:ascii="Calibri" w:cs="Calibri" w:eastAsia="Calibri" w:hAnsi="Calibri"/>
                <w:b w:val="false"/>
                <w:bCs w:val="false"/>
                <w:i w:val="false"/>
                <w:iCs w:val="false"/>
                <w:color w:val="2C2C2C"/>
                <w:sz w:val="20"/>
                <w:szCs w:val="20"/>
              </w:rPr>
              <w:t xml:space="preserve">The hub handles what is built.</w:t>
            </w:r>
          </w:p>
          <w:p>
            <w:pPr>
              <w:spacing w:before="22" w:after="22"/>
            </w:pPr>
            <w:r>
              <w:rPr>
                <w:rFonts w:ascii="Calibri" w:cs="Calibri" w:eastAsia="Calibri" w:hAnsi="Calibri"/>
                <w:b w:val="false"/>
                <w:bCs w:val="false"/>
                <w:i w:val="false"/>
                <w:iCs w:val="false"/>
                <w:color w:val="2C2C2C"/>
                <w:sz w:val="20"/>
                <w:szCs w:val="20"/>
              </w:rPr>
              <w:t xml:space="preserve">Jorge defines what comes next.</w:t>
            </w:r>
          </w:p>
        </w:tc>
      </w:tr>
    </w:tbl>
    <w:p>
      <w:pPr>
        <w:spacing w:before="40" w:after="4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1A3A6B"/>
          <w:sz w:val="28"/>
          <w:szCs w:val="28"/>
        </w:rPr>
        <w:t xml:space="preserve">154 requirements. One organism.</w:t>
      </w:r>
    </w:p>
    <w:p>
      <w:pPr>
        <w:spacing w:before="0" w:after="30"/>
        <w:jc w:val="center"/>
      </w:pPr>
      <w:r>
        <w:rPr>
          <w:rFonts w:ascii="Calibri" w:cs="Calibri" w:eastAsia="Calibri" w:hAnsi="Calibri"/>
          <w:b/>
          <w:bCs/>
          <w:i w:val="false"/>
          <w:iCs w:val="false"/>
          <w:color w:val="B8860B"/>
          <w:sz w:val="28"/>
          <w:szCs w:val="28"/>
        </w:rPr>
        <w:t xml:space="preserve">The specification is complete.</w:t>
      </w:r>
    </w:p>
    <w:p>
      <w:pPr>
        <w:spacing w:before="0" w:after="30"/>
        <w:jc w:val="center"/>
      </w:pPr>
      <w:r>
        <w:rPr>
          <w:rFonts w:ascii="Calibri" w:cs="Calibri" w:eastAsia="Calibri" w:hAnsi="Calibri"/>
          <w:b w:val="false"/>
          <w:bCs w:val="false"/>
          <w:i/>
          <w:iCs/>
          <w:color w:val="2C2C2C"/>
          <w:sz w:val="26"/>
          <w:szCs w:val="26"/>
        </w:rPr>
        <w:t xml:space="preserve">Now it gets built.</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HUB ADDENDUM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2026-03-21T15:06:13.524Z</dcterms:created>
  <dcterms:modified xsi:type="dcterms:W3CDTF">2026-03-21T15:06:13.525Z</dcterms:modified>
</cp:coreProperties>
</file>

<file path=docProps/custom.xml><?xml version="1.0" encoding="utf-8"?>
<Properties xmlns="http://schemas.openxmlformats.org/officeDocument/2006/custom-properties" xmlns:vt="http://schemas.openxmlformats.org/officeDocument/2006/docPropsVTypes"/>
</file>