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120"/>
        <w:jc w:val="center"/>
      </w:pPr>
      <w:r>
        <w:rPr>
          <w:rFonts w:ascii="Arial" w:cs="Arial" w:eastAsia="Arial" w:hAnsi="Arial"/>
          <w:b/>
          <w:bCs/>
          <w:color w:val="1B2A47"/>
          <w:sz w:val="52"/>
          <w:szCs w:val="52"/>
        </w:rPr>
        <w:t xml:space="preserve">NEXUS CAPITAL</w:t>
      </w:r>
    </w:p>
    <w:p>
      <w:pPr>
        <w:spacing w:before="0" w:after="80"/>
        <w:jc w:val="center"/>
      </w:pPr>
      <w:r>
        <w:rPr>
          <w:rFonts w:ascii="Arial" w:cs="Arial" w:eastAsia="Arial" w:hAnsi="Arial"/>
          <w:color w:val="C9A84C"/>
          <w:sz w:val="32"/>
          <w:szCs w:val="32"/>
        </w:rPr>
        <w:t xml:space="preserve">Intelligence Hub</w:t>
      </w:r>
    </w:p>
    <w:p>
      <w:pPr>
        <w:spacing w:before="60" w:after="60"/>
      </w:pPr>
      <w:r>
        <w:t xml:space="preserve"/>
      </w:r>
    </w:p>
    <w:p>
      <w:pPr>
        <w:pBdr>
          <w:top w:val="single" w:color="C9A84C" w:sz="6" w:space="4"/>
          <w:bottom w:val="single" w:color="C9A84C" w:sz="6" w:space="4"/>
        </w:pBdr>
        <w:spacing w:before="160" w:after="160"/>
        <w:jc w:val="center"/>
      </w:pPr>
      <w:r>
        <w:rPr>
          <w:rFonts w:ascii="Arial" w:cs="Arial" w:eastAsia="Arial" w:hAnsi="Arial"/>
          <w:b/>
          <w:bCs/>
          <w:color w:val="2E75B6"/>
          <w:sz w:val="48"/>
          <w:szCs w:val="48"/>
        </w:rPr>
        <w:t xml:space="preserve">THE OBSERVER</w:t>
      </w:r>
    </w:p>
    <w:p>
      <w:pPr>
        <w:spacing w:before="60" w:after="60"/>
      </w:pPr>
      <w:r>
        <w:t xml:space="preserve"/>
      </w:r>
    </w:p>
    <w:p>
      <w:pPr>
        <w:spacing w:before="0" w:after="240"/>
        <w:jc w:val="center"/>
      </w:pPr>
      <w:r>
        <w:rPr>
          <w:rFonts w:ascii="Arial" w:cs="Arial" w:eastAsia="Arial" w:hAnsi="Arial"/>
          <w:i/>
          <w:iCs/>
          <w:color w:val="5A6475"/>
          <w:sz w:val="26"/>
          <w:szCs w:val="26"/>
        </w:rPr>
        <w:t xml:space="preserve">Layer 7 Sub-System — Command Center Intelligence Module</w:t>
      </w:r>
    </w:p>
    <w:p>
      <w:pPr>
        <w:spacing w:before="60" w:after="60"/>
      </w:pPr>
      <w:r>
        <w:t xml:space="preserve"/>
      </w:r>
    </w:p>
    <w:p>
      <w:pPr>
        <w:spacing w:before="60" w:after="60"/>
      </w:pPr>
      <w:r>
        <w:t xml:space="preserve"/>
      </w:r>
    </w:p>
    <w:p>
      <w:pPr>
        <w:jc w:val="center"/>
      </w:pPr>
      <w:r>
        <w:rPr>
          <w:rFonts w:ascii="Arial" w:cs="Arial" w:eastAsia="Arial" w:hAnsi="Arial"/>
          <w:color w:val="5A6475"/>
          <w:sz w:val="24"/>
          <w:szCs w:val="24"/>
        </w:rPr>
        <w:t xml:space="preserve">Concept Build v1.0</w:t>
      </w:r>
    </w:p>
    <w:p>
      <w:pPr>
        <w:jc w:val="center"/>
      </w:pPr>
      <w:r>
        <w:rPr>
          <w:rFonts w:ascii="Arial" w:cs="Arial" w:eastAsia="Arial" w:hAnsi="Arial"/>
          <w:color w:val="5A6475"/>
          <w:sz w:val="24"/>
          <w:szCs w:val="24"/>
        </w:rPr>
        <w:t xml:space="preserve">March 2026</w:t>
      </w:r>
    </w:p>
    <w:p>
      <w:pPr>
        <w:spacing w:before="60" w:after="60"/>
      </w:pPr>
      <w:r>
        <w:t xml:space="preserve"/>
      </w:r>
    </w:p>
    <w:p>
      <w:pPr>
        <w:jc w:val="center"/>
      </w:pPr>
      <w:r>
        <w:rPr>
          <w:rFonts w:ascii="Arial" w:cs="Arial" w:eastAsia="Arial" w:hAnsi="Arial"/>
          <w:color w:val="5A6475"/>
          <w:sz w:val="22"/>
          <w:szCs w:val="22"/>
        </w:rPr>
        <w:t xml:space="preserve">Jorge Trujillo — Founder  |  Claude — AI Partner &amp; Architect</w:t>
      </w:r>
    </w:p>
    <w:p>
      <w:r>
        <w:br w:type="page"/>
      </w:r>
    </w:p>
    <w:p>
      <w:pPr>
        <w:pStyle w:val="Heading1"/>
        <w:pBdr>
          <w:bottom w:val="single" w:color="C9A84C" w:sz="6" w:space="4"/>
        </w:pBdr>
        <w:spacing w:before="360" w:after="180"/>
      </w:pPr>
      <w:r>
        <w:rPr>
          <w:rFonts w:ascii="Arial" w:cs="Arial" w:eastAsia="Arial" w:hAnsi="Arial"/>
          <w:b/>
          <w:bCs/>
          <w:color w:val="1B2A47"/>
          <w:sz w:val="32"/>
          <w:szCs w:val="32"/>
        </w:rPr>
        <w:t xml:space="preserve">1. WHAT THE OBSERVER IS</w:t>
      </w:r>
    </w:p>
    <w:p>
      <w:pPr>
        <w:spacing w:before="60" w:after="60"/>
      </w:pPr>
      <w:r>
        <w:t xml:space="preserve"/>
      </w:r>
    </w:p>
    <w:p>
      <w:pPr>
        <w:spacing w:before="80" w:after="80"/>
        <w:jc w:val="left"/>
      </w:pPr>
      <w:r>
        <w:rPr>
          <w:rFonts w:ascii="Arial" w:cs="Arial" w:eastAsia="Arial" w:hAnsi="Arial"/>
          <w:b w:val="false"/>
          <w:bCs w:val="false"/>
          <w:i w:val="false"/>
          <w:iCs w:val="false"/>
          <w:color w:val="000000"/>
          <w:sz w:val="22"/>
          <w:szCs w:val="22"/>
        </w:rPr>
        <w:t xml:space="preserve">The Observer is the Intelligence Hub's active behavioral monitoring system for the TITAN fleet. It is not a log reader. It is not a dashboard. It is not an alerting webhook. It is an intelligent sub-system that watches the fleet, builds behavioral baselines, detects deviation from those baselines, and escalates appropriately through the Command Center.</w:t>
      </w:r>
    </w:p>
    <w:p>
      <w:pPr>
        <w:spacing w:before="60" w:after="60"/>
      </w:pPr>
      <w:r>
        <w:t xml:space="preserve"/>
      </w:r>
    </w:p>
    <w:p>
      <w:pPr>
        <w:spacing w:before="80" w:after="80"/>
        <w:jc w:val="left"/>
      </w:pPr>
      <w:r>
        <w:rPr>
          <w:rFonts w:ascii="Arial" w:cs="Arial" w:eastAsia="Arial" w:hAnsi="Arial"/>
          <w:b w:val="false"/>
          <w:bCs w:val="false"/>
          <w:i w:val="false"/>
          <w:iCs w:val="false"/>
          <w:color w:val="000000"/>
          <w:sz w:val="22"/>
          <w:szCs w:val="22"/>
        </w:rPr>
        <w:t xml:space="preserve">The fundamental difference between the Observer and any passive monitoring tool is context. Logs record that something happened. The Observer understands whether what happened is normal, concerning, or dangerous — and it knows the difference because it has learned what normal looks like for each TITAN in each market regime.</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1.1 The Observer is NOT</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A trading strategy — it does not decide when to enter or exit trades</w:t>
      </w:r>
    </w:p>
    <w:p>
      <w:pPr>
        <w:pStyle w:val="ListParagraph"/>
        <w:numPr>
          <w:ilvl w:val="0"/>
          <w:numId w:val="2"/>
        </w:numPr>
        <w:spacing w:before="60" w:after="60"/>
      </w:pPr>
      <w:r>
        <w:rPr>
          <w:rFonts w:ascii="Arial" w:cs="Arial" w:eastAsia="Arial" w:hAnsi="Arial"/>
          <w:sz w:val="22"/>
          <w:szCs w:val="22"/>
        </w:rPr>
        <w:t xml:space="preserve">A per-trade risk engine — FORGE-11 handles that at the execution layer</w:t>
      </w:r>
    </w:p>
    <w:p>
      <w:pPr>
        <w:pStyle w:val="ListParagraph"/>
        <w:numPr>
          <w:ilvl w:val="0"/>
          <w:numId w:val="2"/>
        </w:numPr>
        <w:spacing w:before="60" w:after="60"/>
      </w:pPr>
      <w:r>
        <w:rPr>
          <w:rFonts w:ascii="Arial" w:cs="Arial" w:eastAsia="Arial" w:hAnsi="Arial"/>
          <w:sz w:val="22"/>
          <w:szCs w:val="22"/>
        </w:rPr>
        <w:t xml:space="preserve">The Command Center — it feeds the Command Center; it does not replace it</w:t>
      </w:r>
    </w:p>
    <w:p>
      <w:pPr>
        <w:pStyle w:val="ListParagraph"/>
        <w:numPr>
          <w:ilvl w:val="0"/>
          <w:numId w:val="2"/>
        </w:numPr>
        <w:spacing w:before="60" w:after="60"/>
      </w:pPr>
      <w:r>
        <w:rPr>
          <w:rFonts w:ascii="Arial" w:cs="Arial" w:eastAsia="Arial" w:hAnsi="Arial"/>
          <w:sz w:val="22"/>
          <w:szCs w:val="22"/>
        </w:rPr>
        <w:t xml:space="preserve">The Ghost Trade Engine — that runs hypothetical simulations; the Observer watches real live activity</w:t>
      </w:r>
    </w:p>
    <w:p>
      <w:pPr>
        <w:pStyle w:val="ListParagraph"/>
        <w:numPr>
          <w:ilvl w:val="0"/>
          <w:numId w:val="2"/>
        </w:numPr>
        <w:spacing w:before="60" w:after="60"/>
      </w:pPr>
      <w:r>
        <w:rPr>
          <w:rFonts w:ascii="Arial" w:cs="Arial" w:eastAsia="Arial" w:hAnsi="Arial"/>
          <w:sz w:val="22"/>
          <w:szCs w:val="22"/>
        </w:rPr>
        <w:t xml:space="preserve">A simple alert system — alerts fire on thresholds; the Observer understands context before escalating</w:t>
      </w:r>
    </w:p>
    <w:p>
      <w:pPr>
        <w:pStyle w:val="ListParagraph"/>
        <w:numPr>
          <w:ilvl w:val="0"/>
          <w:numId w:val="2"/>
        </w:numPr>
        <w:spacing w:before="60" w:after="60"/>
      </w:pPr>
      <w:r>
        <w:rPr>
          <w:rFonts w:ascii="Arial" w:cs="Arial" w:eastAsia="Arial" w:hAnsi="Arial"/>
          <w:sz w:val="22"/>
          <w:szCs w:val="22"/>
        </w:rPr>
        <w:t xml:space="preserve">A replacement for Jorge — it surfaces information and recommendations; Jorge makes decisions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1.2 The Observer IS</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The fleet's behavioral watchdog — always watching, never sleeping</w:t>
      </w:r>
    </w:p>
    <w:p>
      <w:pPr>
        <w:pStyle w:val="ListParagraph"/>
        <w:numPr>
          <w:ilvl w:val="0"/>
          <w:numId w:val="2"/>
        </w:numPr>
        <w:spacing w:before="60" w:after="60"/>
      </w:pPr>
      <w:r>
        <w:rPr>
          <w:rFonts w:ascii="Arial" w:cs="Arial" w:eastAsia="Arial" w:hAnsi="Arial"/>
          <w:sz w:val="22"/>
          <w:szCs w:val="22"/>
        </w:rPr>
        <w:t xml:space="preserve">A pattern recognition layer that runs on top of all fleet activity</w:t>
      </w:r>
    </w:p>
    <w:p>
      <w:pPr>
        <w:pStyle w:val="ListParagraph"/>
        <w:numPr>
          <w:ilvl w:val="0"/>
          <w:numId w:val="2"/>
        </w:numPr>
        <w:spacing w:before="60" w:after="60"/>
      </w:pPr>
      <w:r>
        <w:rPr>
          <w:rFonts w:ascii="Arial" w:cs="Arial" w:eastAsia="Arial" w:hAnsi="Arial"/>
          <w:sz w:val="22"/>
          <w:szCs w:val="22"/>
        </w:rPr>
        <w:t xml:space="preserve">The system that knows what normal looks like and flags what is not</w:t>
      </w:r>
    </w:p>
    <w:p>
      <w:pPr>
        <w:pStyle w:val="ListParagraph"/>
        <w:numPr>
          <w:ilvl w:val="0"/>
          <w:numId w:val="2"/>
        </w:numPr>
        <w:spacing w:before="60" w:after="60"/>
      </w:pPr>
      <w:r>
        <w:rPr>
          <w:rFonts w:ascii="Arial" w:cs="Arial" w:eastAsia="Arial" w:hAnsi="Arial"/>
          <w:sz w:val="22"/>
          <w:szCs w:val="22"/>
        </w:rPr>
        <w:t xml:space="preserve">The intelligence source that feeds the Command Center's action decisions</w:t>
      </w:r>
    </w:p>
    <w:p>
      <w:pPr>
        <w:pStyle w:val="ListParagraph"/>
        <w:numPr>
          <w:ilvl w:val="0"/>
          <w:numId w:val="2"/>
        </w:numPr>
        <w:spacing w:before="60" w:after="60"/>
      </w:pPr>
      <w:r>
        <w:rPr>
          <w:rFonts w:ascii="Arial" w:cs="Arial" w:eastAsia="Arial" w:hAnsi="Arial"/>
          <w:sz w:val="22"/>
          <w:szCs w:val="22"/>
        </w:rPr>
        <w:t xml:space="preserve">The early warning system that catches edge decay, regime mismatch, and drawdown acceleration before they become serious</w:t>
      </w:r>
    </w:p>
    <w:p>
      <w:pPr>
        <w:pStyle w:val="ListParagraph"/>
        <w:numPr>
          <w:ilvl w:val="0"/>
          <w:numId w:val="2"/>
        </w:numPr>
        <w:spacing w:before="60" w:after="60"/>
      </w:pPr>
      <w:r>
        <w:rPr>
          <w:rFonts w:ascii="Arial" w:cs="Arial" w:eastAsia="Arial" w:hAnsi="Arial"/>
          <w:sz w:val="22"/>
          <w:szCs w:val="22"/>
        </w:rPr>
        <w:t xml:space="preserve">A learning system — its baselines improve the longer it watches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7" w:val="clear"/>
            <w:tcMar>
              <w:top w:type="dxa" w:w="100"/>
              <w:left w:type="dxa" w:w="160"/>
              <w:bottom w:type="dxa" w:w="100"/>
              <w:right w:type="dxa" w:w="160"/>
            </w:tcMar>
          </w:tcPr>
          <w:p>
            <w:r>
              <w:rPr>
                <w:rFonts w:ascii="Arial" w:cs="Arial" w:eastAsia="Arial" w:hAnsi="Arial"/>
                <w:b/>
                <w:bCs/>
                <w:color w:val="FFFFFF"/>
                <w:sz w:val="22"/>
                <w:szCs w:val="22"/>
              </w:rPr>
              <w:t xml:space="preserve">CORE IDENTITY — ONE SENTENCE</w:t>
            </w:r>
          </w:p>
        </w:tc>
      </w:tr>
      <w:tr>
        <w:tc>
          <w:tcPr>
            <w:tcW w:type="dxa" w:w="9360"/>
            <w:tcBorders>
              <w:top w:val="single" w:color="CCCCCC" w:sz="1"/>
              <w:left w:val="single" w:color="CCCCCC" w:sz="1"/>
              <w:bottom w:val="single" w:color="CCCCCC" w:sz="1"/>
              <w:right w:val="single" w:color="CCCCCC" w:sz="1"/>
            </w:tcBorders>
            <w:shd w:fill="EAF0F8" w:val="clear"/>
            <w:tcMar>
              <w:top w:type="dxa" w:w="80"/>
              <w:left w:type="dxa" w:w="160"/>
              <w:bottom w:type="dxa" w:w="80"/>
              <w:right w:type="dxa" w:w="160"/>
            </w:tcMar>
          </w:tcPr>
          <w:p>
            <w:r>
              <w:rPr>
                <w:rFonts w:ascii="Arial" w:cs="Arial" w:eastAsia="Arial" w:hAnsi="Arial"/>
                <w:sz w:val="21"/>
                <w:szCs w:val="21"/>
              </w:rPr>
              <w:t xml:space="preserve">The Observer watches the fleet so Jorge does not have to watch the fleet.</w:t>
            </w:r>
          </w:p>
        </w:tc>
      </w:tr>
      <w:tr>
        <w:tc>
          <w:tcPr>
            <w:tcW w:type="dxa" w:w="9360"/>
            <w:tcBorders>
              <w:top w:val="single" w:color="CCCCCC" w:sz="1"/>
              <w:left w:val="single" w:color="CCCCCC" w:sz="1"/>
              <w:bottom w:val="single" w:color="CCCCCC" w:sz="1"/>
              <w:right w:val="single" w:color="CCCCCC" w:sz="1"/>
            </w:tcBorders>
            <w:shd w:fill="EAF0F8" w:val="clear"/>
            <w:tcMar>
              <w:top w:type="dxa" w:w="80"/>
              <w:left w:type="dxa" w:w="160"/>
              <w:bottom w:type="dxa" w:w="80"/>
              <w:right w:type="dxa" w:w="160"/>
            </w:tcMar>
          </w:tcPr>
          <w:p>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shd w:fill="EAF0F8" w:val="clear"/>
            <w:tcMar>
              <w:top w:type="dxa" w:w="80"/>
              <w:left w:type="dxa" w:w="160"/>
              <w:bottom w:type="dxa" w:w="80"/>
              <w:right w:type="dxa" w:w="160"/>
            </w:tcMar>
          </w:tcPr>
          <w:p>
            <w:r>
              <w:rPr>
                <w:rFonts w:ascii="Arial" w:cs="Arial" w:eastAsia="Arial" w:hAnsi="Arial"/>
                <w:sz w:val="21"/>
                <w:szCs w:val="21"/>
              </w:rPr>
              <w:t xml:space="preserve">Everything else in this document exists to make that sentence true.</w:t>
            </w:r>
          </w:p>
        </w:tc>
      </w:tr>
    </w:tbl>
    <w:p>
      <w:pPr>
        <w:spacing w:before="60" w:after="60"/>
      </w:pPr>
      <w:r>
        <w:t xml:space="preserve"/>
      </w:r>
    </w:p>
    <w:p>
      <w:pPr>
        <w:pStyle w:val="Heading1"/>
        <w:pBdr>
          <w:bottom w:val="single" w:color="C9A84C" w:sz="6" w:space="4"/>
        </w:pBdr>
        <w:spacing w:before="360" w:after="180"/>
      </w:pPr>
      <w:r>
        <w:rPr>
          <w:rFonts w:ascii="Arial" w:cs="Arial" w:eastAsia="Arial" w:hAnsi="Arial"/>
          <w:b/>
          <w:bCs/>
          <w:color w:val="1B2A47"/>
          <w:sz w:val="32"/>
          <w:szCs w:val="32"/>
        </w:rPr>
        <w:t xml:space="preserve">2. POSITION WITHIN THE INTELLIGENCE HUB</w:t>
      </w:r>
    </w:p>
    <w:p>
      <w:pPr>
        <w:spacing w:before="60" w:after="60"/>
      </w:pPr>
      <w:r>
        <w:t xml:space="preserve"/>
      </w:r>
    </w:p>
    <w:p>
      <w:pPr>
        <w:spacing w:before="80" w:after="80"/>
        <w:jc w:val="left"/>
      </w:pPr>
      <w:r>
        <w:rPr>
          <w:rFonts w:ascii="Arial" w:cs="Arial" w:eastAsia="Arial" w:hAnsi="Arial"/>
          <w:b w:val="false"/>
          <w:bCs w:val="false"/>
          <w:i w:val="false"/>
          <w:iCs w:val="false"/>
          <w:color w:val="000000"/>
          <w:sz w:val="22"/>
          <w:szCs w:val="22"/>
        </w:rPr>
        <w:t xml:space="preserve">The Observer is a sub-system of Layer 7 (Command Center). It is not a standalone layer — it lives inside Command Center and serves as its primary intelligence source for fleet health.</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2.1 Hub Layer Relationships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7"/>
                <w:sz w:val="21"/>
                <w:szCs w:val="21"/>
              </w:rPr>
              <w:t xml:space="preserve">RECEIVES FROM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Layer 1 (Market Feed) — current prices, regime data, session state</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7"/>
                <w:sz w:val="21"/>
                <w:szCs w:val="21"/>
              </w:rPr>
              <w:t xml:space="preserve">RECEIVES FROM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Layer 4 (Ghost Trade Engine) — hypothetical performance baseline for comparison</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7"/>
                <w:sz w:val="21"/>
                <w:szCs w:val="21"/>
              </w:rPr>
              <w:t xml:space="preserve">RECEIVES FROM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Layer 5 (Evidence Layer) — all live trade records, performance history, capability scores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7"/>
                <w:sz w:val="21"/>
                <w:szCs w:val="21"/>
              </w:rPr>
              <w:t xml:space="preserve">RECEIVES FROM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Layer 7 (Command Center) — TITAN configuration, thresholds, approved parameters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7"/>
                <w:sz w:val="21"/>
                <w:szCs w:val="21"/>
              </w:rPr>
              <w:t xml:space="preserve">SENDS TO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Layer 6 (Intelligence Layer) — anomaly packages for LLM deep analysis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7"/>
                <w:sz w:val="21"/>
                <w:szCs w:val="21"/>
              </w:rPr>
              <w:t xml:space="preserve">SENDS TO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Layer 7 (Command Center) — fleet status, escalation signals, recommendations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7"/>
                <w:sz w:val="21"/>
                <w:szCs w:val="21"/>
              </w:rPr>
              <w:t xml:space="preserve">SENDS TO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External — Jorge via Telegram alerts with full context packages</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2.2 Observer Scope Per Phase</w:t>
      </w:r>
    </w:p>
    <w:p>
      <w:pPr>
        <w:spacing w:before="60" w:after="60"/>
      </w:pPr>
      <w:r>
        <w:t xml:space="preserve"/>
      </w:r>
    </w:p>
    <w:p>
      <w:pPr>
        <w:spacing w:before="80" w:after="80"/>
        <w:jc w:val="left"/>
      </w:pPr>
      <w:r>
        <w:rPr>
          <w:rFonts w:ascii="Arial" w:cs="Arial" w:eastAsia="Arial" w:hAnsi="Arial"/>
          <w:b w:val="false"/>
          <w:bCs w:val="false"/>
          <w:i w:val="false"/>
          <w:iCs w:val="false"/>
          <w:color w:val="000000"/>
          <w:sz w:val="22"/>
          <w:szCs w:val="22"/>
        </w:rPr>
        <w:t xml:space="preserve">The Observer's authority expands as trust is established. It begins passive and earns active capability through proven accuracy.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7"/>
                <w:sz w:val="21"/>
                <w:szCs w:val="21"/>
              </w:rPr>
              <w:t xml:space="preserve">PHASE 1
(Now — Month 6)</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Passive observation only. Watch, log, alert. No autonomous action. All interventions require Jorge approval. Observer builds baseline.</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7"/>
                <w:sz w:val="21"/>
                <w:szCs w:val="21"/>
              </w:rPr>
              <w:t xml:space="preserve">PHASE 2
(Month 6 — Month 18)</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Approved automated responses for defined emergency conditions only (BLACK level). All other escalations still require Jorge approval.</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7"/>
                <w:sz w:val="21"/>
                <w:szCs w:val="21"/>
              </w:rPr>
              <w:t xml:space="preserve">PHASE 3
(Month 18+)</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Full Command Center integration. Observer signals feed directly into automated fleet management for pre-approved response protocols.</w:t>
            </w:r>
          </w:p>
        </w:tc>
      </w:tr>
    </w:tbl>
    <w:p>
      <w:pPr>
        <w:spacing w:before="60" w:after="60"/>
      </w:pPr>
      <w:r>
        <w:t xml:space="preserve"/>
      </w:r>
    </w:p>
    <w:p>
      <w:pPr>
        <w:pStyle w:val="Heading1"/>
        <w:pBdr>
          <w:bottom w:val="single" w:color="C9A84C" w:sz="6" w:space="4"/>
        </w:pBdr>
        <w:spacing w:before="360" w:after="180"/>
      </w:pPr>
      <w:r>
        <w:rPr>
          <w:rFonts w:ascii="Arial" w:cs="Arial" w:eastAsia="Arial" w:hAnsi="Arial"/>
          <w:b/>
          <w:bCs/>
          <w:color w:val="1B2A47"/>
          <w:sz w:val="32"/>
          <w:szCs w:val="32"/>
        </w:rPr>
        <w:t xml:space="preserve">3. WHAT THE OBSERVER WATCHES — THE FIVE SIGHT LINES</w:t>
      </w:r>
    </w:p>
    <w:p>
      <w:pPr>
        <w:spacing w:before="60" w:after="60"/>
      </w:pPr>
      <w:r>
        <w:t xml:space="preserve"/>
      </w:r>
    </w:p>
    <w:p>
      <w:pPr>
        <w:spacing w:before="80" w:after="80"/>
        <w:jc w:val="left"/>
      </w:pPr>
      <w:r>
        <w:rPr>
          <w:rFonts w:ascii="Arial" w:cs="Arial" w:eastAsia="Arial" w:hAnsi="Arial"/>
          <w:b w:val="false"/>
          <w:bCs w:val="false"/>
          <w:i w:val="false"/>
          <w:iCs w:val="false"/>
          <w:color w:val="000000"/>
          <w:sz w:val="22"/>
          <w:szCs w:val="22"/>
        </w:rPr>
        <w:t xml:space="preserve">The Observer organizes everything it watches into five sight lines. Each sight line is a category of observation with its own baseline, thresholds, and escalation logic. Every piece of fleet activity belongs to exactly one sight line.</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3.1 Sight Line 1 — Trade Execution</w:t>
      </w:r>
    </w:p>
    <w:p>
      <w:pPr>
        <w:spacing w:before="60" w:after="60"/>
      </w:pPr>
      <w:r>
        <w:t xml:space="preserve"/>
      </w:r>
    </w:p>
    <w:p>
      <w:pPr>
        <w:spacing w:before="80" w:after="80"/>
        <w:jc w:val="left"/>
      </w:pPr>
      <w:r>
        <w:rPr>
          <w:rFonts w:ascii="Arial" w:cs="Arial" w:eastAsia="Arial" w:hAnsi="Arial"/>
          <w:b w:val="false"/>
          <w:bCs w:val="false"/>
          <w:i w:val="false"/>
          <w:iCs w:val="false"/>
          <w:color w:val="000000"/>
          <w:sz w:val="22"/>
          <w:szCs w:val="22"/>
        </w:rPr>
        <w:t xml:space="preserve">Watches every order from signal to fill. Confirms execution integrity.</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Order placement success rate — are orders reaching the broker?</w:t>
      </w:r>
    </w:p>
    <w:p>
      <w:pPr>
        <w:pStyle w:val="ListParagraph"/>
        <w:numPr>
          <w:ilvl w:val="0"/>
          <w:numId w:val="2"/>
        </w:numPr>
        <w:spacing w:before="60" w:after="60"/>
      </w:pPr>
      <w:r>
        <w:rPr>
          <w:rFonts w:ascii="Arial" w:cs="Arial" w:eastAsia="Arial" w:hAnsi="Arial"/>
          <w:sz w:val="22"/>
          <w:szCs w:val="22"/>
        </w:rPr>
        <w:t xml:space="preserve">Fill quality — actual fill price vs expected price (slippage)</w:t>
      </w:r>
    </w:p>
    <w:p>
      <w:pPr>
        <w:pStyle w:val="ListParagraph"/>
        <w:numPr>
          <w:ilvl w:val="0"/>
          <w:numId w:val="2"/>
        </w:numPr>
        <w:spacing w:before="60" w:after="60"/>
      </w:pPr>
      <w:r>
        <w:rPr>
          <w:rFonts w:ascii="Arial" w:cs="Arial" w:eastAsia="Arial" w:hAnsi="Arial"/>
          <w:sz w:val="22"/>
          <w:szCs w:val="22"/>
        </w:rPr>
        <w:t xml:space="preserve">Stop loss confirmation — every open position has a stop; no exceptions</w:t>
      </w:r>
    </w:p>
    <w:p>
      <w:pPr>
        <w:pStyle w:val="ListParagraph"/>
        <w:numPr>
          <w:ilvl w:val="0"/>
          <w:numId w:val="2"/>
        </w:numPr>
        <w:spacing w:before="60" w:after="60"/>
      </w:pPr>
      <w:r>
        <w:rPr>
          <w:rFonts w:ascii="Arial" w:cs="Arial" w:eastAsia="Arial" w:hAnsi="Arial"/>
          <w:sz w:val="22"/>
          <w:szCs w:val="22"/>
        </w:rPr>
        <w:t xml:space="preserve">Magic number integrity — all fills carry TITAN FORGE magic; no foreign orders</w:t>
      </w:r>
    </w:p>
    <w:p>
      <w:pPr>
        <w:pStyle w:val="ListParagraph"/>
        <w:numPr>
          <w:ilvl w:val="0"/>
          <w:numId w:val="2"/>
        </w:numPr>
        <w:spacing w:before="60" w:after="60"/>
      </w:pPr>
      <w:r>
        <w:rPr>
          <w:rFonts w:ascii="Arial" w:cs="Arial" w:eastAsia="Arial" w:hAnsi="Arial"/>
          <w:sz w:val="22"/>
          <w:szCs w:val="22"/>
        </w:rPr>
        <w:t xml:space="preserve">Execution latency — time from signal to fill; flags degradation</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3.2 Sight Line 2 — Performance Patterns</w:t>
      </w:r>
    </w:p>
    <w:p>
      <w:pPr>
        <w:spacing w:before="60" w:after="60"/>
      </w:pPr>
      <w:r>
        <w:t xml:space="preserve"/>
      </w:r>
    </w:p>
    <w:p>
      <w:pPr>
        <w:spacing w:before="80" w:after="80"/>
        <w:jc w:val="left"/>
      </w:pPr>
      <w:r>
        <w:rPr>
          <w:rFonts w:ascii="Arial" w:cs="Arial" w:eastAsia="Arial" w:hAnsi="Arial"/>
          <w:b w:val="false"/>
          <w:bCs w:val="false"/>
          <w:i w:val="false"/>
          <w:iCs w:val="false"/>
          <w:color w:val="000000"/>
          <w:sz w:val="22"/>
          <w:szCs w:val="22"/>
        </w:rPr>
        <w:t xml:space="preserve">Watches statistical performance over time. Distinguishes normal variance from genuine edge decay.</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Win rate rolling average — compared against regime-adjusted baseline</w:t>
      </w:r>
    </w:p>
    <w:p>
      <w:pPr>
        <w:pStyle w:val="ListParagraph"/>
        <w:numPr>
          <w:ilvl w:val="0"/>
          <w:numId w:val="2"/>
        </w:numPr>
        <w:spacing w:before="60" w:after="60"/>
      </w:pPr>
      <w:r>
        <w:rPr>
          <w:rFonts w:ascii="Arial" w:cs="Arial" w:eastAsia="Arial" w:hAnsi="Arial"/>
          <w:sz w:val="22"/>
          <w:szCs w:val="22"/>
        </w:rPr>
        <w:t xml:space="preserve">Average win vs average loss ratio — RR drift detection</w:t>
      </w:r>
    </w:p>
    <w:p>
      <w:pPr>
        <w:pStyle w:val="ListParagraph"/>
        <w:numPr>
          <w:ilvl w:val="0"/>
          <w:numId w:val="2"/>
        </w:numPr>
        <w:spacing w:before="60" w:after="60"/>
      </w:pPr>
      <w:r>
        <w:rPr>
          <w:rFonts w:ascii="Arial" w:cs="Arial" w:eastAsia="Arial" w:hAnsi="Arial"/>
          <w:sz w:val="22"/>
          <w:szCs w:val="22"/>
        </w:rPr>
        <w:t xml:space="preserve">Trade frequency — too many or too few trades vs historical norm</w:t>
      </w:r>
    </w:p>
    <w:p>
      <w:pPr>
        <w:pStyle w:val="ListParagraph"/>
        <w:numPr>
          <w:ilvl w:val="0"/>
          <w:numId w:val="2"/>
        </w:numPr>
        <w:spacing w:before="60" w:after="60"/>
      </w:pPr>
      <w:r>
        <w:rPr>
          <w:rFonts w:ascii="Arial" w:cs="Arial" w:eastAsia="Arial" w:hAnsi="Arial"/>
          <w:sz w:val="22"/>
          <w:szCs w:val="22"/>
        </w:rPr>
        <w:t xml:space="preserve">Consecutive loss streaks — flags extended runs against strategy expectation</w:t>
      </w:r>
    </w:p>
    <w:p>
      <w:pPr>
        <w:pStyle w:val="ListParagraph"/>
        <w:numPr>
          <w:ilvl w:val="0"/>
          <w:numId w:val="2"/>
        </w:numPr>
        <w:spacing w:before="60" w:after="60"/>
      </w:pPr>
      <w:r>
        <w:rPr>
          <w:rFonts w:ascii="Arial" w:cs="Arial" w:eastAsia="Arial" w:hAnsi="Arial"/>
          <w:sz w:val="22"/>
          <w:szCs w:val="22"/>
        </w:rPr>
        <w:t xml:space="preserve">Daily PnL trajectory — acceleration of losses or deceleration of gains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3.3 Sight Line 3 — Risk Boundaries</w:t>
      </w:r>
    </w:p>
    <w:p>
      <w:pPr>
        <w:spacing w:before="60" w:after="60"/>
      </w:pPr>
      <w:r>
        <w:t xml:space="preserve"/>
      </w:r>
    </w:p>
    <w:p>
      <w:pPr>
        <w:spacing w:before="80" w:after="80"/>
        <w:jc w:val="left"/>
      </w:pPr>
      <w:r>
        <w:rPr>
          <w:rFonts w:ascii="Arial" w:cs="Arial" w:eastAsia="Arial" w:hAnsi="Arial"/>
          <w:b w:val="false"/>
          <w:bCs w:val="false"/>
          <w:i w:val="false"/>
          <w:iCs w:val="false"/>
          <w:color w:val="000000"/>
          <w:sz w:val="22"/>
          <w:szCs w:val="22"/>
        </w:rPr>
        <w:t xml:space="preserve">Watches all drawdown and exposure metrics against FTMO firm rules and NEXUS internal limits. This sight line has the most direct path to escalation.</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Daily drawdown — monitors against FTMO 5% daily loss limit with staged warnings</w:t>
      </w:r>
    </w:p>
    <w:p>
      <w:pPr>
        <w:pStyle w:val="ListParagraph"/>
        <w:numPr>
          <w:ilvl w:val="0"/>
          <w:numId w:val="2"/>
        </w:numPr>
        <w:spacing w:before="60" w:after="60"/>
      </w:pPr>
      <w:r>
        <w:rPr>
          <w:rFonts w:ascii="Arial" w:cs="Arial" w:eastAsia="Arial" w:hAnsi="Arial"/>
          <w:sz w:val="22"/>
          <w:szCs w:val="22"/>
        </w:rPr>
        <w:t xml:space="preserve">Maximum drawdown — monitors against FTMO 10% overall limit</w:t>
      </w:r>
    </w:p>
    <w:p>
      <w:pPr>
        <w:pStyle w:val="ListParagraph"/>
        <w:numPr>
          <w:ilvl w:val="0"/>
          <w:numId w:val="2"/>
        </w:numPr>
        <w:spacing w:before="60" w:after="60"/>
      </w:pPr>
      <w:r>
        <w:rPr>
          <w:rFonts w:ascii="Arial" w:cs="Arial" w:eastAsia="Arial" w:hAnsi="Arial"/>
          <w:sz w:val="22"/>
          <w:szCs w:val="22"/>
        </w:rPr>
        <w:t xml:space="preserve">Position sizing — confirms all sizes comply with Kelly-approved allocation</w:t>
      </w:r>
    </w:p>
    <w:p>
      <w:pPr>
        <w:pStyle w:val="ListParagraph"/>
        <w:numPr>
          <w:ilvl w:val="0"/>
          <w:numId w:val="2"/>
        </w:numPr>
        <w:spacing w:before="60" w:after="60"/>
      </w:pPr>
      <w:r>
        <w:rPr>
          <w:rFonts w:ascii="Arial" w:cs="Arial" w:eastAsia="Arial" w:hAnsi="Arial"/>
          <w:sz w:val="22"/>
          <w:szCs w:val="22"/>
        </w:rPr>
        <w:t xml:space="preserve">Concurrent exposure — flags if multiple positions create correlated risk</w:t>
      </w:r>
    </w:p>
    <w:p>
      <w:pPr>
        <w:pStyle w:val="ListParagraph"/>
        <w:numPr>
          <w:ilvl w:val="0"/>
          <w:numId w:val="2"/>
        </w:numPr>
        <w:spacing w:before="60" w:after="60"/>
      </w:pPr>
      <w:r>
        <w:rPr>
          <w:rFonts w:ascii="Arial" w:cs="Arial" w:eastAsia="Arial" w:hAnsi="Arial"/>
          <w:sz w:val="22"/>
          <w:szCs w:val="22"/>
        </w:rPr>
        <w:t xml:space="preserve">News proximity — confirms FORGE respects news blackout windows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3.4 Sight Line 4 — Behavioral Compliance</w:t>
      </w:r>
    </w:p>
    <w:p>
      <w:pPr>
        <w:spacing w:before="60" w:after="60"/>
      </w:pPr>
      <w:r>
        <w:t xml:space="preserve"/>
      </w:r>
    </w:p>
    <w:p>
      <w:pPr>
        <w:spacing w:before="80" w:after="80"/>
        <w:jc w:val="left"/>
      </w:pPr>
      <w:r>
        <w:rPr>
          <w:rFonts w:ascii="Arial" w:cs="Arial" w:eastAsia="Arial" w:hAnsi="Arial"/>
          <w:b w:val="false"/>
          <w:bCs w:val="false"/>
          <w:i w:val="false"/>
          <w:iCs w:val="false"/>
          <w:color w:val="000000"/>
          <w:sz w:val="22"/>
          <w:szCs w:val="22"/>
        </w:rPr>
        <w:t xml:space="preserve">Watches whether FORGE is behaving as specified. Catches drift from approved parameters — the kind of thing that is technically functional but strategically wrong.</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Trading hours compliance — FORGE only trades approved sessions</w:t>
      </w:r>
    </w:p>
    <w:p>
      <w:pPr>
        <w:pStyle w:val="ListParagraph"/>
        <w:numPr>
          <w:ilvl w:val="0"/>
          <w:numId w:val="2"/>
        </w:numPr>
        <w:spacing w:before="60" w:after="60"/>
      </w:pPr>
      <w:r>
        <w:rPr>
          <w:rFonts w:ascii="Arial" w:cs="Arial" w:eastAsia="Arial" w:hAnsi="Arial"/>
          <w:sz w:val="22"/>
          <w:szCs w:val="22"/>
        </w:rPr>
        <w:t xml:space="preserve">Regime alignment — FORGE's active regime classification matches hub's classification</w:t>
      </w:r>
    </w:p>
    <w:p>
      <w:pPr>
        <w:pStyle w:val="ListParagraph"/>
        <w:numPr>
          <w:ilvl w:val="0"/>
          <w:numId w:val="2"/>
        </w:numPr>
        <w:spacing w:before="60" w:after="60"/>
      </w:pPr>
      <w:r>
        <w:rPr>
          <w:rFonts w:ascii="Arial" w:cs="Arial" w:eastAsia="Arial" w:hAnsi="Arial"/>
          <w:sz w:val="22"/>
          <w:szCs w:val="22"/>
        </w:rPr>
        <w:t xml:space="preserve">Instrument compliance — only approved instruments traded</w:t>
      </w:r>
    </w:p>
    <w:p>
      <w:pPr>
        <w:pStyle w:val="ListParagraph"/>
        <w:numPr>
          <w:ilvl w:val="0"/>
          <w:numId w:val="2"/>
        </w:numPr>
        <w:spacing w:before="60" w:after="60"/>
      </w:pPr>
      <w:r>
        <w:rPr>
          <w:rFonts w:ascii="Arial" w:cs="Arial" w:eastAsia="Arial" w:hAnsi="Arial"/>
          <w:sz w:val="22"/>
          <w:szCs w:val="22"/>
        </w:rPr>
        <w:t xml:space="preserve">Parameter drift — entry criteria, stop distances, target ratios staying within spec</w:t>
      </w:r>
    </w:p>
    <w:p>
      <w:pPr>
        <w:pStyle w:val="ListParagraph"/>
        <w:numPr>
          <w:ilvl w:val="0"/>
          <w:numId w:val="2"/>
        </w:numPr>
        <w:spacing w:before="60" w:after="60"/>
      </w:pPr>
      <w:r>
        <w:rPr>
          <w:rFonts w:ascii="Arial" w:cs="Arial" w:eastAsia="Arial" w:hAnsi="Arial"/>
          <w:sz w:val="22"/>
          <w:szCs w:val="22"/>
        </w:rPr>
        <w:t xml:space="preserve">Hot Hand Protocol activation — confirms FORGE scales up only when authorized</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3.5 Sight Line 5 — System Health</w:t>
      </w:r>
    </w:p>
    <w:p>
      <w:pPr>
        <w:spacing w:before="60" w:after="60"/>
      </w:pPr>
      <w:r>
        <w:t xml:space="preserve"/>
      </w:r>
    </w:p>
    <w:p>
      <w:pPr>
        <w:spacing w:before="80" w:after="80"/>
        <w:jc w:val="left"/>
      </w:pPr>
      <w:r>
        <w:rPr>
          <w:rFonts w:ascii="Arial" w:cs="Arial" w:eastAsia="Arial" w:hAnsi="Arial"/>
          <w:b w:val="false"/>
          <w:bCs w:val="false"/>
          <w:i w:val="false"/>
          <w:iCs w:val="false"/>
          <w:color w:val="000000"/>
          <w:sz w:val="22"/>
          <w:szCs w:val="22"/>
        </w:rPr>
        <w:t xml:space="preserve">Watches the infrastructure stack. A technically correct strategy cannot trade through a broken connection.</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MetaAPI connection status — deployed, connected, full redundancy</w:t>
      </w:r>
    </w:p>
    <w:p>
      <w:pPr>
        <w:pStyle w:val="ListParagraph"/>
        <w:numPr>
          <w:ilvl w:val="0"/>
          <w:numId w:val="2"/>
        </w:numPr>
        <w:spacing w:before="60" w:after="60"/>
      </w:pPr>
      <w:r>
        <w:rPr>
          <w:rFonts w:ascii="Arial" w:cs="Arial" w:eastAsia="Arial" w:hAnsi="Arial"/>
          <w:sz w:val="22"/>
          <w:szCs w:val="22"/>
        </w:rPr>
        <w:t xml:space="preserve">Railway loop heartbeat — confirms main.py loop is alive and cycling</w:t>
      </w:r>
    </w:p>
    <w:p>
      <w:pPr>
        <w:pStyle w:val="ListParagraph"/>
        <w:numPr>
          <w:ilvl w:val="0"/>
          <w:numId w:val="2"/>
        </w:numPr>
        <w:spacing w:before="60" w:after="60"/>
      </w:pPr>
      <w:r>
        <w:rPr>
          <w:rFonts w:ascii="Arial" w:cs="Arial" w:eastAsia="Arial" w:hAnsi="Arial"/>
          <w:sz w:val="22"/>
          <w:szCs w:val="22"/>
        </w:rPr>
        <w:t xml:space="preserve">API latency — MetaAPI response times, degradation detection</w:t>
      </w:r>
    </w:p>
    <w:p>
      <w:pPr>
        <w:pStyle w:val="ListParagraph"/>
        <w:numPr>
          <w:ilvl w:val="0"/>
          <w:numId w:val="2"/>
        </w:numPr>
        <w:spacing w:before="60" w:after="60"/>
      </w:pPr>
      <w:r>
        <w:rPr>
          <w:rFonts w:ascii="Arial" w:cs="Arial" w:eastAsia="Arial" w:hAnsi="Arial"/>
          <w:sz w:val="22"/>
          <w:szCs w:val="22"/>
        </w:rPr>
        <w:t xml:space="preserve">Memory Core integrity — confirms performance database is writing correctly</w:t>
      </w:r>
    </w:p>
    <w:p>
      <w:pPr>
        <w:pStyle w:val="ListParagraph"/>
        <w:numPr>
          <w:ilvl w:val="0"/>
          <w:numId w:val="2"/>
        </w:numPr>
        <w:spacing w:before="60" w:after="60"/>
      </w:pPr>
      <w:r>
        <w:rPr>
          <w:rFonts w:ascii="Arial" w:cs="Arial" w:eastAsia="Arial" w:hAnsi="Arial"/>
          <w:sz w:val="22"/>
          <w:szCs w:val="22"/>
        </w:rPr>
        <w:t xml:space="preserve">Telegram channel health — confirms alerts are actually being delivered</w:t>
      </w:r>
    </w:p>
    <w:p>
      <w:pPr>
        <w:spacing w:before="60" w:after="60"/>
      </w:pPr>
      <w:r>
        <w:t xml:space="preserve"/>
      </w:r>
    </w:p>
    <w:p>
      <w:pPr>
        <w:pStyle w:val="Heading1"/>
        <w:pBdr>
          <w:bottom w:val="single" w:color="C9A84C" w:sz="6" w:space="4"/>
        </w:pBdr>
        <w:spacing w:before="360" w:after="180"/>
      </w:pPr>
      <w:r>
        <w:rPr>
          <w:rFonts w:ascii="Arial" w:cs="Arial" w:eastAsia="Arial" w:hAnsi="Arial"/>
          <w:b/>
          <w:bCs/>
          <w:color w:val="1B2A47"/>
          <w:sz w:val="32"/>
          <w:szCs w:val="32"/>
        </w:rPr>
        <w:t xml:space="preserve">4. THE ESCALATION MATRIX</w:t>
      </w:r>
    </w:p>
    <w:p>
      <w:pPr>
        <w:spacing w:before="60" w:after="60"/>
      </w:pPr>
      <w:r>
        <w:t xml:space="preserve"/>
      </w:r>
    </w:p>
    <w:p>
      <w:pPr>
        <w:spacing w:before="80" w:after="80"/>
        <w:jc w:val="left"/>
      </w:pPr>
      <w:r>
        <w:rPr>
          <w:rFonts w:ascii="Arial" w:cs="Arial" w:eastAsia="Arial" w:hAnsi="Arial"/>
          <w:b w:val="false"/>
          <w:bCs w:val="false"/>
          <w:i w:val="false"/>
          <w:iCs w:val="false"/>
          <w:color w:val="000000"/>
          <w:sz w:val="22"/>
          <w:szCs w:val="22"/>
        </w:rPr>
        <w:t xml:space="preserve">The Observer does not fire alerts for everything it sees. Most of what it sees is normal. The Escalation Matrix defines exactly when the Observer moves from silent observation to active escalation — and what it does at each level.</w:t>
      </w:r>
    </w:p>
    <w:p>
      <w:pPr>
        <w:spacing w:before="60" w:after="60"/>
      </w:pPr>
      <w:r>
        <w:t xml:space="preserve"/>
      </w:r>
    </w:p>
    <w:p>
      <w:pPr>
        <w:spacing w:before="80" w:after="80"/>
        <w:jc w:val="left"/>
      </w:pPr>
      <w:r>
        <w:rPr>
          <w:rFonts w:ascii="Arial" w:cs="Arial" w:eastAsia="Arial" w:hAnsi="Arial"/>
          <w:b w:val="false"/>
          <w:bCs w:val="false"/>
          <w:i w:val="false"/>
          <w:iCs w:val="false"/>
          <w:color w:val="000000"/>
          <w:sz w:val="22"/>
          <w:szCs w:val="22"/>
        </w:rPr>
        <w:t xml:space="preserve">Five levels. The Observer always starts at GREEN. It escalates when thresholds are crossed. It only de-escalates when the condition that triggered escalation is resolved — not when the metric temporarily improves.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4160"/>
        <w:gridCol w:w="2800"/>
      </w:tblGrid>
      <w:tr>
        <w:tc>
          <w:tcPr>
            <w:tcW w:type="dxa" w:w="10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4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16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Trigger Examples</w:t>
            </w:r>
          </w:p>
        </w:tc>
        <w:tc>
          <w:tcPr>
            <w:tcW w:type="dxa" w:w="28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1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6B3C"/>
                <w:sz w:val="20"/>
                <w:szCs w:val="20"/>
              </w:rPr>
              <w:t xml:space="preserve">GREEN</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w:t>
            </w:r>
          </w:p>
        </w:tc>
        <w:tc>
          <w:tcPr>
            <w:tcW w:type="dxa" w:w="4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WR within baseline, DD within bounds, systems healthy</w:t>
            </w:r>
          </w:p>
        </w:tc>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Log only. No alert.</w:t>
            </w:r>
          </w:p>
        </w:tc>
      </w:tr>
      <w:tr>
        <w:tc>
          <w:tcPr>
            <w:tcW w:type="dxa" w:w="1000"/>
            <w:tcBorders>
              <w:top w:val="single" w:color="CCCCCC" w:sz="1"/>
              <w:left w:val="single" w:color="CCCCCC" w:sz="1"/>
              <w:bottom w:val="single" w:color="CCCCCC" w:sz="1"/>
              <w:right w:val="single" w:color="CCCCCC" w:sz="1"/>
            </w:tcBorders>
            <w:shd w:fill="FFFDE8" w:val="clear"/>
            <w:tcMar>
              <w:top w:type="dxa" w:w="80"/>
              <w:left w:type="dxa" w:w="120"/>
              <w:bottom w:type="dxa" w:w="80"/>
              <w:right w:type="dxa" w:w="120"/>
            </w:tcMar>
          </w:tcPr>
          <w:p>
            <w:r>
              <w:rPr>
                <w:rFonts w:ascii="Arial" w:cs="Arial" w:eastAsia="Arial" w:hAnsi="Arial"/>
                <w:b/>
                <w:bCs/>
                <w:color w:val="7A6000"/>
                <w:sz w:val="20"/>
                <w:szCs w:val="20"/>
              </w:rPr>
              <w:t xml:space="preserve">YELLOW</w:t>
            </w:r>
          </w:p>
        </w:tc>
        <w:tc>
          <w:tcPr>
            <w:tcW w:type="dxa" w:w="1400"/>
            <w:tcBorders>
              <w:top w:val="single" w:color="CCCCCC" w:sz="1"/>
              <w:left w:val="single" w:color="CCCCCC" w:sz="1"/>
              <w:bottom w:val="single" w:color="CCCCCC" w:sz="1"/>
              <w:right w:val="single" w:color="CCCCCC" w:sz="1"/>
            </w:tcBorders>
            <w:shd w:fill="FFFDE8" w:val="clear"/>
            <w:tcMar>
              <w:top w:type="dxa" w:w="80"/>
              <w:left w:type="dxa" w:w="120"/>
              <w:bottom w:type="dxa" w:w="80"/>
              <w:right w:type="dxa" w:w="120"/>
            </w:tcMar>
          </w:tcPr>
          <w:p>
            <w:r>
              <w:rPr>
                <w:rFonts w:ascii="Arial" w:cs="Arial" w:eastAsia="Arial" w:hAnsi="Arial"/>
                <w:b w:val="false"/>
                <w:bCs w:val="false"/>
                <w:color w:val="000000"/>
                <w:sz w:val="20"/>
                <w:szCs w:val="20"/>
              </w:rPr>
              <w:t xml:space="preserve">Anomaly</w:t>
            </w:r>
          </w:p>
        </w:tc>
        <w:tc>
          <w:tcPr>
            <w:tcW w:type="dxa" w:w="4160"/>
            <w:tcBorders>
              <w:top w:val="single" w:color="CCCCCC" w:sz="1"/>
              <w:left w:val="single" w:color="CCCCCC" w:sz="1"/>
              <w:bottom w:val="single" w:color="CCCCCC" w:sz="1"/>
              <w:right w:val="single" w:color="CCCCCC" w:sz="1"/>
            </w:tcBorders>
            <w:shd w:fill="FFFDE8" w:val="clear"/>
            <w:tcMar>
              <w:top w:type="dxa" w:w="80"/>
              <w:left w:type="dxa" w:w="120"/>
              <w:bottom w:type="dxa" w:w="80"/>
              <w:right w:type="dxa" w:w="120"/>
            </w:tcMar>
          </w:tcPr>
          <w:p>
            <w:r>
              <w:rPr>
                <w:rFonts w:ascii="Arial" w:cs="Arial" w:eastAsia="Arial" w:hAnsi="Arial"/>
                <w:b w:val="false"/>
                <w:bCs w:val="false"/>
                <w:color w:val="000000"/>
                <w:sz w:val="20"/>
                <w:szCs w:val="20"/>
              </w:rPr>
              <w:t xml:space="preserve">WR drifting -5% below baseline, unusual trade frequency, latency spike</w:t>
            </w:r>
          </w:p>
        </w:tc>
        <w:tc>
          <w:tcPr>
            <w:tcW w:type="dxa" w:w="2800"/>
            <w:tcBorders>
              <w:top w:val="single" w:color="CCCCCC" w:sz="1"/>
              <w:left w:val="single" w:color="CCCCCC" w:sz="1"/>
              <w:bottom w:val="single" w:color="CCCCCC" w:sz="1"/>
              <w:right w:val="single" w:color="CCCCCC" w:sz="1"/>
            </w:tcBorders>
            <w:shd w:fill="FFFDE8"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 Jorge via Telegram. Log full context.</w:t>
            </w:r>
          </w:p>
        </w:tc>
      </w:tr>
      <w:tr>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B35C00"/>
                <w:sz w:val="20"/>
                <w:szCs w:val="20"/>
              </w:rPr>
              <w:t xml:space="preserve">ORANGE</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w:t>
            </w:r>
          </w:p>
        </w:tc>
        <w:tc>
          <w:tcPr>
            <w:tcW w:type="dxa" w:w="4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WR -10% below baseline, approaching 50% daily DD limit, 3 consecutive losses</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 Jorge. Recommendation prepared. Await approval.</w:t>
            </w:r>
          </w:p>
        </w:tc>
      </w:tr>
      <w:tr>
        <w:tc>
          <w:tcPr>
            <w:tcW w:type="dxa" w:w="10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r>
              <w:rPr>
                <w:rFonts w:ascii="Arial" w:cs="Arial" w:eastAsia="Arial" w:hAnsi="Arial"/>
                <w:b/>
                <w:bCs/>
                <w:color w:val="8B0000"/>
                <w:sz w:val="20"/>
                <w:szCs w:val="20"/>
              </w:rPr>
              <w:t xml:space="preserve">RED</w:t>
            </w:r>
          </w:p>
        </w:tc>
        <w:tc>
          <w:tcPr>
            <w:tcW w:type="dxa" w:w="1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Threshold</w:t>
            </w:r>
          </w:p>
        </w:tc>
        <w:tc>
          <w:tcPr>
            <w:tcW w:type="dxa" w:w="416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r>
              <w:rPr>
                <w:rFonts w:ascii="Arial" w:cs="Arial" w:eastAsia="Arial" w:hAnsi="Arial"/>
                <w:b w:val="false"/>
                <w:bCs w:val="false"/>
                <w:color w:val="000000"/>
                <w:sz w:val="20"/>
                <w:szCs w:val="20"/>
              </w:rPr>
              <w:t xml:space="preserve">FTMO daily loss limit at 80%, regime mismatch detected, MetaAPI disconnected</w:t>
            </w:r>
          </w:p>
        </w:tc>
        <w:tc>
          <w:tcPr>
            <w:tcW w:type="dxa" w:w="28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 Jorge. Trading suspended until confirmation.</w:t>
            </w:r>
          </w:p>
        </w:tc>
      </w:tr>
      <w:tr>
        <w:tc>
          <w:tcPr>
            <w:tcW w:type="dxa" w:w="1000"/>
            <w:tcBorders>
              <w:top w:val="single" w:color="CCCCCC" w:sz="1"/>
              <w:left w:val="single" w:color="CCCCCC" w:sz="1"/>
              <w:bottom w:val="single" w:color="CCCCCC" w:sz="1"/>
              <w:right w:val="single" w:color="CCCCCC" w:sz="1"/>
            </w:tcBorders>
            <w:shd w:fill="2C0000" w:val="clear"/>
            <w:tcMar>
              <w:top w:type="dxa" w:w="80"/>
              <w:left w:type="dxa" w:w="120"/>
              <w:bottom w:type="dxa" w:w="80"/>
              <w:right w:type="dxa" w:w="120"/>
            </w:tcMar>
          </w:tcPr>
          <w:p>
            <w:r>
              <w:rPr>
                <w:rFonts w:ascii="Arial" w:cs="Arial" w:eastAsia="Arial" w:hAnsi="Arial"/>
                <w:b/>
                <w:bCs/>
                <w:color w:val="FFFFFF"/>
                <w:sz w:val="20"/>
                <w:szCs w:val="20"/>
              </w:rPr>
              <w:t xml:space="preserve">BLACK</w:t>
            </w:r>
          </w:p>
        </w:tc>
        <w:tc>
          <w:tcPr>
            <w:tcW w:type="dxa" w:w="1400"/>
            <w:tcBorders>
              <w:top w:val="single" w:color="CCCCCC" w:sz="1"/>
              <w:left w:val="single" w:color="CCCCCC" w:sz="1"/>
              <w:bottom w:val="single" w:color="CCCCCC" w:sz="1"/>
              <w:right w:val="single" w:color="CCCCCC" w:sz="1"/>
            </w:tcBorders>
            <w:shd w:fill="2C0000" w:val="clear"/>
            <w:tcMar>
              <w:top w:type="dxa" w:w="80"/>
              <w:left w:type="dxa" w:w="120"/>
              <w:bottom w:type="dxa" w:w="80"/>
              <w:right w:type="dxa" w:w="120"/>
            </w:tcMar>
          </w:tcPr>
          <w:p>
            <w:r>
              <w:rPr>
                <w:rFonts w:ascii="Arial" w:cs="Arial" w:eastAsia="Arial" w:hAnsi="Arial"/>
                <w:b w:val="false"/>
                <w:bCs w:val="false"/>
                <w:color w:val="000000"/>
                <w:sz w:val="20"/>
                <w:szCs w:val="20"/>
              </w:rPr>
              <w:t xml:space="preserve">Emergency</w:t>
            </w:r>
          </w:p>
        </w:tc>
        <w:tc>
          <w:tcPr>
            <w:tcW w:type="dxa" w:w="4160"/>
            <w:tcBorders>
              <w:top w:val="single" w:color="CCCCCC" w:sz="1"/>
              <w:left w:val="single" w:color="CCCCCC" w:sz="1"/>
              <w:bottom w:val="single" w:color="CCCCCC" w:sz="1"/>
              <w:right w:val="single" w:color="CCCCCC" w:sz="1"/>
            </w:tcBorders>
            <w:shd w:fill="2C0000"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loss limit breached, catastrophic position, system failure detected</w:t>
            </w:r>
          </w:p>
        </w:tc>
        <w:tc>
          <w:tcPr>
            <w:tcW w:type="dxa" w:w="2800"/>
            <w:tcBorders>
              <w:top w:val="single" w:color="CCCCCC" w:sz="1"/>
              <w:left w:val="single" w:color="CCCCCC" w:sz="1"/>
              <w:bottom w:val="single" w:color="CCCCCC" w:sz="1"/>
              <w:right w:val="single" w:color="CCCCCC" w:sz="1"/>
            </w:tcBorders>
            <w:shd w:fill="2C0000"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Immediate halt. Alert Jorge. Await manual restart.</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4.1 Escalation Rules</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Escalation is immediate — the Observer does not wait for a second confirmation before escalating UP</w:t>
      </w:r>
    </w:p>
    <w:p>
      <w:pPr>
        <w:pStyle w:val="ListParagraph"/>
        <w:numPr>
          <w:ilvl w:val="0"/>
          <w:numId w:val="2"/>
        </w:numPr>
        <w:spacing w:before="60" w:after="60"/>
      </w:pPr>
      <w:r>
        <w:rPr>
          <w:rFonts w:ascii="Arial" w:cs="Arial" w:eastAsia="Arial" w:hAnsi="Arial"/>
          <w:sz w:val="22"/>
          <w:szCs w:val="22"/>
        </w:rPr>
        <w:t xml:space="preserve">De-escalation requires resolution — the Observer waits for the condition to clear and 30 minutes of clean data before de-escalating DOWN</w:t>
      </w:r>
    </w:p>
    <w:p>
      <w:pPr>
        <w:pStyle w:val="ListParagraph"/>
        <w:numPr>
          <w:ilvl w:val="0"/>
          <w:numId w:val="2"/>
        </w:numPr>
        <w:spacing w:before="60" w:after="60"/>
      </w:pPr>
      <w:r>
        <w:rPr>
          <w:rFonts w:ascii="Arial" w:cs="Arial" w:eastAsia="Arial" w:hAnsi="Arial"/>
          <w:sz w:val="22"/>
          <w:szCs w:val="22"/>
        </w:rPr>
        <w:t xml:space="preserve">Multiple simultaneous escalations aggregate — if three YELLOW conditions exist simultaneously, the Observer escalates to ORANGE</w:t>
      </w:r>
    </w:p>
    <w:p>
      <w:pPr>
        <w:pStyle w:val="ListParagraph"/>
        <w:numPr>
          <w:ilvl w:val="0"/>
          <w:numId w:val="2"/>
        </w:numPr>
        <w:spacing w:before="60" w:after="60"/>
      </w:pPr>
      <w:r>
        <w:rPr>
          <w:rFonts w:ascii="Arial" w:cs="Arial" w:eastAsia="Arial" w:hAnsi="Arial"/>
          <w:sz w:val="22"/>
          <w:szCs w:val="22"/>
        </w:rPr>
        <w:t xml:space="preserve">BLACK is non-negotiable — once BLACK is triggered, trading halts regardless of any other condition; only Jorge can restart</w:t>
      </w:r>
    </w:p>
    <w:p>
      <w:pPr>
        <w:pStyle w:val="ListParagraph"/>
        <w:numPr>
          <w:ilvl w:val="0"/>
          <w:numId w:val="2"/>
        </w:numPr>
        <w:spacing w:before="60" w:after="60"/>
      </w:pPr>
      <w:r>
        <w:rPr>
          <w:rFonts w:ascii="Arial" w:cs="Arial" w:eastAsia="Arial" w:hAnsi="Arial"/>
          <w:sz w:val="22"/>
          <w:szCs w:val="22"/>
        </w:rPr>
        <w:t xml:space="preserve">Context always accompanies escalation — every alert includes what triggered it, current metrics, historical baseline, and a plain-English assessment</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4.2 The Alert Package</w:t>
      </w:r>
    </w:p>
    <w:p>
      <w:pPr>
        <w:spacing w:before="60" w:after="60"/>
      </w:pPr>
      <w:r>
        <w:t xml:space="preserve"/>
      </w:r>
    </w:p>
    <w:p>
      <w:pPr>
        <w:spacing w:before="80" w:after="80"/>
        <w:jc w:val="left"/>
      </w:pPr>
      <w:r>
        <w:rPr>
          <w:rFonts w:ascii="Arial" w:cs="Arial" w:eastAsia="Arial" w:hAnsi="Arial"/>
          <w:b w:val="false"/>
          <w:bCs w:val="false"/>
          <w:i w:val="false"/>
          <w:iCs w:val="false"/>
          <w:color w:val="000000"/>
          <w:sz w:val="22"/>
          <w:szCs w:val="22"/>
        </w:rPr>
        <w:t xml:space="preserve">Every Telegram alert from the Observer follows the same structure. Jorge should be able to read any alert and immediately understand what happened, how serious it is, and what his options are.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7" w:val="clear"/>
            <w:tcMar>
              <w:top w:type="dxa" w:w="100"/>
              <w:left w:type="dxa" w:w="160"/>
              <w:bottom w:type="dxa" w:w="100"/>
              <w:right w:type="dxa" w:w="160"/>
            </w:tcMar>
          </w:tcPr>
          <w:p>
            <w:r>
              <w:rPr>
                <w:rFonts w:ascii="Arial" w:cs="Arial" w:eastAsia="Arial" w:hAnsi="Arial"/>
                <w:b/>
                <w:bCs/>
                <w:color w:val="FFFFFF"/>
                <w:sz w:val="22"/>
                <w:szCs w:val="22"/>
              </w:rPr>
              <w:t xml:space="preserve">ALERT PACKAGE FORMAT — EVERY ESCALATION</w:t>
            </w:r>
          </w:p>
        </w:tc>
      </w:tr>
      <w:tr>
        <w:tc>
          <w:tcPr>
            <w:tcW w:type="dxa" w:w="9360"/>
            <w:tcBorders>
              <w:top w:val="single" w:color="CCCCCC" w:sz="1"/>
              <w:left w:val="single" w:color="CCCCCC" w:sz="1"/>
              <w:bottom w:val="single" w:color="CCCCCC" w:sz="1"/>
              <w:right w:val="single" w:color="CCCCCC" w:sz="1"/>
            </w:tcBorders>
            <w:shd w:fill="FDF3DC" w:val="clear"/>
            <w:tcMar>
              <w:top w:type="dxa" w:w="80"/>
              <w:left w:type="dxa" w:w="160"/>
              <w:bottom w:type="dxa" w:w="80"/>
              <w:right w:type="dxa" w:w="160"/>
            </w:tcMar>
          </w:tcPr>
          <w:p>
            <w:r>
              <w:rPr>
                <w:rFonts w:ascii="Arial" w:cs="Arial" w:eastAsia="Arial" w:hAnsi="Arial"/>
                <w:sz w:val="21"/>
                <w:szCs w:val="21"/>
              </w:rPr>
              <w:t xml:space="preserve">[OBSERVER][LEVEL] — Alert headline in plain English</w:t>
            </w:r>
          </w:p>
        </w:tc>
      </w:tr>
      <w:tr>
        <w:tc>
          <w:tcPr>
            <w:tcW w:type="dxa" w:w="9360"/>
            <w:tcBorders>
              <w:top w:val="single" w:color="CCCCCC" w:sz="1"/>
              <w:left w:val="single" w:color="CCCCCC" w:sz="1"/>
              <w:bottom w:val="single" w:color="CCCCCC" w:sz="1"/>
              <w:right w:val="single" w:color="CCCCCC" w:sz="1"/>
            </w:tcBorders>
            <w:shd w:fill="FDF3DC" w:val="clear"/>
            <w:tcMar>
              <w:top w:type="dxa" w:w="80"/>
              <w:left w:type="dxa" w:w="160"/>
              <w:bottom w:type="dxa" w:w="80"/>
              <w:right w:type="dxa" w:w="160"/>
            </w:tcMar>
          </w:tcPr>
          <w:p>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shd w:fill="FDF3DC" w:val="clear"/>
            <w:tcMar>
              <w:top w:type="dxa" w:w="80"/>
              <w:left w:type="dxa" w:w="160"/>
              <w:bottom w:type="dxa" w:w="80"/>
              <w:right w:type="dxa" w:w="160"/>
            </w:tcMar>
          </w:tcPr>
          <w:p>
            <w:r>
              <w:rPr>
                <w:rFonts w:ascii="Arial" w:cs="Arial" w:eastAsia="Arial" w:hAnsi="Arial"/>
                <w:sz w:val="21"/>
                <w:szCs w:val="21"/>
              </w:rPr>
              <w:t xml:space="preserve">WHAT: Specific metric that triggered escalation</w:t>
            </w:r>
          </w:p>
        </w:tc>
      </w:tr>
      <w:tr>
        <w:tc>
          <w:tcPr>
            <w:tcW w:type="dxa" w:w="9360"/>
            <w:tcBorders>
              <w:top w:val="single" w:color="CCCCCC" w:sz="1"/>
              <w:left w:val="single" w:color="CCCCCC" w:sz="1"/>
              <w:bottom w:val="single" w:color="CCCCCC" w:sz="1"/>
              <w:right w:val="single" w:color="CCCCCC" w:sz="1"/>
            </w:tcBorders>
            <w:shd w:fill="FDF3DC" w:val="clear"/>
            <w:tcMar>
              <w:top w:type="dxa" w:w="80"/>
              <w:left w:type="dxa" w:w="160"/>
              <w:bottom w:type="dxa" w:w="80"/>
              <w:right w:type="dxa" w:w="160"/>
            </w:tcMar>
          </w:tcPr>
          <w:p>
            <w:r>
              <w:rPr>
                <w:rFonts w:ascii="Arial" w:cs="Arial" w:eastAsia="Arial" w:hAnsi="Arial"/>
                <w:sz w:val="21"/>
                <w:szCs w:val="21"/>
              </w:rPr>
              <w:t xml:space="preserve">VALUE: Current reading vs baseline</w:t>
            </w:r>
          </w:p>
        </w:tc>
      </w:tr>
      <w:tr>
        <w:tc>
          <w:tcPr>
            <w:tcW w:type="dxa" w:w="9360"/>
            <w:tcBorders>
              <w:top w:val="single" w:color="CCCCCC" w:sz="1"/>
              <w:left w:val="single" w:color="CCCCCC" w:sz="1"/>
              <w:bottom w:val="single" w:color="CCCCCC" w:sz="1"/>
              <w:right w:val="single" w:color="CCCCCC" w:sz="1"/>
            </w:tcBorders>
            <w:shd w:fill="FDF3DC" w:val="clear"/>
            <w:tcMar>
              <w:top w:type="dxa" w:w="80"/>
              <w:left w:type="dxa" w:w="160"/>
              <w:bottom w:type="dxa" w:w="80"/>
              <w:right w:type="dxa" w:w="160"/>
            </w:tcMar>
          </w:tcPr>
          <w:p>
            <w:r>
              <w:rPr>
                <w:rFonts w:ascii="Arial" w:cs="Arial" w:eastAsia="Arial" w:hAnsi="Arial"/>
                <w:sz w:val="21"/>
                <w:szCs w:val="21"/>
              </w:rPr>
              <w:t xml:space="preserve">SINCE: How long this condition has been active</w:t>
            </w:r>
          </w:p>
        </w:tc>
      </w:tr>
      <w:tr>
        <w:tc>
          <w:tcPr>
            <w:tcW w:type="dxa" w:w="9360"/>
            <w:tcBorders>
              <w:top w:val="single" w:color="CCCCCC" w:sz="1"/>
              <w:left w:val="single" w:color="CCCCCC" w:sz="1"/>
              <w:bottom w:val="single" w:color="CCCCCC" w:sz="1"/>
              <w:right w:val="single" w:color="CCCCCC" w:sz="1"/>
            </w:tcBorders>
            <w:shd w:fill="FDF3DC" w:val="clear"/>
            <w:tcMar>
              <w:top w:type="dxa" w:w="80"/>
              <w:left w:type="dxa" w:w="160"/>
              <w:bottom w:type="dxa" w:w="80"/>
              <w:right w:type="dxa" w:w="160"/>
            </w:tcMar>
          </w:tcPr>
          <w:p>
            <w:r>
              <w:rPr>
                <w:rFonts w:ascii="Arial" w:cs="Arial" w:eastAsia="Arial" w:hAnsi="Arial"/>
                <w:sz w:val="21"/>
                <w:szCs w:val="21"/>
              </w:rPr>
              <w:t xml:space="preserve">CONTEXT: Market regime, session, recent history</w:t>
            </w:r>
          </w:p>
        </w:tc>
      </w:tr>
      <w:tr>
        <w:tc>
          <w:tcPr>
            <w:tcW w:type="dxa" w:w="9360"/>
            <w:tcBorders>
              <w:top w:val="single" w:color="CCCCCC" w:sz="1"/>
              <w:left w:val="single" w:color="CCCCCC" w:sz="1"/>
              <w:bottom w:val="single" w:color="CCCCCC" w:sz="1"/>
              <w:right w:val="single" w:color="CCCCCC" w:sz="1"/>
            </w:tcBorders>
            <w:shd w:fill="FDF3DC" w:val="clear"/>
            <w:tcMar>
              <w:top w:type="dxa" w:w="80"/>
              <w:left w:type="dxa" w:w="160"/>
              <w:bottom w:type="dxa" w:w="80"/>
              <w:right w:type="dxa" w:w="160"/>
            </w:tcMar>
          </w:tcPr>
          <w:p>
            <w:r>
              <w:rPr>
                <w:rFonts w:ascii="Arial" w:cs="Arial" w:eastAsia="Arial" w:hAnsi="Arial"/>
                <w:sz w:val="21"/>
                <w:szCs w:val="21"/>
              </w:rPr>
              <w:t xml:space="preserve">ASSESSMENT: Observer's interpretation in 1-2 sentences</w:t>
            </w:r>
          </w:p>
        </w:tc>
      </w:tr>
      <w:tr>
        <w:tc>
          <w:tcPr>
            <w:tcW w:type="dxa" w:w="9360"/>
            <w:tcBorders>
              <w:top w:val="single" w:color="CCCCCC" w:sz="1"/>
              <w:left w:val="single" w:color="CCCCCC" w:sz="1"/>
              <w:bottom w:val="single" w:color="CCCCCC" w:sz="1"/>
              <w:right w:val="single" w:color="CCCCCC" w:sz="1"/>
            </w:tcBorders>
            <w:shd w:fill="FDF3DC" w:val="clear"/>
            <w:tcMar>
              <w:top w:type="dxa" w:w="80"/>
              <w:left w:type="dxa" w:w="160"/>
              <w:bottom w:type="dxa" w:w="80"/>
              <w:right w:type="dxa" w:w="160"/>
            </w:tcMar>
          </w:tcPr>
          <w:p>
            <w:r>
              <w:rPr>
                <w:rFonts w:ascii="Arial" w:cs="Arial" w:eastAsia="Arial" w:hAnsi="Arial"/>
                <w:sz w:val="21"/>
                <w:szCs w:val="21"/>
              </w:rPr>
              <w:t xml:space="preserve">OPTIONS: List of available responses Jorge can take</w:t>
            </w:r>
          </w:p>
        </w:tc>
      </w:tr>
      <w:tr>
        <w:tc>
          <w:tcPr>
            <w:tcW w:type="dxa" w:w="9360"/>
            <w:tcBorders>
              <w:top w:val="single" w:color="CCCCCC" w:sz="1"/>
              <w:left w:val="single" w:color="CCCCCC" w:sz="1"/>
              <w:bottom w:val="single" w:color="CCCCCC" w:sz="1"/>
              <w:right w:val="single" w:color="CCCCCC" w:sz="1"/>
            </w:tcBorders>
            <w:shd w:fill="FDF3DC" w:val="clear"/>
            <w:tcMar>
              <w:top w:type="dxa" w:w="80"/>
              <w:left w:type="dxa" w:w="160"/>
              <w:bottom w:type="dxa" w:w="80"/>
              <w:right w:type="dxa" w:w="160"/>
            </w:tcMar>
          </w:tcPr>
          <w:p>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shd w:fill="FDF3DC" w:val="clear"/>
            <w:tcMar>
              <w:top w:type="dxa" w:w="80"/>
              <w:left w:type="dxa" w:w="160"/>
              <w:bottom w:type="dxa" w:w="80"/>
              <w:right w:type="dxa" w:w="160"/>
            </w:tcMar>
          </w:tcPr>
          <w:p>
            <w:r>
              <w:rPr>
                <w:rFonts w:ascii="Arial" w:cs="Arial" w:eastAsia="Arial" w:hAnsi="Arial"/>
                <w:sz w:val="21"/>
                <w:szCs w:val="21"/>
              </w:rPr>
              <w:t xml:space="preserve">FORGE STATUS: [TRADING / SUSPENDED / HALTED]</w:t>
            </w:r>
          </w:p>
        </w:tc>
      </w:tr>
    </w:tbl>
    <w:p>
      <w:pPr>
        <w:spacing w:before="60" w:after="60"/>
      </w:pPr>
      <w:r>
        <w:t xml:space="preserve"/>
      </w:r>
    </w:p>
    <w:p>
      <w:pPr>
        <w:pStyle w:val="Heading1"/>
        <w:pBdr>
          <w:bottom w:val="single" w:color="C9A84C" w:sz="6" w:space="4"/>
        </w:pBdr>
        <w:spacing w:before="360" w:after="180"/>
      </w:pPr>
      <w:r>
        <w:rPr>
          <w:rFonts w:ascii="Arial" w:cs="Arial" w:eastAsia="Arial" w:hAnsi="Arial"/>
          <w:b/>
          <w:bCs/>
          <w:color w:val="1B2A47"/>
          <w:sz w:val="32"/>
          <w:szCs w:val="32"/>
        </w:rPr>
        <w:t xml:space="preserve">5. THE CALIBRATION PROTOCOL</w:t>
      </w:r>
    </w:p>
    <w:p>
      <w:pPr>
        <w:spacing w:before="60" w:after="60"/>
      </w:pPr>
      <w:r>
        <w:t xml:space="preserve"/>
      </w:r>
    </w:p>
    <w:p>
      <w:pPr>
        <w:spacing w:before="80" w:after="80"/>
        <w:jc w:val="left"/>
      </w:pPr>
      <w:r>
        <w:rPr>
          <w:rFonts w:ascii="Arial" w:cs="Arial" w:eastAsia="Arial" w:hAnsi="Arial"/>
          <w:b w:val="false"/>
          <w:bCs w:val="false"/>
          <w:i w:val="false"/>
          <w:iCs w:val="false"/>
          <w:color w:val="000000"/>
          <w:sz w:val="22"/>
          <w:szCs w:val="22"/>
        </w:rPr>
        <w:t xml:space="preserve">The Observer cannot alert on deviation before it knows what normal looks like. An Observer that fires alerts on day one — before it has any baseline — is useless. It creates alert fatigue. Jorge starts ignoring it. Then it misses the real problem.</w:t>
      </w:r>
    </w:p>
    <w:p>
      <w:pPr>
        <w:spacing w:before="60" w:after="60"/>
      </w:pPr>
      <w:r>
        <w:t xml:space="preserve"/>
      </w:r>
    </w:p>
    <w:p>
      <w:pPr>
        <w:spacing w:before="80" w:after="80"/>
        <w:jc w:val="left"/>
      </w:pPr>
      <w:r>
        <w:rPr>
          <w:rFonts w:ascii="Arial" w:cs="Arial" w:eastAsia="Arial" w:hAnsi="Arial"/>
          <w:b w:val="false"/>
          <w:bCs w:val="false"/>
          <w:i w:val="false"/>
          <w:iCs w:val="false"/>
          <w:color w:val="000000"/>
          <w:sz w:val="22"/>
          <w:szCs w:val="22"/>
        </w:rPr>
        <w:t xml:space="preserve">The Calibration Protocol is the Observer's learning phase. During calibration, the Observer watches and logs everything but alerts on nothing except BLACK level emergencies. It is building the behavioral baseline that makes all future alerts meaningful.</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5.1 Calibration Requirements</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Minimum 30 trading days before GREEN/YELLOW/ORANGE thresholds activate</w:t>
      </w:r>
    </w:p>
    <w:p>
      <w:pPr>
        <w:pStyle w:val="ListParagraph"/>
        <w:numPr>
          <w:ilvl w:val="0"/>
          <w:numId w:val="2"/>
        </w:numPr>
        <w:spacing w:before="60" w:after="60"/>
      </w:pPr>
      <w:r>
        <w:rPr>
          <w:rFonts w:ascii="Arial" w:cs="Arial" w:eastAsia="Arial" w:hAnsi="Arial"/>
          <w:sz w:val="22"/>
          <w:szCs w:val="22"/>
        </w:rPr>
        <w:t xml:space="preserve">Minimum 100 completed trades before performance baselines are considered reliable</w:t>
      </w:r>
    </w:p>
    <w:p>
      <w:pPr>
        <w:pStyle w:val="ListParagraph"/>
        <w:numPr>
          <w:ilvl w:val="0"/>
          <w:numId w:val="2"/>
        </w:numPr>
        <w:spacing w:before="60" w:after="60"/>
      </w:pPr>
      <w:r>
        <w:rPr>
          <w:rFonts w:ascii="Arial" w:cs="Arial" w:eastAsia="Arial" w:hAnsi="Arial"/>
          <w:sz w:val="22"/>
          <w:szCs w:val="22"/>
        </w:rPr>
        <w:t xml:space="preserve">Minimum 3 distinct market regimes observed before regime-adjusted baselines activate</w:t>
      </w:r>
    </w:p>
    <w:p>
      <w:pPr>
        <w:pStyle w:val="ListParagraph"/>
        <w:numPr>
          <w:ilvl w:val="0"/>
          <w:numId w:val="2"/>
        </w:numPr>
        <w:spacing w:before="60" w:after="60"/>
      </w:pPr>
      <w:r>
        <w:rPr>
          <w:rFonts w:ascii="Arial" w:cs="Arial" w:eastAsia="Arial" w:hAnsi="Arial"/>
          <w:sz w:val="22"/>
          <w:szCs w:val="22"/>
        </w:rPr>
        <w:t xml:space="preserve">BLACK level alerts are active from day one — no calibration required for emergencies</w:t>
      </w:r>
    </w:p>
    <w:p>
      <w:pPr>
        <w:pStyle w:val="ListParagraph"/>
        <w:numPr>
          <w:ilvl w:val="0"/>
          <w:numId w:val="2"/>
        </w:numPr>
        <w:spacing w:before="60" w:after="60"/>
      </w:pPr>
      <w:r>
        <w:rPr>
          <w:rFonts w:ascii="Arial" w:cs="Arial" w:eastAsia="Arial" w:hAnsi="Arial"/>
          <w:sz w:val="22"/>
          <w:szCs w:val="22"/>
        </w:rPr>
        <w:t xml:space="preserve">RED level alerts activate after 14 trading days — enough data to know approximate normal risk boundaries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5.2 What Calibration Builds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7"/>
                <w:sz w:val="21"/>
                <w:szCs w:val="21"/>
              </w:rPr>
              <w:t xml:space="preserve">Win Rate Baseline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Rolling WR by regime. What is FORGE's expected WR in trending_bull vs choppy_ranging? Different baselines per regime.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7"/>
                <w:sz w:val="21"/>
                <w:szCs w:val="21"/>
              </w:rPr>
              <w:t xml:space="preserve">Trade Frequency Baseline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How many trades per session, per regime. Flags both over-trading and unusual silence.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7"/>
                <w:sz w:val="21"/>
                <w:szCs w:val="21"/>
              </w:rPr>
              <w:t xml:space="preserve">Drawdown Profile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Normal intraday drawdown patterns. Distinguishes expected variance from genuine acceleration.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7"/>
                <w:sz w:val="21"/>
                <w:szCs w:val="21"/>
              </w:rPr>
              <w:t xml:space="preserve">Execution Baseline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Normal slippage, fill time, latency. Flags degradation when it appears.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7"/>
                <w:sz w:val="21"/>
                <w:szCs w:val="21"/>
              </w:rPr>
              <w:t xml:space="preserve">Session Behavior Profile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What does FORGE normally do at the open vs midday vs close? Behavioral fingerprint per session.</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5.3 Calibration Status Reporting</w:t>
      </w:r>
    </w:p>
    <w:p>
      <w:pPr>
        <w:spacing w:before="60" w:after="60"/>
      </w:pPr>
      <w:r>
        <w:t xml:space="preserve"/>
      </w:r>
    </w:p>
    <w:p>
      <w:pPr>
        <w:spacing w:before="80" w:after="80"/>
        <w:jc w:val="left"/>
      </w:pPr>
      <w:r>
        <w:rPr>
          <w:rFonts w:ascii="Arial" w:cs="Arial" w:eastAsia="Arial" w:hAnsi="Arial"/>
          <w:b w:val="false"/>
          <w:bCs w:val="false"/>
          <w:i w:val="false"/>
          <w:iCs w:val="false"/>
          <w:color w:val="000000"/>
          <w:sz w:val="22"/>
          <w:szCs w:val="22"/>
        </w:rPr>
        <w:t xml:space="preserve">During calibration, the Observer sends a weekly summary to Jorge showing what it has learned. Not alerts — observations. This keeps Jorge informed while the system learns, and allows him to flag anything that looks wrong in the baseline before it gets locked in.</w:t>
      </w:r>
    </w:p>
    <w:p>
      <w:pPr>
        <w:spacing w:before="60" w:after="60"/>
      </w:pPr>
      <w:r>
        <w:t xml:space="preserve"/>
      </w:r>
    </w:p>
    <w:p>
      <w:pPr>
        <w:pStyle w:val="Heading1"/>
        <w:pBdr>
          <w:bottom w:val="single" w:color="C9A84C" w:sz="6" w:space="4"/>
        </w:pBdr>
        <w:spacing w:before="360" w:after="180"/>
      </w:pPr>
      <w:r>
        <w:rPr>
          <w:rFonts w:ascii="Arial" w:cs="Arial" w:eastAsia="Arial" w:hAnsi="Arial"/>
          <w:b/>
          <w:bCs/>
          <w:color w:val="1B2A47"/>
          <w:sz w:val="32"/>
          <w:szCs w:val="32"/>
        </w:rPr>
        <w:t xml:space="preserve">6. OBSERVER REQUIREMENTS</w:t>
      </w:r>
    </w:p>
    <w:p>
      <w:pPr>
        <w:spacing w:before="60" w:after="60"/>
      </w:pPr>
      <w:r>
        <w:t xml:space="preserve"/>
      </w:r>
    </w:p>
    <w:p>
      <w:pPr>
        <w:spacing w:before="80" w:after="80"/>
        <w:jc w:val="left"/>
      </w:pPr>
      <w:r>
        <w:rPr>
          <w:rFonts w:ascii="Arial" w:cs="Arial" w:eastAsia="Arial" w:hAnsi="Arial"/>
          <w:b w:val="false"/>
          <w:bCs w:val="false"/>
          <w:i w:val="false"/>
          <w:iCs w:val="false"/>
          <w:color w:val="000000"/>
          <w:sz w:val="22"/>
          <w:szCs w:val="22"/>
        </w:rPr>
        <w:t xml:space="preserve">All requirements in this section use the OB prefix. Requirements are permanent specifications. They do not change without Jorge approval and a new document version.</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6.1 Core Identity Requirements (OB-01 to OB-10)</w:t>
      </w:r>
    </w:p>
    <w:p>
      <w:pPr>
        <w:spacing w:before="60" w:after="60"/>
      </w:pPr>
      <w:r>
        <w:t xml:space="preserve"/>
      </w:r>
    </w:p>
    <w:p>
      <w:pPr>
        <w:pStyle w:val="ListParagraph"/>
        <w:numPr>
          <w:ilvl w:val="0"/>
          <w:numId w:val="3"/>
        </w:numPr>
        <w:spacing w:before="80" w:after="80"/>
      </w:pPr>
      <w:r>
        <w:rPr>
          <w:rFonts w:ascii="Courier New" w:cs="Courier New" w:eastAsia="Courier New" w:hAnsi="Courier New"/>
          <w:b/>
          <w:bCs/>
          <w:color w:val="2E75B6"/>
          <w:sz w:val="20"/>
          <w:szCs w:val="20"/>
        </w:rPr>
        <w:t xml:space="preserve">OB-01  </w:t>
      </w:r>
      <w:r>
        <w:rPr>
          <w:rFonts w:ascii="Arial" w:cs="Arial" w:eastAsia="Arial" w:hAnsi="Arial"/>
          <w:sz w:val="22"/>
          <w:szCs w:val="22"/>
        </w:rPr>
        <w:t xml:space="preserve">The Observer is a sub-system of Layer 7 (Command Center) of the NEXUS Intelligence Hub. It is not a standalone system and does not exist independently of the hub.</w:t>
      </w:r>
    </w:p>
    <w:p>
      <w:pPr>
        <w:pStyle w:val="ListParagraph"/>
        <w:numPr>
          <w:ilvl w:val="0"/>
          <w:numId w:val="3"/>
        </w:numPr>
        <w:spacing w:before="80" w:after="80"/>
      </w:pPr>
      <w:r>
        <w:rPr>
          <w:rFonts w:ascii="Courier New" w:cs="Courier New" w:eastAsia="Courier New" w:hAnsi="Courier New"/>
          <w:b/>
          <w:bCs/>
          <w:color w:val="2E75B6"/>
          <w:sz w:val="20"/>
          <w:szCs w:val="20"/>
        </w:rPr>
        <w:t xml:space="preserve">OB-02  </w:t>
      </w:r>
      <w:r>
        <w:rPr>
          <w:rFonts w:ascii="Arial" w:cs="Arial" w:eastAsia="Arial" w:hAnsi="Arial"/>
          <w:sz w:val="22"/>
          <w:szCs w:val="22"/>
        </w:rPr>
        <w:t xml:space="preserve">The Observer's sole purpose is to ensure Jorge always knows the true health state of the fleet without having to actively monitor it himself.</w:t>
      </w:r>
    </w:p>
    <w:p>
      <w:pPr>
        <w:pStyle w:val="ListParagraph"/>
        <w:numPr>
          <w:ilvl w:val="0"/>
          <w:numId w:val="3"/>
        </w:numPr>
        <w:spacing w:before="80" w:after="80"/>
      </w:pPr>
      <w:r>
        <w:rPr>
          <w:rFonts w:ascii="Courier New" w:cs="Courier New" w:eastAsia="Courier New" w:hAnsi="Courier New"/>
          <w:b/>
          <w:bCs/>
          <w:color w:val="2E75B6"/>
          <w:sz w:val="20"/>
          <w:szCs w:val="20"/>
        </w:rPr>
        <w:t xml:space="preserve">OB-03  </w:t>
      </w:r>
      <w:r>
        <w:rPr>
          <w:rFonts w:ascii="Arial" w:cs="Arial" w:eastAsia="Arial" w:hAnsi="Arial"/>
          <w:sz w:val="22"/>
          <w:szCs w:val="22"/>
        </w:rPr>
        <w:t xml:space="preserve">The Observer operates continuously — 24 hours a day, 7 days a week, including when markets are closed. System health watching never stops.</w:t>
      </w:r>
    </w:p>
    <w:p>
      <w:pPr>
        <w:pStyle w:val="ListParagraph"/>
        <w:numPr>
          <w:ilvl w:val="0"/>
          <w:numId w:val="3"/>
        </w:numPr>
        <w:spacing w:before="80" w:after="80"/>
      </w:pPr>
      <w:r>
        <w:rPr>
          <w:rFonts w:ascii="Courier New" w:cs="Courier New" w:eastAsia="Courier New" w:hAnsi="Courier New"/>
          <w:b/>
          <w:bCs/>
          <w:color w:val="2E75B6"/>
          <w:sz w:val="20"/>
          <w:szCs w:val="20"/>
        </w:rPr>
        <w:t xml:space="preserve">OB-04  </w:t>
      </w:r>
      <w:r>
        <w:rPr>
          <w:rFonts w:ascii="Arial" w:cs="Arial" w:eastAsia="Arial" w:hAnsi="Arial"/>
          <w:sz w:val="22"/>
          <w:szCs w:val="22"/>
        </w:rPr>
        <w:t xml:space="preserve">The Observer has no trading authority. It cannot place, modify, or cancel orders. It cannot override FORGE. It can only observe, report, and recommend.</w:t>
      </w:r>
    </w:p>
    <w:p>
      <w:pPr>
        <w:pStyle w:val="ListParagraph"/>
        <w:numPr>
          <w:ilvl w:val="0"/>
          <w:numId w:val="3"/>
        </w:numPr>
        <w:spacing w:before="80" w:after="80"/>
      </w:pPr>
      <w:r>
        <w:rPr>
          <w:rFonts w:ascii="Courier New" w:cs="Courier New" w:eastAsia="Courier New" w:hAnsi="Courier New"/>
          <w:b/>
          <w:bCs/>
          <w:color w:val="2E75B6"/>
          <w:sz w:val="20"/>
          <w:szCs w:val="20"/>
        </w:rPr>
        <w:t xml:space="preserve">OB-05  </w:t>
      </w:r>
      <w:r>
        <w:rPr>
          <w:rFonts w:ascii="Arial" w:cs="Arial" w:eastAsia="Arial" w:hAnsi="Arial"/>
          <w:sz w:val="22"/>
          <w:szCs w:val="22"/>
        </w:rPr>
        <w:t xml:space="preserve">In Phase 1, the Observer has no autonomous action authority except at BLACK level emergency. All other responses require Jorge approval.</w:t>
      </w:r>
    </w:p>
    <w:p>
      <w:pPr>
        <w:pStyle w:val="ListParagraph"/>
        <w:numPr>
          <w:ilvl w:val="0"/>
          <w:numId w:val="3"/>
        </w:numPr>
        <w:spacing w:before="80" w:after="80"/>
      </w:pPr>
      <w:r>
        <w:rPr>
          <w:rFonts w:ascii="Courier New" w:cs="Courier New" w:eastAsia="Courier New" w:hAnsi="Courier New"/>
          <w:b/>
          <w:bCs/>
          <w:color w:val="2E75B6"/>
          <w:sz w:val="20"/>
          <w:szCs w:val="20"/>
        </w:rPr>
        <w:t xml:space="preserve">OB-06  </w:t>
      </w:r>
      <w:r>
        <w:rPr>
          <w:rFonts w:ascii="Arial" w:cs="Arial" w:eastAsia="Arial" w:hAnsi="Arial"/>
          <w:sz w:val="22"/>
          <w:szCs w:val="22"/>
        </w:rPr>
        <w:t xml:space="preserve">Every Observer alert must include the full Alert Package format as defined in Section 4.2. Partial alerts are not permitted.</w:t>
      </w:r>
    </w:p>
    <w:p>
      <w:pPr>
        <w:pStyle w:val="ListParagraph"/>
        <w:numPr>
          <w:ilvl w:val="0"/>
          <w:numId w:val="3"/>
        </w:numPr>
        <w:spacing w:before="80" w:after="80"/>
      </w:pPr>
      <w:r>
        <w:rPr>
          <w:rFonts w:ascii="Courier New" w:cs="Courier New" w:eastAsia="Courier New" w:hAnsi="Courier New"/>
          <w:b/>
          <w:bCs/>
          <w:color w:val="2E75B6"/>
          <w:sz w:val="20"/>
          <w:szCs w:val="20"/>
        </w:rPr>
        <w:t xml:space="preserve">OB-07  </w:t>
      </w:r>
      <w:r>
        <w:rPr>
          <w:rFonts w:ascii="Arial" w:cs="Arial" w:eastAsia="Arial" w:hAnsi="Arial"/>
          <w:sz w:val="22"/>
          <w:szCs w:val="22"/>
        </w:rPr>
        <w:t xml:space="preserve">The Observer must be able to watch an unlimited number of TITANs simultaneously. Adding a new TITAN to the fleet requires only adding its configuration to the Observer — no architectural changes.</w:t>
      </w:r>
    </w:p>
    <w:p>
      <w:pPr>
        <w:pStyle w:val="ListParagraph"/>
        <w:numPr>
          <w:ilvl w:val="0"/>
          <w:numId w:val="3"/>
        </w:numPr>
        <w:spacing w:before="80" w:after="80"/>
      </w:pPr>
      <w:r>
        <w:rPr>
          <w:rFonts w:ascii="Courier New" w:cs="Courier New" w:eastAsia="Courier New" w:hAnsi="Courier New"/>
          <w:b/>
          <w:bCs/>
          <w:color w:val="2E75B6"/>
          <w:sz w:val="20"/>
          <w:szCs w:val="20"/>
        </w:rPr>
        <w:t xml:space="preserve">OB-08  </w:t>
      </w:r>
      <w:r>
        <w:rPr>
          <w:rFonts w:ascii="Arial" w:cs="Arial" w:eastAsia="Arial" w:hAnsi="Arial"/>
          <w:sz w:val="22"/>
          <w:szCs w:val="22"/>
        </w:rPr>
        <w:t xml:space="preserve">The Observer maintains a complete audit log of every observation, every escalation, every de-escalation, and every alert delivered. This log is permanent and tamper-proof.</w:t>
      </w:r>
    </w:p>
    <w:p>
      <w:pPr>
        <w:pStyle w:val="ListParagraph"/>
        <w:numPr>
          <w:ilvl w:val="0"/>
          <w:numId w:val="3"/>
        </w:numPr>
        <w:spacing w:before="80" w:after="80"/>
      </w:pPr>
      <w:r>
        <w:rPr>
          <w:rFonts w:ascii="Courier New" w:cs="Courier New" w:eastAsia="Courier New" w:hAnsi="Courier New"/>
          <w:b/>
          <w:bCs/>
          <w:color w:val="2E75B6"/>
          <w:sz w:val="20"/>
          <w:szCs w:val="20"/>
        </w:rPr>
        <w:t xml:space="preserve">OB-09  </w:t>
      </w:r>
      <w:r>
        <w:rPr>
          <w:rFonts w:ascii="Arial" w:cs="Arial" w:eastAsia="Arial" w:hAnsi="Arial"/>
          <w:sz w:val="22"/>
          <w:szCs w:val="22"/>
        </w:rPr>
        <w:t xml:space="preserve">The Observer never cries wolf. A 95% alert precision rate is the minimum acceptable standard. Calibration exists to ensure this. Alert fatigue is treated as a critical failure of the Observer.</w:t>
      </w:r>
    </w:p>
    <w:p>
      <w:pPr>
        <w:pStyle w:val="ListParagraph"/>
        <w:numPr>
          <w:ilvl w:val="0"/>
          <w:numId w:val="3"/>
        </w:numPr>
        <w:spacing w:before="80" w:after="80"/>
      </w:pPr>
      <w:r>
        <w:rPr>
          <w:rFonts w:ascii="Courier New" w:cs="Courier New" w:eastAsia="Courier New" w:hAnsi="Courier New"/>
          <w:b/>
          <w:bCs/>
          <w:color w:val="2E75B6"/>
          <w:sz w:val="20"/>
          <w:szCs w:val="20"/>
        </w:rPr>
        <w:t xml:space="preserve">OB-10  </w:t>
      </w:r>
      <w:r>
        <w:rPr>
          <w:rFonts w:ascii="Arial" w:cs="Arial" w:eastAsia="Arial" w:hAnsi="Arial"/>
          <w:sz w:val="22"/>
          <w:szCs w:val="22"/>
        </w:rPr>
        <w:t xml:space="preserve">The Observer's baselines, thresholds, and alert logic are visible and auditable by Jorge at all times. The Observer is never a black box.</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6.2 Sight Line Requirements (OB-11 to OB-25)</w:t>
      </w:r>
    </w:p>
    <w:p>
      <w:pPr>
        <w:spacing w:before="60" w:after="60"/>
      </w:pPr>
      <w:r>
        <w:t xml:space="preserve"/>
      </w:r>
    </w:p>
    <w:p>
      <w:pPr>
        <w:pStyle w:val="ListParagraph"/>
        <w:numPr>
          <w:ilvl w:val="0"/>
          <w:numId w:val="3"/>
        </w:numPr>
        <w:spacing w:before="80" w:after="80"/>
      </w:pPr>
      <w:r>
        <w:rPr>
          <w:rFonts w:ascii="Courier New" w:cs="Courier New" w:eastAsia="Courier New" w:hAnsi="Courier New"/>
          <w:b/>
          <w:bCs/>
          <w:color w:val="2E75B6"/>
          <w:sz w:val="20"/>
          <w:szCs w:val="20"/>
        </w:rPr>
        <w:t xml:space="preserve">OB-11  </w:t>
      </w:r>
      <w:r>
        <w:rPr>
          <w:rFonts w:ascii="Arial" w:cs="Arial" w:eastAsia="Arial" w:hAnsi="Arial"/>
          <w:sz w:val="22"/>
          <w:szCs w:val="22"/>
        </w:rPr>
        <w:t xml:space="preserve">The Observer watches all five sight lines simultaneously: Trade Execution, Performance Patterns, Risk Boundaries, Behavioral Compliance, and System Health.</w:t>
      </w:r>
    </w:p>
    <w:p>
      <w:pPr>
        <w:pStyle w:val="ListParagraph"/>
        <w:numPr>
          <w:ilvl w:val="0"/>
          <w:numId w:val="3"/>
        </w:numPr>
        <w:spacing w:before="80" w:after="80"/>
      </w:pPr>
      <w:r>
        <w:rPr>
          <w:rFonts w:ascii="Courier New" w:cs="Courier New" w:eastAsia="Courier New" w:hAnsi="Courier New"/>
          <w:b/>
          <w:bCs/>
          <w:color w:val="2E75B6"/>
          <w:sz w:val="20"/>
          <w:szCs w:val="20"/>
        </w:rPr>
        <w:t xml:space="preserve">OB-12  </w:t>
      </w:r>
      <w:r>
        <w:rPr>
          <w:rFonts w:ascii="Arial" w:cs="Arial" w:eastAsia="Arial" w:hAnsi="Arial"/>
          <w:sz w:val="22"/>
          <w:szCs w:val="22"/>
        </w:rPr>
        <w:t xml:space="preserve">Trade Execution: The Observer confirms every order that FORGE places reaches the broker and receives a fill confirmation. Any unconfirmed order triggers YELLOW escalation.</w:t>
      </w:r>
    </w:p>
    <w:p>
      <w:pPr>
        <w:pStyle w:val="ListParagraph"/>
        <w:numPr>
          <w:ilvl w:val="0"/>
          <w:numId w:val="3"/>
        </w:numPr>
        <w:spacing w:before="80" w:after="80"/>
      </w:pPr>
      <w:r>
        <w:rPr>
          <w:rFonts w:ascii="Courier New" w:cs="Courier New" w:eastAsia="Courier New" w:hAnsi="Courier New"/>
          <w:b/>
          <w:bCs/>
          <w:color w:val="2E75B6"/>
          <w:sz w:val="20"/>
          <w:szCs w:val="20"/>
        </w:rPr>
        <w:t xml:space="preserve">OB-13  </w:t>
      </w:r>
      <w:r>
        <w:rPr>
          <w:rFonts w:ascii="Arial" w:cs="Arial" w:eastAsia="Arial" w:hAnsi="Arial"/>
          <w:sz w:val="22"/>
          <w:szCs w:val="22"/>
        </w:rPr>
        <w:t xml:space="preserve">Trade Execution: The Observer monitors slippage on every fill. Slippage exceeding 2x the historical average triggers YELLOW escalation.</w:t>
      </w:r>
    </w:p>
    <w:p>
      <w:pPr>
        <w:pStyle w:val="ListParagraph"/>
        <w:numPr>
          <w:ilvl w:val="0"/>
          <w:numId w:val="3"/>
        </w:numPr>
        <w:spacing w:before="80" w:after="80"/>
      </w:pPr>
      <w:r>
        <w:rPr>
          <w:rFonts w:ascii="Courier New" w:cs="Courier New" w:eastAsia="Courier New" w:hAnsi="Courier New"/>
          <w:b/>
          <w:bCs/>
          <w:color w:val="2E75B6"/>
          <w:sz w:val="20"/>
          <w:szCs w:val="20"/>
        </w:rPr>
        <w:t xml:space="preserve">OB-14  </w:t>
      </w:r>
      <w:r>
        <w:rPr>
          <w:rFonts w:ascii="Arial" w:cs="Arial" w:eastAsia="Arial" w:hAnsi="Arial"/>
          <w:sz w:val="22"/>
          <w:szCs w:val="22"/>
        </w:rPr>
        <w:t xml:space="preserve">Trade Execution: The Observer confirms every open position has a stop loss. A position without a stop loss triggers immediate RED escalation.</w:t>
      </w:r>
    </w:p>
    <w:p>
      <w:pPr>
        <w:pStyle w:val="ListParagraph"/>
        <w:numPr>
          <w:ilvl w:val="0"/>
          <w:numId w:val="3"/>
        </w:numPr>
        <w:spacing w:before="80" w:after="80"/>
      </w:pPr>
      <w:r>
        <w:rPr>
          <w:rFonts w:ascii="Courier New" w:cs="Courier New" w:eastAsia="Courier New" w:hAnsi="Courier New"/>
          <w:b/>
          <w:bCs/>
          <w:color w:val="2E75B6"/>
          <w:sz w:val="20"/>
          <w:szCs w:val="20"/>
        </w:rPr>
        <w:t xml:space="preserve">OB-15  </w:t>
      </w:r>
      <w:r>
        <w:rPr>
          <w:rFonts w:ascii="Arial" w:cs="Arial" w:eastAsia="Arial" w:hAnsi="Arial"/>
          <w:sz w:val="22"/>
          <w:szCs w:val="22"/>
        </w:rPr>
        <w:t xml:space="preserve">Performance Patterns: The Observer maintains a rolling win rate calculation per regime. Deviation of greater than 10% below regime-adjusted baseline triggers ORANGE escalation.</w:t>
      </w:r>
    </w:p>
    <w:p>
      <w:pPr>
        <w:pStyle w:val="ListParagraph"/>
        <w:numPr>
          <w:ilvl w:val="0"/>
          <w:numId w:val="3"/>
        </w:numPr>
        <w:spacing w:before="80" w:after="80"/>
      </w:pPr>
      <w:r>
        <w:rPr>
          <w:rFonts w:ascii="Courier New" w:cs="Courier New" w:eastAsia="Courier New" w:hAnsi="Courier New"/>
          <w:b/>
          <w:bCs/>
          <w:color w:val="2E75B6"/>
          <w:sz w:val="20"/>
          <w:szCs w:val="20"/>
        </w:rPr>
        <w:t xml:space="preserve">OB-16  </w:t>
      </w:r>
      <w:r>
        <w:rPr>
          <w:rFonts w:ascii="Arial" w:cs="Arial" w:eastAsia="Arial" w:hAnsi="Arial"/>
          <w:sz w:val="22"/>
          <w:szCs w:val="22"/>
        </w:rPr>
        <w:t xml:space="preserve">Performance Patterns: The Observer detects consecutive loss streaks. Five or more consecutive losses in a single session triggers ORANGE escalation regardless of dollar amounts.</w:t>
      </w:r>
    </w:p>
    <w:p>
      <w:pPr>
        <w:pStyle w:val="ListParagraph"/>
        <w:numPr>
          <w:ilvl w:val="0"/>
          <w:numId w:val="3"/>
        </w:numPr>
        <w:spacing w:before="80" w:after="80"/>
      </w:pPr>
      <w:r>
        <w:rPr>
          <w:rFonts w:ascii="Courier New" w:cs="Courier New" w:eastAsia="Courier New" w:hAnsi="Courier New"/>
          <w:b/>
          <w:bCs/>
          <w:color w:val="2E75B6"/>
          <w:sz w:val="20"/>
          <w:szCs w:val="20"/>
        </w:rPr>
        <w:t xml:space="preserve">OB-17  </w:t>
      </w:r>
      <w:r>
        <w:rPr>
          <w:rFonts w:ascii="Arial" w:cs="Arial" w:eastAsia="Arial" w:hAnsi="Arial"/>
          <w:sz w:val="22"/>
          <w:szCs w:val="22"/>
        </w:rPr>
        <w:t xml:space="preserve">Risk Boundaries: The Observer monitors daily drawdown against FTMO limits in real time. Warnings fire at 50%, 70%, and 80% of daily limit. Trading suspends at 90%.</w:t>
      </w:r>
    </w:p>
    <w:p>
      <w:pPr>
        <w:pStyle w:val="ListParagraph"/>
        <w:numPr>
          <w:ilvl w:val="0"/>
          <w:numId w:val="3"/>
        </w:numPr>
        <w:spacing w:before="80" w:after="80"/>
      </w:pPr>
      <w:r>
        <w:rPr>
          <w:rFonts w:ascii="Courier New" w:cs="Courier New" w:eastAsia="Courier New" w:hAnsi="Courier New"/>
          <w:b/>
          <w:bCs/>
          <w:color w:val="2E75B6"/>
          <w:sz w:val="20"/>
          <w:szCs w:val="20"/>
        </w:rPr>
        <w:t xml:space="preserve">OB-18  </w:t>
      </w:r>
      <w:r>
        <w:rPr>
          <w:rFonts w:ascii="Arial" w:cs="Arial" w:eastAsia="Arial" w:hAnsi="Arial"/>
          <w:sz w:val="22"/>
          <w:szCs w:val="22"/>
        </w:rPr>
        <w:t xml:space="preserve">Risk Boundaries: The Observer monitors overall account drawdown against FTMO maximum drawdown limit. Warnings fire at 60% and 80% of total limit.</w:t>
      </w:r>
    </w:p>
    <w:p>
      <w:pPr>
        <w:pStyle w:val="ListParagraph"/>
        <w:numPr>
          <w:ilvl w:val="0"/>
          <w:numId w:val="3"/>
        </w:numPr>
        <w:spacing w:before="80" w:after="80"/>
      </w:pPr>
      <w:r>
        <w:rPr>
          <w:rFonts w:ascii="Courier New" w:cs="Courier New" w:eastAsia="Courier New" w:hAnsi="Courier New"/>
          <w:b/>
          <w:bCs/>
          <w:color w:val="2E75B6"/>
          <w:sz w:val="20"/>
          <w:szCs w:val="20"/>
        </w:rPr>
        <w:t xml:space="preserve">OB-19  </w:t>
      </w:r>
      <w:r>
        <w:rPr>
          <w:rFonts w:ascii="Arial" w:cs="Arial" w:eastAsia="Arial" w:hAnsi="Arial"/>
          <w:sz w:val="22"/>
          <w:szCs w:val="22"/>
        </w:rPr>
        <w:t xml:space="preserve">Behavioral Compliance: The Observer flags any trade that occurs outside approved session hours as a YELLOW anomaly requiring Jorge review.</w:t>
      </w:r>
    </w:p>
    <w:p>
      <w:pPr>
        <w:pStyle w:val="ListParagraph"/>
        <w:numPr>
          <w:ilvl w:val="0"/>
          <w:numId w:val="3"/>
        </w:numPr>
        <w:spacing w:before="80" w:after="80"/>
      </w:pPr>
      <w:r>
        <w:rPr>
          <w:rFonts w:ascii="Courier New" w:cs="Courier New" w:eastAsia="Courier New" w:hAnsi="Courier New"/>
          <w:b/>
          <w:bCs/>
          <w:color w:val="2E75B6"/>
          <w:sz w:val="20"/>
          <w:szCs w:val="20"/>
        </w:rPr>
        <w:t xml:space="preserve">OB-20  </w:t>
      </w:r>
      <w:r>
        <w:rPr>
          <w:rFonts w:ascii="Arial" w:cs="Arial" w:eastAsia="Arial" w:hAnsi="Arial"/>
          <w:sz w:val="22"/>
          <w:szCs w:val="22"/>
        </w:rPr>
        <w:t xml:space="preserve">Behavioral Compliance: The Observer compares the hub's current regime classification against FORGE's active regime classification. Mismatch triggers ORANGE escalation — FORGE may be trading the wrong strategy for current conditions.</w:t>
      </w:r>
    </w:p>
    <w:p>
      <w:pPr>
        <w:pStyle w:val="ListParagraph"/>
        <w:numPr>
          <w:ilvl w:val="0"/>
          <w:numId w:val="3"/>
        </w:numPr>
        <w:spacing w:before="80" w:after="80"/>
      </w:pPr>
      <w:r>
        <w:rPr>
          <w:rFonts w:ascii="Courier New" w:cs="Courier New" w:eastAsia="Courier New" w:hAnsi="Courier New"/>
          <w:b/>
          <w:bCs/>
          <w:color w:val="2E75B6"/>
          <w:sz w:val="20"/>
          <w:szCs w:val="20"/>
        </w:rPr>
        <w:t xml:space="preserve">OB-21  </w:t>
      </w:r>
      <w:r>
        <w:rPr>
          <w:rFonts w:ascii="Arial" w:cs="Arial" w:eastAsia="Arial" w:hAnsi="Arial"/>
          <w:sz w:val="22"/>
          <w:szCs w:val="22"/>
        </w:rPr>
        <w:t xml:space="preserve">System Health: The Observer monitors MetaAPI connection status every 60 seconds. DISCONNECTED status sustained for more than 5 minutes triggers RED escalation.</w:t>
      </w:r>
    </w:p>
    <w:p>
      <w:pPr>
        <w:pStyle w:val="ListParagraph"/>
        <w:numPr>
          <w:ilvl w:val="0"/>
          <w:numId w:val="3"/>
        </w:numPr>
        <w:spacing w:before="80" w:after="80"/>
      </w:pPr>
      <w:r>
        <w:rPr>
          <w:rFonts w:ascii="Courier New" w:cs="Courier New" w:eastAsia="Courier New" w:hAnsi="Courier New"/>
          <w:b/>
          <w:bCs/>
          <w:color w:val="2E75B6"/>
          <w:sz w:val="20"/>
          <w:szCs w:val="20"/>
        </w:rPr>
        <w:t xml:space="preserve">OB-22  </w:t>
      </w:r>
      <w:r>
        <w:rPr>
          <w:rFonts w:ascii="Arial" w:cs="Arial" w:eastAsia="Arial" w:hAnsi="Arial"/>
          <w:sz w:val="22"/>
          <w:szCs w:val="22"/>
        </w:rPr>
        <w:t xml:space="preserve">System Health: The Observer monitors the Railway trading loop heartbeat. No heartbeat for more than 15 minutes during market hours triggers RED escalation.</w:t>
      </w:r>
    </w:p>
    <w:p>
      <w:pPr>
        <w:pStyle w:val="ListParagraph"/>
        <w:numPr>
          <w:ilvl w:val="0"/>
          <w:numId w:val="3"/>
        </w:numPr>
        <w:spacing w:before="80" w:after="80"/>
      </w:pPr>
      <w:r>
        <w:rPr>
          <w:rFonts w:ascii="Courier New" w:cs="Courier New" w:eastAsia="Courier New" w:hAnsi="Courier New"/>
          <w:b/>
          <w:bCs/>
          <w:color w:val="2E75B6"/>
          <w:sz w:val="20"/>
          <w:szCs w:val="20"/>
        </w:rPr>
        <w:t xml:space="preserve">OB-23  </w:t>
      </w:r>
      <w:r>
        <w:rPr>
          <w:rFonts w:ascii="Arial" w:cs="Arial" w:eastAsia="Arial" w:hAnsi="Arial"/>
          <w:sz w:val="22"/>
          <w:szCs w:val="22"/>
        </w:rPr>
        <w:t xml:space="preserve">System Health: The Observer monitors Telegram delivery confirmation. If an alert is sent but delivery is not confirmed within 60 seconds, the Observer attempts delivery via a secondary channel.</w:t>
      </w:r>
    </w:p>
    <w:p>
      <w:pPr>
        <w:pStyle w:val="ListParagraph"/>
        <w:numPr>
          <w:ilvl w:val="0"/>
          <w:numId w:val="3"/>
        </w:numPr>
        <w:spacing w:before="80" w:after="80"/>
      </w:pPr>
      <w:r>
        <w:rPr>
          <w:rFonts w:ascii="Courier New" w:cs="Courier New" w:eastAsia="Courier New" w:hAnsi="Courier New"/>
          <w:b/>
          <w:bCs/>
          <w:color w:val="2E75B6"/>
          <w:sz w:val="20"/>
          <w:szCs w:val="20"/>
        </w:rPr>
        <w:t xml:space="preserve">OB-24  </w:t>
      </w:r>
      <w:r>
        <w:rPr>
          <w:rFonts w:ascii="Arial" w:cs="Arial" w:eastAsia="Arial" w:hAnsi="Arial"/>
          <w:sz w:val="22"/>
          <w:szCs w:val="22"/>
        </w:rPr>
        <w:t xml:space="preserve">System Health: The Observer monitors MetaAPI API latency. Latency exceeding 3x historical average for more than 5 minutes triggers YELLOW escalation.</w:t>
      </w:r>
    </w:p>
    <w:p>
      <w:pPr>
        <w:pStyle w:val="ListParagraph"/>
        <w:numPr>
          <w:ilvl w:val="0"/>
          <w:numId w:val="3"/>
        </w:numPr>
        <w:spacing w:before="80" w:after="80"/>
      </w:pPr>
      <w:r>
        <w:rPr>
          <w:rFonts w:ascii="Courier New" w:cs="Courier New" w:eastAsia="Courier New" w:hAnsi="Courier New"/>
          <w:b/>
          <w:bCs/>
          <w:color w:val="2E75B6"/>
          <w:sz w:val="20"/>
          <w:szCs w:val="20"/>
        </w:rPr>
        <w:t xml:space="preserve">OB-25  </w:t>
      </w:r>
      <w:r>
        <w:rPr>
          <w:rFonts w:ascii="Arial" w:cs="Arial" w:eastAsia="Arial" w:hAnsi="Arial"/>
          <w:sz w:val="22"/>
          <w:szCs w:val="22"/>
        </w:rPr>
        <w:t xml:space="preserve">All five sight lines report to a unified fleet health dashboard that Command Center can query at any time. The dashboard reflects the current Observer state in real time.</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6.3 Escalation Requirements (OB-26 to OB-35)</w:t>
      </w:r>
    </w:p>
    <w:p>
      <w:pPr>
        <w:spacing w:before="60" w:after="60"/>
      </w:pPr>
      <w:r>
        <w:t xml:space="preserve"/>
      </w:r>
    </w:p>
    <w:p>
      <w:pPr>
        <w:pStyle w:val="ListParagraph"/>
        <w:numPr>
          <w:ilvl w:val="0"/>
          <w:numId w:val="3"/>
        </w:numPr>
        <w:spacing w:before="80" w:after="80"/>
      </w:pPr>
      <w:r>
        <w:rPr>
          <w:rFonts w:ascii="Courier New" w:cs="Courier New" w:eastAsia="Courier New" w:hAnsi="Courier New"/>
          <w:b/>
          <w:bCs/>
          <w:color w:val="2E75B6"/>
          <w:sz w:val="20"/>
          <w:szCs w:val="20"/>
        </w:rPr>
        <w:t xml:space="preserve">OB-26  </w:t>
      </w:r>
      <w:r>
        <w:rPr>
          <w:rFonts w:ascii="Arial" w:cs="Arial" w:eastAsia="Arial" w:hAnsi="Arial"/>
          <w:sz w:val="22"/>
          <w:szCs w:val="22"/>
        </w:rPr>
        <w:t xml:space="preserve">The Observer maintains five escalation levels: GREEN (normal), YELLOW (anomaly), ORANGE (warning), RED (threshold breach), BLACK (emergency). Each level has defined triggers and defined responses.</w:t>
      </w:r>
    </w:p>
    <w:p>
      <w:pPr>
        <w:pStyle w:val="ListParagraph"/>
        <w:numPr>
          <w:ilvl w:val="0"/>
          <w:numId w:val="3"/>
        </w:numPr>
        <w:spacing w:before="80" w:after="80"/>
      </w:pPr>
      <w:r>
        <w:rPr>
          <w:rFonts w:ascii="Courier New" w:cs="Courier New" w:eastAsia="Courier New" w:hAnsi="Courier New"/>
          <w:b/>
          <w:bCs/>
          <w:color w:val="2E75B6"/>
          <w:sz w:val="20"/>
          <w:szCs w:val="20"/>
        </w:rPr>
        <w:t xml:space="preserve">OB-27  </w:t>
      </w:r>
      <w:r>
        <w:rPr>
          <w:rFonts w:ascii="Arial" w:cs="Arial" w:eastAsia="Arial" w:hAnsi="Arial"/>
          <w:sz w:val="22"/>
          <w:szCs w:val="22"/>
        </w:rPr>
        <w:t xml:space="preserve">Escalation upward is immediate. When a trigger condition is met, the Observer escalates without delay and without waiting for secondary confirmation.</w:t>
      </w:r>
    </w:p>
    <w:p>
      <w:pPr>
        <w:pStyle w:val="ListParagraph"/>
        <w:numPr>
          <w:ilvl w:val="0"/>
          <w:numId w:val="3"/>
        </w:numPr>
        <w:spacing w:before="80" w:after="80"/>
      </w:pPr>
      <w:r>
        <w:rPr>
          <w:rFonts w:ascii="Courier New" w:cs="Courier New" w:eastAsia="Courier New" w:hAnsi="Courier New"/>
          <w:b/>
          <w:bCs/>
          <w:color w:val="2E75B6"/>
          <w:sz w:val="20"/>
          <w:szCs w:val="20"/>
        </w:rPr>
        <w:t xml:space="preserve">OB-28  </w:t>
      </w:r>
      <w:r>
        <w:rPr>
          <w:rFonts w:ascii="Arial" w:cs="Arial" w:eastAsia="Arial" w:hAnsi="Arial"/>
          <w:sz w:val="22"/>
          <w:szCs w:val="22"/>
        </w:rPr>
        <w:t xml:space="preserve">De-escalation requires resolution. The Observer does not de-escalate while a trigger condition remains active, even if metrics temporarily improve.</w:t>
      </w:r>
    </w:p>
    <w:p>
      <w:pPr>
        <w:pStyle w:val="ListParagraph"/>
        <w:numPr>
          <w:ilvl w:val="0"/>
          <w:numId w:val="3"/>
        </w:numPr>
        <w:spacing w:before="80" w:after="80"/>
      </w:pPr>
      <w:r>
        <w:rPr>
          <w:rFonts w:ascii="Courier New" w:cs="Courier New" w:eastAsia="Courier New" w:hAnsi="Courier New"/>
          <w:b/>
          <w:bCs/>
          <w:color w:val="2E75B6"/>
          <w:sz w:val="20"/>
          <w:szCs w:val="20"/>
        </w:rPr>
        <w:t xml:space="preserve">OB-29  </w:t>
      </w:r>
      <w:r>
        <w:rPr>
          <w:rFonts w:ascii="Arial" w:cs="Arial" w:eastAsia="Arial" w:hAnsi="Arial"/>
          <w:sz w:val="22"/>
          <w:szCs w:val="22"/>
        </w:rPr>
        <w:t xml:space="preserve">Multiple simultaneous YELLOW conditions aggregate upward. Three or more simultaneous YELLOW conditions constitute an ORANGE escalation regardless of individual thresholds.</w:t>
      </w:r>
    </w:p>
    <w:p>
      <w:pPr>
        <w:pStyle w:val="ListParagraph"/>
        <w:numPr>
          <w:ilvl w:val="0"/>
          <w:numId w:val="3"/>
        </w:numPr>
        <w:spacing w:before="80" w:after="80"/>
      </w:pPr>
      <w:r>
        <w:rPr>
          <w:rFonts w:ascii="Courier New" w:cs="Courier New" w:eastAsia="Courier New" w:hAnsi="Courier New"/>
          <w:b/>
          <w:bCs/>
          <w:color w:val="2E75B6"/>
          <w:sz w:val="20"/>
          <w:szCs w:val="20"/>
        </w:rPr>
        <w:t xml:space="preserve">OB-30  </w:t>
      </w:r>
      <w:r>
        <w:rPr>
          <w:rFonts w:ascii="Arial" w:cs="Arial" w:eastAsia="Arial" w:hAnsi="Arial"/>
          <w:sz w:val="22"/>
          <w:szCs w:val="22"/>
        </w:rPr>
        <w:t xml:space="preserve">BLACK level triggers immediate trading halt for the affected TITAN. This is the only autonomous action the Observer takes in Phase 1. Jorge must manually authorize restart.</w:t>
      </w:r>
    </w:p>
    <w:p>
      <w:pPr>
        <w:pStyle w:val="ListParagraph"/>
        <w:numPr>
          <w:ilvl w:val="0"/>
          <w:numId w:val="3"/>
        </w:numPr>
        <w:spacing w:before="80" w:after="80"/>
      </w:pPr>
      <w:r>
        <w:rPr>
          <w:rFonts w:ascii="Courier New" w:cs="Courier New" w:eastAsia="Courier New" w:hAnsi="Courier New"/>
          <w:b/>
          <w:bCs/>
          <w:color w:val="2E75B6"/>
          <w:sz w:val="20"/>
          <w:szCs w:val="20"/>
        </w:rPr>
        <w:t xml:space="preserve">OB-31  </w:t>
      </w:r>
      <w:r>
        <w:rPr>
          <w:rFonts w:ascii="Arial" w:cs="Arial" w:eastAsia="Arial" w:hAnsi="Arial"/>
          <w:sz w:val="22"/>
          <w:szCs w:val="22"/>
        </w:rPr>
        <w:t xml:space="preserve">Every escalation generates a full Alert Package delivered to Jorge's Telegram immediately. The Alert Package contains all fields specified in Section 4.2 without exception.</w:t>
      </w:r>
    </w:p>
    <w:p>
      <w:pPr>
        <w:pStyle w:val="ListParagraph"/>
        <w:numPr>
          <w:ilvl w:val="0"/>
          <w:numId w:val="3"/>
        </w:numPr>
        <w:spacing w:before="80" w:after="80"/>
      </w:pPr>
      <w:r>
        <w:rPr>
          <w:rFonts w:ascii="Courier New" w:cs="Courier New" w:eastAsia="Courier New" w:hAnsi="Courier New"/>
          <w:b/>
          <w:bCs/>
          <w:color w:val="2E75B6"/>
          <w:sz w:val="20"/>
          <w:szCs w:val="20"/>
        </w:rPr>
        <w:t xml:space="preserve">OB-32  </w:t>
      </w:r>
      <w:r>
        <w:rPr>
          <w:rFonts w:ascii="Arial" w:cs="Arial" w:eastAsia="Arial" w:hAnsi="Arial"/>
          <w:sz w:val="22"/>
          <w:szCs w:val="22"/>
        </w:rPr>
        <w:t xml:space="preserve">Every de-escalation also generates a notification to Jorge. Jorge is always informed when a condition resolves, not just when it activates.</w:t>
      </w:r>
    </w:p>
    <w:p>
      <w:pPr>
        <w:pStyle w:val="ListParagraph"/>
        <w:numPr>
          <w:ilvl w:val="0"/>
          <w:numId w:val="3"/>
        </w:numPr>
        <w:spacing w:before="80" w:after="80"/>
      </w:pPr>
      <w:r>
        <w:rPr>
          <w:rFonts w:ascii="Courier New" w:cs="Courier New" w:eastAsia="Courier New" w:hAnsi="Courier New"/>
          <w:b/>
          <w:bCs/>
          <w:color w:val="2E75B6"/>
          <w:sz w:val="20"/>
          <w:szCs w:val="20"/>
        </w:rPr>
        <w:t xml:space="preserve">OB-33  </w:t>
      </w:r>
      <w:r>
        <w:rPr>
          <w:rFonts w:ascii="Arial" w:cs="Arial" w:eastAsia="Arial" w:hAnsi="Arial"/>
          <w:sz w:val="22"/>
          <w:szCs w:val="22"/>
        </w:rPr>
        <w:t xml:space="preserve">The Observer logs every escalation and de-escalation with full timestamp, trigger condition, metric values, and alert package delivered.</w:t>
      </w:r>
    </w:p>
    <w:p>
      <w:pPr>
        <w:pStyle w:val="ListParagraph"/>
        <w:numPr>
          <w:ilvl w:val="0"/>
          <w:numId w:val="3"/>
        </w:numPr>
        <w:spacing w:before="80" w:after="80"/>
      </w:pPr>
      <w:r>
        <w:rPr>
          <w:rFonts w:ascii="Courier New" w:cs="Courier New" w:eastAsia="Courier New" w:hAnsi="Courier New"/>
          <w:b/>
          <w:bCs/>
          <w:color w:val="2E75B6"/>
          <w:sz w:val="20"/>
          <w:szCs w:val="20"/>
        </w:rPr>
        <w:t xml:space="preserve">OB-34  </w:t>
      </w:r>
      <w:r>
        <w:rPr>
          <w:rFonts w:ascii="Arial" w:cs="Arial" w:eastAsia="Arial" w:hAnsi="Arial"/>
          <w:sz w:val="22"/>
          <w:szCs w:val="22"/>
        </w:rPr>
        <w:t xml:space="preserve">The Observer supports a SILENCE command from Jorge. When silenced, alerts are logged but not delivered for a Jorge-specified time window. Silence does not apply to BLACK level.</w:t>
      </w:r>
    </w:p>
    <w:p>
      <w:pPr>
        <w:pStyle w:val="ListParagraph"/>
        <w:numPr>
          <w:ilvl w:val="0"/>
          <w:numId w:val="3"/>
        </w:numPr>
        <w:spacing w:before="80" w:after="80"/>
      </w:pPr>
      <w:r>
        <w:rPr>
          <w:rFonts w:ascii="Courier New" w:cs="Courier New" w:eastAsia="Courier New" w:hAnsi="Courier New"/>
          <w:b/>
          <w:bCs/>
          <w:color w:val="2E75B6"/>
          <w:sz w:val="20"/>
          <w:szCs w:val="20"/>
        </w:rPr>
        <w:t xml:space="preserve">OB-35  </w:t>
      </w:r>
      <w:r>
        <w:rPr>
          <w:rFonts w:ascii="Arial" w:cs="Arial" w:eastAsia="Arial" w:hAnsi="Arial"/>
          <w:sz w:val="22"/>
          <w:szCs w:val="22"/>
        </w:rPr>
        <w:t xml:space="preserve">The Observer escalation thresholds are configurable per TITAN. FORGE's thresholds may differ from TITAN PRIME's thresholds. One size does not fit all.</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6.4 Calibration Requirements (OB-36 to OB-45)</w:t>
      </w:r>
    </w:p>
    <w:p>
      <w:pPr>
        <w:spacing w:before="60" w:after="60"/>
      </w:pPr>
      <w:r>
        <w:t xml:space="preserve"/>
      </w:r>
    </w:p>
    <w:p>
      <w:pPr>
        <w:pStyle w:val="ListParagraph"/>
        <w:numPr>
          <w:ilvl w:val="0"/>
          <w:numId w:val="3"/>
        </w:numPr>
        <w:spacing w:before="80" w:after="80"/>
      </w:pPr>
      <w:r>
        <w:rPr>
          <w:rFonts w:ascii="Courier New" w:cs="Courier New" w:eastAsia="Courier New" w:hAnsi="Courier New"/>
          <w:b/>
          <w:bCs/>
          <w:color w:val="2E75B6"/>
          <w:sz w:val="20"/>
          <w:szCs w:val="20"/>
        </w:rPr>
        <w:t xml:space="preserve">OB-36  </w:t>
      </w:r>
      <w:r>
        <w:rPr>
          <w:rFonts w:ascii="Arial" w:cs="Arial" w:eastAsia="Arial" w:hAnsi="Arial"/>
          <w:sz w:val="22"/>
          <w:szCs w:val="22"/>
        </w:rPr>
        <w:t xml:space="preserve">The Observer operates in CALIBRATION mode for a minimum of 30 trading days after deployment. During calibration, GREEN through ORANGE alerts are suppressed. RED and BLACK alerts are always active.</w:t>
      </w:r>
    </w:p>
    <w:p>
      <w:pPr>
        <w:pStyle w:val="ListParagraph"/>
        <w:numPr>
          <w:ilvl w:val="0"/>
          <w:numId w:val="3"/>
        </w:numPr>
        <w:spacing w:before="80" w:after="80"/>
      </w:pPr>
      <w:r>
        <w:rPr>
          <w:rFonts w:ascii="Courier New" w:cs="Courier New" w:eastAsia="Courier New" w:hAnsi="Courier New"/>
          <w:b/>
          <w:bCs/>
          <w:color w:val="2E75B6"/>
          <w:sz w:val="20"/>
          <w:szCs w:val="20"/>
        </w:rPr>
        <w:t xml:space="preserve">OB-37  </w:t>
      </w:r>
      <w:r>
        <w:rPr>
          <w:rFonts w:ascii="Arial" w:cs="Arial" w:eastAsia="Arial" w:hAnsi="Arial"/>
          <w:sz w:val="22"/>
          <w:szCs w:val="22"/>
        </w:rPr>
        <w:t xml:space="preserve">Calibration requires a minimum of 100 completed trades before performance baselines are considered statistically reliable. If 100 trades have not occurred within 30 trading days, calibration extends until they do.</w:t>
      </w:r>
    </w:p>
    <w:p>
      <w:pPr>
        <w:pStyle w:val="ListParagraph"/>
        <w:numPr>
          <w:ilvl w:val="0"/>
          <w:numId w:val="3"/>
        </w:numPr>
        <w:spacing w:before="80" w:after="80"/>
      </w:pPr>
      <w:r>
        <w:rPr>
          <w:rFonts w:ascii="Courier New" w:cs="Courier New" w:eastAsia="Courier New" w:hAnsi="Courier New"/>
          <w:b/>
          <w:bCs/>
          <w:color w:val="2E75B6"/>
          <w:sz w:val="20"/>
          <w:szCs w:val="20"/>
        </w:rPr>
        <w:t xml:space="preserve">OB-38  </w:t>
      </w:r>
      <w:r>
        <w:rPr>
          <w:rFonts w:ascii="Arial" w:cs="Arial" w:eastAsia="Arial" w:hAnsi="Arial"/>
          <w:sz w:val="22"/>
          <w:szCs w:val="22"/>
        </w:rPr>
        <w:t xml:space="preserve">During calibration, the Observer delivers a weekly summary report to Jorge every Sunday. The report shows what baselines are forming, what the Observer is learning, and any preliminary observations.</w:t>
      </w:r>
    </w:p>
    <w:p>
      <w:pPr>
        <w:pStyle w:val="ListParagraph"/>
        <w:numPr>
          <w:ilvl w:val="0"/>
          <w:numId w:val="3"/>
        </w:numPr>
        <w:spacing w:before="80" w:after="80"/>
      </w:pPr>
      <w:r>
        <w:rPr>
          <w:rFonts w:ascii="Courier New" w:cs="Courier New" w:eastAsia="Courier New" w:hAnsi="Courier New"/>
          <w:b/>
          <w:bCs/>
          <w:color w:val="2E75B6"/>
          <w:sz w:val="20"/>
          <w:szCs w:val="20"/>
        </w:rPr>
        <w:t xml:space="preserve">OB-39  </w:t>
      </w:r>
      <w:r>
        <w:rPr>
          <w:rFonts w:ascii="Arial" w:cs="Arial" w:eastAsia="Arial" w:hAnsi="Arial"/>
          <w:sz w:val="22"/>
          <w:szCs w:val="22"/>
        </w:rPr>
        <w:t xml:space="preserve">Calibration baselines are calculated per regime. A trending_bull baseline is separate from a choppy_ranging baseline. FORGE's behavior differs by regime and the Observer accounts for this.</w:t>
      </w:r>
    </w:p>
    <w:p>
      <w:pPr>
        <w:pStyle w:val="ListParagraph"/>
        <w:numPr>
          <w:ilvl w:val="0"/>
          <w:numId w:val="3"/>
        </w:numPr>
        <w:spacing w:before="80" w:after="80"/>
      </w:pPr>
      <w:r>
        <w:rPr>
          <w:rFonts w:ascii="Courier New" w:cs="Courier New" w:eastAsia="Courier New" w:hAnsi="Courier New"/>
          <w:b/>
          <w:bCs/>
          <w:color w:val="2E75B6"/>
          <w:sz w:val="20"/>
          <w:szCs w:val="20"/>
        </w:rPr>
        <w:t xml:space="preserve">OB-40  </w:t>
      </w:r>
      <w:r>
        <w:rPr>
          <w:rFonts w:ascii="Arial" w:cs="Arial" w:eastAsia="Arial" w:hAnsi="Arial"/>
          <w:sz w:val="22"/>
          <w:szCs w:val="22"/>
        </w:rPr>
        <w:t xml:space="preserve">Jorge can review and override calibration baselines before they are locked. If a baseline is forming incorrectly due to unusual market conditions during calibration, Jorge can reset and restart.</w:t>
      </w:r>
    </w:p>
    <w:p>
      <w:pPr>
        <w:pStyle w:val="ListParagraph"/>
        <w:numPr>
          <w:ilvl w:val="0"/>
          <w:numId w:val="3"/>
        </w:numPr>
        <w:spacing w:before="80" w:after="80"/>
      </w:pPr>
      <w:r>
        <w:rPr>
          <w:rFonts w:ascii="Courier New" w:cs="Courier New" w:eastAsia="Courier New" w:hAnsi="Courier New"/>
          <w:b/>
          <w:bCs/>
          <w:color w:val="2E75B6"/>
          <w:sz w:val="20"/>
          <w:szCs w:val="20"/>
        </w:rPr>
        <w:t xml:space="preserve">OB-41  </w:t>
      </w:r>
      <w:r>
        <w:rPr>
          <w:rFonts w:ascii="Arial" w:cs="Arial" w:eastAsia="Arial" w:hAnsi="Arial"/>
          <w:sz w:val="22"/>
          <w:szCs w:val="22"/>
        </w:rPr>
        <w:t xml:space="preserve">After calibration completes, the Observer enters ACTIVE mode. In ACTIVE mode, all five escalation levels are operational. The Observer notifies Jorge when calibration is complete.</w:t>
      </w:r>
    </w:p>
    <w:p>
      <w:pPr>
        <w:pStyle w:val="ListParagraph"/>
        <w:numPr>
          <w:ilvl w:val="0"/>
          <w:numId w:val="3"/>
        </w:numPr>
        <w:spacing w:before="80" w:after="80"/>
      </w:pPr>
      <w:r>
        <w:rPr>
          <w:rFonts w:ascii="Courier New" w:cs="Courier New" w:eastAsia="Courier New" w:hAnsi="Courier New"/>
          <w:b/>
          <w:bCs/>
          <w:color w:val="2E75B6"/>
          <w:sz w:val="20"/>
          <w:szCs w:val="20"/>
        </w:rPr>
        <w:t xml:space="preserve">OB-42  </w:t>
      </w:r>
      <w:r>
        <w:rPr>
          <w:rFonts w:ascii="Arial" w:cs="Arial" w:eastAsia="Arial" w:hAnsi="Arial"/>
          <w:sz w:val="22"/>
          <w:szCs w:val="22"/>
        </w:rPr>
        <w:t xml:space="preserve">Baselines are not static after calibration. The Observer continuously updates baselines with a slow-rolling average, preventing drift from making old data irrelevant. New data is weighted at 10% per week.</w:t>
      </w:r>
    </w:p>
    <w:p>
      <w:pPr>
        <w:pStyle w:val="ListParagraph"/>
        <w:numPr>
          <w:ilvl w:val="0"/>
          <w:numId w:val="3"/>
        </w:numPr>
        <w:spacing w:before="80" w:after="80"/>
      </w:pPr>
      <w:r>
        <w:rPr>
          <w:rFonts w:ascii="Courier New" w:cs="Courier New" w:eastAsia="Courier New" w:hAnsi="Courier New"/>
          <w:b/>
          <w:bCs/>
          <w:color w:val="2E75B6"/>
          <w:sz w:val="20"/>
          <w:szCs w:val="20"/>
        </w:rPr>
        <w:t xml:space="preserve">OB-43  </w:t>
      </w:r>
      <w:r>
        <w:rPr>
          <w:rFonts w:ascii="Arial" w:cs="Arial" w:eastAsia="Arial" w:hAnsi="Arial"/>
          <w:sz w:val="22"/>
          <w:szCs w:val="22"/>
        </w:rPr>
        <w:t xml:space="preserve">If a TITAN goes offline for more than 30 days (e.g., failed FTMO evaluation, account reset), the Observer flags the baseline as stale upon return. A 14-day mini-calibration runs before full alerting resumes.</w:t>
      </w:r>
    </w:p>
    <w:p>
      <w:pPr>
        <w:pStyle w:val="ListParagraph"/>
        <w:numPr>
          <w:ilvl w:val="0"/>
          <w:numId w:val="3"/>
        </w:numPr>
        <w:spacing w:before="80" w:after="80"/>
      </w:pPr>
      <w:r>
        <w:rPr>
          <w:rFonts w:ascii="Courier New" w:cs="Courier New" w:eastAsia="Courier New" w:hAnsi="Courier New"/>
          <w:b/>
          <w:bCs/>
          <w:color w:val="2E75B6"/>
          <w:sz w:val="20"/>
          <w:szCs w:val="20"/>
        </w:rPr>
        <w:t xml:space="preserve">OB-44  </w:t>
      </w:r>
      <w:r>
        <w:rPr>
          <w:rFonts w:ascii="Arial" w:cs="Arial" w:eastAsia="Arial" w:hAnsi="Arial"/>
          <w:sz w:val="22"/>
          <w:szCs w:val="22"/>
        </w:rPr>
        <w:t xml:space="preserve">The Observer tracks its own accuracy. After each alert, when the condition resolves, it logs whether the alert was a true positive or false positive. This data feeds calibration improvement.</w:t>
      </w:r>
    </w:p>
    <w:p>
      <w:pPr>
        <w:pStyle w:val="ListParagraph"/>
        <w:numPr>
          <w:ilvl w:val="0"/>
          <w:numId w:val="3"/>
        </w:numPr>
        <w:spacing w:before="80" w:after="80"/>
      </w:pPr>
      <w:r>
        <w:rPr>
          <w:rFonts w:ascii="Courier New" w:cs="Courier New" w:eastAsia="Courier New" w:hAnsi="Courier New"/>
          <w:b/>
          <w:bCs/>
          <w:color w:val="2E75B6"/>
          <w:sz w:val="20"/>
          <w:szCs w:val="20"/>
        </w:rPr>
        <w:t xml:space="preserve">OB-45  </w:t>
      </w:r>
      <w:r>
        <w:rPr>
          <w:rFonts w:ascii="Arial" w:cs="Arial" w:eastAsia="Arial" w:hAnsi="Arial"/>
          <w:sz w:val="22"/>
          <w:szCs w:val="22"/>
        </w:rPr>
        <w:t xml:space="preserve">If the Observer's false positive rate exceeds 20% in any 30-day window, it automatically drops back to a 14-day mini-calibration cycle to recalibrate before resuming full alerting.</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6.5 Hub Integration Requirements (OB-46 to OB-55)</w:t>
      </w:r>
    </w:p>
    <w:p>
      <w:pPr>
        <w:spacing w:before="60" w:after="60"/>
      </w:pPr>
      <w:r>
        <w:t xml:space="preserve"/>
      </w:r>
    </w:p>
    <w:p>
      <w:pPr>
        <w:pStyle w:val="ListParagraph"/>
        <w:numPr>
          <w:ilvl w:val="0"/>
          <w:numId w:val="3"/>
        </w:numPr>
        <w:spacing w:before="80" w:after="80"/>
      </w:pPr>
      <w:r>
        <w:rPr>
          <w:rFonts w:ascii="Courier New" w:cs="Courier New" w:eastAsia="Courier New" w:hAnsi="Courier New"/>
          <w:b/>
          <w:bCs/>
          <w:color w:val="2E75B6"/>
          <w:sz w:val="20"/>
          <w:szCs w:val="20"/>
        </w:rPr>
        <w:t xml:space="preserve">OB-46  </w:t>
      </w:r>
      <w:r>
        <w:rPr>
          <w:rFonts w:ascii="Arial" w:cs="Arial" w:eastAsia="Arial" w:hAnsi="Arial"/>
          <w:sz w:val="22"/>
          <w:szCs w:val="22"/>
        </w:rPr>
        <w:t xml:space="preserve">The Observer integrates with Layer 5 (Evidence Layer) as its primary data source. All trade records, performance history, and capability scores flow from the database into the Observer.</w:t>
      </w:r>
    </w:p>
    <w:p>
      <w:pPr>
        <w:pStyle w:val="ListParagraph"/>
        <w:numPr>
          <w:ilvl w:val="0"/>
          <w:numId w:val="3"/>
        </w:numPr>
        <w:spacing w:before="80" w:after="80"/>
      </w:pPr>
      <w:r>
        <w:rPr>
          <w:rFonts w:ascii="Courier New" w:cs="Courier New" w:eastAsia="Courier New" w:hAnsi="Courier New"/>
          <w:b/>
          <w:bCs/>
          <w:color w:val="2E75B6"/>
          <w:sz w:val="20"/>
          <w:szCs w:val="20"/>
        </w:rPr>
        <w:t xml:space="preserve">OB-47  </w:t>
      </w:r>
      <w:r>
        <w:rPr>
          <w:rFonts w:ascii="Arial" w:cs="Arial" w:eastAsia="Arial" w:hAnsi="Arial"/>
          <w:sz w:val="22"/>
          <w:szCs w:val="22"/>
        </w:rPr>
        <w:t xml:space="preserve">The Observer integrates with Layer 1 (Market Feed) for real-time regime data. The Observer must know the current regime to apply regime-adjusted baselines correctly.</w:t>
      </w:r>
    </w:p>
    <w:p>
      <w:pPr>
        <w:pStyle w:val="ListParagraph"/>
        <w:numPr>
          <w:ilvl w:val="0"/>
          <w:numId w:val="3"/>
        </w:numPr>
        <w:spacing w:before="80" w:after="80"/>
      </w:pPr>
      <w:r>
        <w:rPr>
          <w:rFonts w:ascii="Courier New" w:cs="Courier New" w:eastAsia="Courier New" w:hAnsi="Courier New"/>
          <w:b/>
          <w:bCs/>
          <w:color w:val="2E75B6"/>
          <w:sz w:val="20"/>
          <w:szCs w:val="20"/>
        </w:rPr>
        <w:t xml:space="preserve">OB-48  </w:t>
      </w:r>
      <w:r>
        <w:rPr>
          <w:rFonts w:ascii="Arial" w:cs="Arial" w:eastAsia="Arial" w:hAnsi="Arial"/>
          <w:sz w:val="22"/>
          <w:szCs w:val="22"/>
        </w:rPr>
        <w:t xml:space="preserve">The Observer integrates with Layer 4 (Ghost Trade Engine) to compare live FORGE performance against what the Ghost Engine would have produced in the same conditions. Persistent underperformance vs ghost trades is a key edge decay signal.</w:t>
      </w:r>
    </w:p>
    <w:p>
      <w:pPr>
        <w:pStyle w:val="ListParagraph"/>
        <w:numPr>
          <w:ilvl w:val="0"/>
          <w:numId w:val="3"/>
        </w:numPr>
        <w:spacing w:before="80" w:after="80"/>
      </w:pPr>
      <w:r>
        <w:rPr>
          <w:rFonts w:ascii="Courier New" w:cs="Courier New" w:eastAsia="Courier New" w:hAnsi="Courier New"/>
          <w:b/>
          <w:bCs/>
          <w:color w:val="2E75B6"/>
          <w:sz w:val="20"/>
          <w:szCs w:val="20"/>
        </w:rPr>
        <w:t xml:space="preserve">OB-49  </w:t>
      </w:r>
      <w:r>
        <w:rPr>
          <w:rFonts w:ascii="Arial" w:cs="Arial" w:eastAsia="Arial" w:hAnsi="Arial"/>
          <w:sz w:val="22"/>
          <w:szCs w:val="22"/>
        </w:rPr>
        <w:t xml:space="preserve">When the Observer identifies an anomaly requiring deep analysis, it packages the full context and submits it to Layer 6 (Intelligence Layer / LLM) for interpretation. The LLM analysis is included in the alert package to Jorge.</w:t>
      </w:r>
    </w:p>
    <w:p>
      <w:pPr>
        <w:pStyle w:val="ListParagraph"/>
        <w:numPr>
          <w:ilvl w:val="0"/>
          <w:numId w:val="3"/>
        </w:numPr>
        <w:spacing w:before="80" w:after="80"/>
      </w:pPr>
      <w:r>
        <w:rPr>
          <w:rFonts w:ascii="Courier New" w:cs="Courier New" w:eastAsia="Courier New" w:hAnsi="Courier New"/>
          <w:b/>
          <w:bCs/>
          <w:color w:val="2E75B6"/>
          <w:sz w:val="20"/>
          <w:szCs w:val="20"/>
        </w:rPr>
        <w:t xml:space="preserve">OB-50  </w:t>
      </w:r>
      <w:r>
        <w:rPr>
          <w:rFonts w:ascii="Arial" w:cs="Arial" w:eastAsia="Arial" w:hAnsi="Arial"/>
          <w:sz w:val="22"/>
          <w:szCs w:val="22"/>
        </w:rPr>
        <w:t xml:space="preserve">The Observer exposes a status API that Command Center can query at any time. The API returns current fleet health state, active escalations, and last 24 hours of significant events.</w:t>
      </w:r>
    </w:p>
    <w:p>
      <w:pPr>
        <w:pStyle w:val="ListParagraph"/>
        <w:numPr>
          <w:ilvl w:val="0"/>
          <w:numId w:val="3"/>
        </w:numPr>
        <w:spacing w:before="80" w:after="80"/>
      </w:pPr>
      <w:r>
        <w:rPr>
          <w:rFonts w:ascii="Courier New" w:cs="Courier New" w:eastAsia="Courier New" w:hAnsi="Courier New"/>
          <w:b/>
          <w:bCs/>
          <w:color w:val="2E75B6"/>
          <w:sz w:val="20"/>
          <w:szCs w:val="20"/>
        </w:rPr>
        <w:t xml:space="preserve">OB-51  </w:t>
      </w:r>
      <w:r>
        <w:rPr>
          <w:rFonts w:ascii="Arial" w:cs="Arial" w:eastAsia="Arial" w:hAnsi="Arial"/>
          <w:sz w:val="22"/>
          <w:szCs w:val="22"/>
        </w:rPr>
        <w:t xml:space="preserve">The Observer stores all observations in Layer 5 (Evidence Layer). Observer data is available for retrospective analysis, pattern mining, and strategy improvement.</w:t>
      </w:r>
    </w:p>
    <w:p>
      <w:pPr>
        <w:pStyle w:val="ListParagraph"/>
        <w:numPr>
          <w:ilvl w:val="0"/>
          <w:numId w:val="3"/>
        </w:numPr>
        <w:spacing w:before="80" w:after="80"/>
      </w:pPr>
      <w:r>
        <w:rPr>
          <w:rFonts w:ascii="Courier New" w:cs="Courier New" w:eastAsia="Courier New" w:hAnsi="Courier New"/>
          <w:b/>
          <w:bCs/>
          <w:color w:val="2E75B6"/>
          <w:sz w:val="20"/>
          <w:szCs w:val="20"/>
        </w:rPr>
        <w:t xml:space="preserve">OB-52  </w:t>
      </w:r>
      <w:r>
        <w:rPr>
          <w:rFonts w:ascii="Arial" w:cs="Arial" w:eastAsia="Arial" w:hAnsi="Arial"/>
          <w:sz w:val="22"/>
          <w:szCs w:val="22"/>
        </w:rPr>
        <w:t xml:space="preserve">The Observer configuration (thresholds, baselines, TITAN parameters) is stored in the hub's configuration system, not hardcoded. Changes take effect immediately without redeployment.</w:t>
      </w:r>
    </w:p>
    <w:p>
      <w:pPr>
        <w:pStyle w:val="ListParagraph"/>
        <w:numPr>
          <w:ilvl w:val="0"/>
          <w:numId w:val="3"/>
        </w:numPr>
        <w:spacing w:before="80" w:after="80"/>
      </w:pPr>
      <w:r>
        <w:rPr>
          <w:rFonts w:ascii="Courier New" w:cs="Courier New" w:eastAsia="Courier New" w:hAnsi="Courier New"/>
          <w:b/>
          <w:bCs/>
          <w:color w:val="2E75B6"/>
          <w:sz w:val="20"/>
          <w:szCs w:val="20"/>
        </w:rPr>
        <w:t xml:space="preserve">OB-53  </w:t>
      </w:r>
      <w:r>
        <w:rPr>
          <w:rFonts w:ascii="Arial" w:cs="Arial" w:eastAsia="Arial" w:hAnsi="Arial"/>
          <w:sz w:val="22"/>
          <w:szCs w:val="22"/>
        </w:rPr>
        <w:t xml:space="preserve">The Observer has no knowledge of trade signals or strategy logic. It knows what happened (execution, performance, risk). It does not know why FORGE made a specific decision. This separation is intentional.</w:t>
      </w:r>
    </w:p>
    <w:p>
      <w:pPr>
        <w:pStyle w:val="ListParagraph"/>
        <w:numPr>
          <w:ilvl w:val="0"/>
          <w:numId w:val="3"/>
        </w:numPr>
        <w:spacing w:before="80" w:after="80"/>
      </w:pPr>
      <w:r>
        <w:rPr>
          <w:rFonts w:ascii="Courier New" w:cs="Courier New" w:eastAsia="Courier New" w:hAnsi="Courier New"/>
          <w:b/>
          <w:bCs/>
          <w:color w:val="2E75B6"/>
          <w:sz w:val="20"/>
          <w:szCs w:val="20"/>
        </w:rPr>
        <w:t xml:space="preserve">OB-54  </w:t>
      </w:r>
      <w:r>
        <w:rPr>
          <w:rFonts w:ascii="Arial" w:cs="Arial" w:eastAsia="Arial" w:hAnsi="Arial"/>
          <w:sz w:val="22"/>
          <w:szCs w:val="22"/>
        </w:rPr>
        <w:t xml:space="preserve">When a new TITAN joins the fleet, the Observer automatically creates a new monitoring instance for that TITAN using default parameters. Calibration begins automatically on first trade.</w:t>
      </w:r>
    </w:p>
    <w:p>
      <w:pPr>
        <w:pStyle w:val="ListParagraph"/>
        <w:numPr>
          <w:ilvl w:val="0"/>
          <w:numId w:val="3"/>
        </w:numPr>
        <w:spacing w:before="80" w:after="80"/>
      </w:pPr>
      <w:r>
        <w:rPr>
          <w:rFonts w:ascii="Courier New" w:cs="Courier New" w:eastAsia="Courier New" w:hAnsi="Courier New"/>
          <w:b/>
          <w:bCs/>
          <w:color w:val="2E75B6"/>
          <w:sz w:val="20"/>
          <w:szCs w:val="20"/>
        </w:rPr>
        <w:t xml:space="preserve">OB-55  </w:t>
      </w:r>
      <w:r>
        <w:rPr>
          <w:rFonts w:ascii="Arial" w:cs="Arial" w:eastAsia="Arial" w:hAnsi="Arial"/>
          <w:sz w:val="22"/>
          <w:szCs w:val="22"/>
        </w:rPr>
        <w:t xml:space="preserve">The Observer participates in hub resilience protocols. If the Observer sub-system fails, Command Center is notified immediately. A degraded-mode fallback delivers critical health data to Jorge directly from Layer 5 until Observer is restored.</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6.6 Future Capability Requirements (OB-56 to OB-60)</w:t>
      </w:r>
    </w:p>
    <w:p>
      <w:pPr>
        <w:spacing w:before="60" w:after="60"/>
      </w:pPr>
      <w:r>
        <w:t xml:space="preserve"/>
      </w:r>
    </w:p>
    <w:p>
      <w:pPr>
        <w:spacing w:before="80" w:after="80"/>
        <w:jc w:val="left"/>
      </w:pPr>
      <w:r>
        <w:rPr>
          <w:rFonts w:ascii="Arial" w:cs="Arial" w:eastAsia="Arial" w:hAnsi="Arial"/>
          <w:b w:val="false"/>
          <w:bCs w:val="false"/>
          <w:i w:val="false"/>
          <w:iCs w:val="false"/>
          <w:color w:val="000000"/>
          <w:sz w:val="22"/>
          <w:szCs w:val="22"/>
        </w:rPr>
        <w:t xml:space="preserve">These requirements define capabilities the Observer will develop in Phase 2 and Phase 3. They are included here to ensure the Phase 1 architecture does not foreclose these future paths.</w:t>
      </w:r>
    </w:p>
    <w:p>
      <w:pPr>
        <w:spacing w:before="60" w:after="60"/>
      </w:pPr>
      <w:r>
        <w:t xml:space="preserve"/>
      </w:r>
    </w:p>
    <w:p>
      <w:pPr>
        <w:pStyle w:val="ListParagraph"/>
        <w:numPr>
          <w:ilvl w:val="0"/>
          <w:numId w:val="3"/>
        </w:numPr>
        <w:spacing w:before="80" w:after="80"/>
      </w:pPr>
      <w:r>
        <w:rPr>
          <w:rFonts w:ascii="Courier New" w:cs="Courier New" w:eastAsia="Courier New" w:hAnsi="Courier New"/>
          <w:b/>
          <w:bCs/>
          <w:color w:val="2E75B6"/>
          <w:sz w:val="20"/>
          <w:szCs w:val="20"/>
        </w:rPr>
        <w:t xml:space="preserve">OB-56  </w:t>
      </w:r>
      <w:r>
        <w:rPr>
          <w:rFonts w:ascii="Arial" w:cs="Arial" w:eastAsia="Arial" w:hAnsi="Arial"/>
          <w:sz w:val="22"/>
          <w:szCs w:val="22"/>
        </w:rPr>
        <w:t xml:space="preserve">FUTURE (Phase 2): The Observer will develop predictive escalation — identifying conditions likely to become RED before they cross the RED threshold, enabling pre-emptive response.</w:t>
      </w:r>
    </w:p>
    <w:p>
      <w:pPr>
        <w:pStyle w:val="ListParagraph"/>
        <w:numPr>
          <w:ilvl w:val="0"/>
          <w:numId w:val="3"/>
        </w:numPr>
        <w:spacing w:before="80" w:after="80"/>
      </w:pPr>
      <w:r>
        <w:rPr>
          <w:rFonts w:ascii="Courier New" w:cs="Courier New" w:eastAsia="Courier New" w:hAnsi="Courier New"/>
          <w:b/>
          <w:bCs/>
          <w:color w:val="2E75B6"/>
          <w:sz w:val="20"/>
          <w:szCs w:val="20"/>
        </w:rPr>
        <w:t xml:space="preserve">OB-57  </w:t>
      </w:r>
      <w:r>
        <w:rPr>
          <w:rFonts w:ascii="Arial" w:cs="Arial" w:eastAsia="Arial" w:hAnsi="Arial"/>
          <w:sz w:val="22"/>
          <w:szCs w:val="22"/>
        </w:rPr>
        <w:t xml:space="preserve">FUTURE (Phase 2): The Observer will develop cross-TITAN correlation detection — identifying when multiple TITANs are experiencing simultaneous stress, which may indicate a systemic market condition rather than individual TITAN issues.</w:t>
      </w:r>
    </w:p>
    <w:p>
      <w:pPr>
        <w:pStyle w:val="ListParagraph"/>
        <w:numPr>
          <w:ilvl w:val="0"/>
          <w:numId w:val="3"/>
        </w:numPr>
        <w:spacing w:before="80" w:after="80"/>
      </w:pPr>
      <w:r>
        <w:rPr>
          <w:rFonts w:ascii="Courier New" w:cs="Courier New" w:eastAsia="Courier New" w:hAnsi="Courier New"/>
          <w:b/>
          <w:bCs/>
          <w:color w:val="2E75B6"/>
          <w:sz w:val="20"/>
          <w:szCs w:val="20"/>
        </w:rPr>
        <w:t xml:space="preserve">OB-58  </w:t>
      </w:r>
      <w:r>
        <w:rPr>
          <w:rFonts w:ascii="Arial" w:cs="Arial" w:eastAsia="Arial" w:hAnsi="Arial"/>
          <w:sz w:val="22"/>
          <w:szCs w:val="22"/>
        </w:rPr>
        <w:t xml:space="preserve">FUTURE (Phase 2): The Observer will develop an automated response library — a set of pre-approved responses that activate automatically when specific BLACK-adjacent conditions are met, reducing Jorge's response time requirement.</w:t>
      </w:r>
    </w:p>
    <w:p>
      <w:pPr>
        <w:pStyle w:val="ListParagraph"/>
        <w:numPr>
          <w:ilvl w:val="0"/>
          <w:numId w:val="3"/>
        </w:numPr>
        <w:spacing w:before="80" w:after="80"/>
      </w:pPr>
      <w:r>
        <w:rPr>
          <w:rFonts w:ascii="Courier New" w:cs="Courier New" w:eastAsia="Courier New" w:hAnsi="Courier New"/>
          <w:b/>
          <w:bCs/>
          <w:color w:val="2E75B6"/>
          <w:sz w:val="20"/>
          <w:szCs w:val="20"/>
        </w:rPr>
        <w:t xml:space="preserve">OB-59  </w:t>
      </w:r>
      <w:r>
        <w:rPr>
          <w:rFonts w:ascii="Arial" w:cs="Arial" w:eastAsia="Arial" w:hAnsi="Arial"/>
          <w:sz w:val="22"/>
          <w:szCs w:val="22"/>
        </w:rPr>
        <w:t xml:space="preserve">FUTURE (Phase 3): The Observer will feed its entire behavioral history into the NEXUS ORACLE system, enabling empire-level pattern recognition and long-horizon strategic intelligence.</w:t>
      </w:r>
    </w:p>
    <w:p>
      <w:pPr>
        <w:pStyle w:val="ListParagraph"/>
        <w:numPr>
          <w:ilvl w:val="0"/>
          <w:numId w:val="3"/>
        </w:numPr>
        <w:spacing w:before="80" w:after="80"/>
      </w:pPr>
      <w:r>
        <w:rPr>
          <w:rFonts w:ascii="Courier New" w:cs="Courier New" w:eastAsia="Courier New" w:hAnsi="Courier New"/>
          <w:b/>
          <w:bCs/>
          <w:color w:val="2E75B6"/>
          <w:sz w:val="20"/>
          <w:szCs w:val="20"/>
        </w:rPr>
        <w:t xml:space="preserve">OB-60  </w:t>
      </w:r>
      <w:r>
        <w:rPr>
          <w:rFonts w:ascii="Arial" w:cs="Arial" w:eastAsia="Arial" w:hAnsi="Arial"/>
          <w:sz w:val="22"/>
          <w:szCs w:val="22"/>
        </w:rPr>
        <w:t xml:space="preserve">FUTURE (Phase 3): The Observer will develop self-tuning capability — using its own accuracy history to autonomously adjust alert thresholds within Jorge-defined bounds, without requiring manual recalibration.</w:t>
      </w:r>
    </w:p>
    <w:p>
      <w:pPr>
        <w:spacing w:before="60" w:after="60"/>
      </w:pPr>
      <w:r>
        <w:t xml:space="preserve"/>
      </w:r>
    </w:p>
    <w:p>
      <w:pPr>
        <w:pStyle w:val="Heading1"/>
        <w:pBdr>
          <w:bottom w:val="single" w:color="C9A84C" w:sz="6" w:space="4"/>
        </w:pBdr>
        <w:spacing w:before="360" w:after="180"/>
      </w:pPr>
      <w:r>
        <w:rPr>
          <w:rFonts w:ascii="Arial" w:cs="Arial" w:eastAsia="Arial" w:hAnsi="Arial"/>
          <w:b/>
          <w:bCs/>
          <w:color w:val="1B2A47"/>
          <w:sz w:val="32"/>
          <w:szCs w:val="32"/>
        </w:rPr>
        <w:t xml:space="preserve">7. REQUIREMENT SUMMARY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400"/>
        <w:gridCol w:w="3560"/>
      </w:tblGrid>
      <w:tr>
        <w:tc>
          <w:tcPr>
            <w:tcW w:type="dxa" w:w="16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28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4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356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OB-01 — OB-10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Identity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Concept Complete</w:t>
            </w:r>
          </w:p>
        </w:tc>
      </w:tr>
      <w:tr>
        <w:tc>
          <w:tcPr>
            <w:tcW w:type="dxa" w:w="16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2E75B6"/>
                <w:sz w:val="20"/>
                <w:szCs w:val="20"/>
              </w:rPr>
              <w:t xml:space="preserve">OB-11 — OB-25</w:t>
            </w:r>
          </w:p>
        </w:tc>
        <w:tc>
          <w:tcPr>
            <w:tcW w:type="dxa" w:w="2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Sight Lines</w:t>
            </w:r>
          </w:p>
        </w:tc>
        <w:tc>
          <w:tcPr>
            <w:tcW w:type="dxa" w:w="1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35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Concept Complete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OB-26 — OB-35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Escalation Matrix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Concept Complete</w:t>
            </w:r>
          </w:p>
        </w:tc>
      </w:tr>
      <w:tr>
        <w:tc>
          <w:tcPr>
            <w:tcW w:type="dxa" w:w="16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2E75B6"/>
                <w:sz w:val="20"/>
                <w:szCs w:val="20"/>
              </w:rPr>
              <w:t xml:space="preserve">OB-36 — OB-45</w:t>
            </w:r>
          </w:p>
        </w:tc>
        <w:tc>
          <w:tcPr>
            <w:tcW w:type="dxa" w:w="2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Calibration Protocol</w:t>
            </w:r>
          </w:p>
        </w:tc>
        <w:tc>
          <w:tcPr>
            <w:tcW w:type="dxa" w:w="1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35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Concept Complete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OB-46 — OB-55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Hub Integration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Concept Complete</w:t>
            </w:r>
          </w:p>
        </w:tc>
      </w:tr>
      <w:tr>
        <w:tc>
          <w:tcPr>
            <w:tcW w:type="dxa" w:w="16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2E75B6"/>
                <w:sz w:val="20"/>
                <w:szCs w:val="20"/>
              </w:rPr>
              <w:t xml:space="preserve">OB-56 — OB-60</w:t>
            </w:r>
          </w:p>
        </w:tc>
        <w:tc>
          <w:tcPr>
            <w:tcW w:type="dxa" w:w="2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Future Capabilities</w:t>
            </w:r>
          </w:p>
        </w:tc>
        <w:tc>
          <w:tcPr>
            <w:tcW w:type="dxa" w:w="1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5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Stub — Phase 2/3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TOTAL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Categories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pPr>
        <w:spacing w:before="60" w:after="60"/>
      </w:pPr>
      <w:r>
        <w:t xml:space="preserve"/>
      </w:r>
    </w:p>
    <w:p>
      <w:pPr>
        <w:spacing w:before="60" w:after="60"/>
      </w:pPr>
      <w:r>
        <w:t xml:space="preserve"/>
      </w:r>
    </w:p>
    <w:p>
      <w:pPr>
        <w:pStyle w:val="Heading2"/>
        <w:spacing w:before="280" w:after="120"/>
      </w:pPr>
      <w:r>
        <w:rPr>
          <w:rFonts w:ascii="Arial" w:cs="Arial" w:eastAsia="Arial" w:hAnsi="Arial"/>
          <w:b/>
          <w:bCs/>
          <w:color w:val="2E75B6"/>
          <w:sz w:val="26"/>
          <w:szCs w:val="26"/>
        </w:rPr>
        <w:t xml:space="preserve">7.1 Build Prerequisites</w:t>
      </w:r>
    </w:p>
    <w:p>
      <w:pPr>
        <w:spacing w:before="60" w:after="60"/>
      </w:pPr>
      <w:r>
        <w:t xml:space="preserve"/>
      </w:r>
    </w:p>
    <w:p>
      <w:pPr>
        <w:spacing w:before="80" w:after="80"/>
        <w:jc w:val="left"/>
      </w:pPr>
      <w:r>
        <w:rPr>
          <w:rFonts w:ascii="Arial" w:cs="Arial" w:eastAsia="Arial" w:hAnsi="Arial"/>
          <w:b w:val="false"/>
          <w:bCs w:val="false"/>
          <w:i w:val="false"/>
          <w:iCs w:val="false"/>
          <w:color w:val="000000"/>
          <w:sz w:val="22"/>
          <w:szCs w:val="22"/>
        </w:rPr>
        <w:t xml:space="preserve">The Observer cannot be built until the following hub components exist:</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Layer 5 (Evidence Layer) — PostgreSQL database with trade records, performance history</w:t>
      </w:r>
    </w:p>
    <w:p>
      <w:pPr>
        <w:pStyle w:val="ListParagraph"/>
        <w:numPr>
          <w:ilvl w:val="0"/>
          <w:numId w:val="2"/>
        </w:numPr>
        <w:spacing w:before="60" w:after="60"/>
      </w:pPr>
      <w:r>
        <w:rPr>
          <w:rFonts w:ascii="Arial" w:cs="Arial" w:eastAsia="Arial" w:hAnsi="Arial"/>
          <w:sz w:val="22"/>
          <w:szCs w:val="22"/>
        </w:rPr>
        <w:t xml:space="preserve">Layer 1 (Market Feed) — live regime data flowing</w:t>
      </w:r>
    </w:p>
    <w:p>
      <w:pPr>
        <w:pStyle w:val="ListParagraph"/>
        <w:numPr>
          <w:ilvl w:val="0"/>
          <w:numId w:val="2"/>
        </w:numPr>
        <w:spacing w:before="60" w:after="60"/>
      </w:pPr>
      <w:r>
        <w:rPr>
          <w:rFonts w:ascii="Arial" w:cs="Arial" w:eastAsia="Arial" w:hAnsi="Arial"/>
          <w:sz w:val="22"/>
          <w:szCs w:val="22"/>
        </w:rPr>
        <w:t xml:space="preserve">Layer 7 (Command Center) — Observer lives here; Command Center must be scaffolded first</w:t>
      </w:r>
    </w:p>
    <w:p>
      <w:pPr>
        <w:pStyle w:val="ListParagraph"/>
        <w:numPr>
          <w:ilvl w:val="0"/>
          <w:numId w:val="2"/>
        </w:numPr>
        <w:spacing w:before="60" w:after="60"/>
      </w:pPr>
      <w:r>
        <w:rPr>
          <w:rFonts w:ascii="Arial" w:cs="Arial" w:eastAsia="Arial" w:hAnsi="Arial"/>
          <w:sz w:val="22"/>
          <w:szCs w:val="22"/>
        </w:rPr>
        <w:t xml:space="preserve">FORGE live trading data — minimum 30 trading days of live data before calibration completes</w:t>
      </w:r>
    </w:p>
    <w:p>
      <w:pPr>
        <w:spacing w:before="60" w:after="60"/>
      </w:pPr>
      <w:r>
        <w:t xml:space="preserve"/>
      </w:r>
    </w:p>
    <w:p>
      <w:pPr>
        <w:spacing w:before="80" w:after="80"/>
        <w:jc w:val="left"/>
      </w:pPr>
      <w:r>
        <w:rPr>
          <w:rFonts w:ascii="Arial" w:cs="Arial" w:eastAsia="Arial" w:hAnsi="Arial"/>
          <w:b w:val="false"/>
          <w:bCs w:val="false"/>
          <w:i w:val="false"/>
          <w:iCs w:val="false"/>
          <w:color w:val="000000"/>
          <w:sz w:val="22"/>
          <w:szCs w:val="22"/>
        </w:rPr>
        <w:t xml:space="preserve">The Observer is a Phase 2 build. The hub must come first. FORGE must trade for 60-90 days producing evidence. Then the Observer is built on top of real data — not synthetic.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7" w:val="clear"/>
            <w:tcMar>
              <w:top w:type="dxa" w:w="100"/>
              <w:left w:type="dxa" w:w="160"/>
              <w:bottom w:type="dxa" w:w="100"/>
              <w:right w:type="dxa" w:w="160"/>
            </w:tcMar>
          </w:tcPr>
          <w:p>
            <w:r>
              <w:rPr>
                <w:rFonts w:ascii="Arial" w:cs="Arial" w:eastAsia="Arial" w:hAnsi="Arial"/>
                <w:b/>
                <w:bCs/>
                <w:color w:val="FFFFFF"/>
                <w:sz w:val="22"/>
                <w:szCs w:val="22"/>
              </w:rPr>
              <w:t xml:space="preserve">OBSERVER BUILD GATE — NON-NEGOTIABLE</w:t>
            </w:r>
          </w:p>
        </w:tc>
      </w:tr>
      <w:tr>
        <w:tc>
          <w:tcPr>
            <w:tcW w:type="dxa" w:w="9360"/>
            <w:tcBorders>
              <w:top w:val="single" w:color="CCCCCC" w:sz="1"/>
              <w:left w:val="single" w:color="CCCCCC" w:sz="1"/>
              <w:bottom w:val="single" w:color="CCCCCC" w:sz="1"/>
              <w:right w:val="single" w:color="CCCCCC" w:sz="1"/>
            </w:tcBorders>
            <w:shd w:fill="FDF3DC" w:val="clear"/>
            <w:tcMar>
              <w:top w:type="dxa" w:w="80"/>
              <w:left w:type="dxa" w:w="160"/>
              <w:bottom w:type="dxa" w:w="80"/>
              <w:right w:type="dxa" w:w="160"/>
            </w:tcMar>
          </w:tcPr>
          <w:p>
            <w:r>
              <w:rPr>
                <w:rFonts w:ascii="Arial" w:cs="Arial" w:eastAsia="Arial" w:hAnsi="Arial"/>
                <w:sz w:val="21"/>
                <w:szCs w:val="21"/>
              </w:rPr>
              <w:t xml:space="preserve">The Observer build does not begin until:</w:t>
            </w:r>
          </w:p>
        </w:tc>
      </w:tr>
      <w:tr>
        <w:tc>
          <w:tcPr>
            <w:tcW w:type="dxa" w:w="9360"/>
            <w:tcBorders>
              <w:top w:val="single" w:color="CCCCCC" w:sz="1"/>
              <w:left w:val="single" w:color="CCCCCC" w:sz="1"/>
              <w:bottom w:val="single" w:color="CCCCCC" w:sz="1"/>
              <w:right w:val="single" w:color="CCCCCC" w:sz="1"/>
            </w:tcBorders>
            <w:shd w:fill="FDF3DC" w:val="clear"/>
            <w:tcMar>
              <w:top w:type="dxa" w:w="80"/>
              <w:left w:type="dxa" w:w="160"/>
              <w:bottom w:type="dxa" w:w="80"/>
              <w:right w:type="dxa" w:w="160"/>
            </w:tcMar>
          </w:tcPr>
          <w:p>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shd w:fill="FDF3DC" w:val="clear"/>
            <w:tcMar>
              <w:top w:type="dxa" w:w="80"/>
              <w:left w:type="dxa" w:w="160"/>
              <w:bottom w:type="dxa" w:w="80"/>
              <w:right w:type="dxa" w:w="160"/>
            </w:tcMar>
          </w:tcPr>
          <w:p>
            <w:r>
              <w:rPr>
                <w:rFonts w:ascii="Arial" w:cs="Arial" w:eastAsia="Arial" w:hAnsi="Arial"/>
                <w:sz w:val="21"/>
                <w:szCs w:val="21"/>
              </w:rPr>
              <w:t xml:space="preserve">  1. Intelligence Hub Layers 1, 5, and 7 are operational</w:t>
            </w:r>
          </w:p>
        </w:tc>
      </w:tr>
      <w:tr>
        <w:tc>
          <w:tcPr>
            <w:tcW w:type="dxa" w:w="9360"/>
            <w:tcBorders>
              <w:top w:val="single" w:color="CCCCCC" w:sz="1"/>
              <w:left w:val="single" w:color="CCCCCC" w:sz="1"/>
              <w:bottom w:val="single" w:color="CCCCCC" w:sz="1"/>
              <w:right w:val="single" w:color="CCCCCC" w:sz="1"/>
            </w:tcBorders>
            <w:shd w:fill="FDF3DC" w:val="clear"/>
            <w:tcMar>
              <w:top w:type="dxa" w:w="80"/>
              <w:left w:type="dxa" w:w="160"/>
              <w:bottom w:type="dxa" w:w="80"/>
              <w:right w:type="dxa" w:w="160"/>
            </w:tcMar>
          </w:tcPr>
          <w:p>
            <w:r>
              <w:rPr>
                <w:rFonts w:ascii="Arial" w:cs="Arial" w:eastAsia="Arial" w:hAnsi="Arial"/>
                <w:sz w:val="21"/>
                <w:szCs w:val="21"/>
              </w:rPr>
              <w:t xml:space="preserve">  2. FORGE has 60+ live trading days of evidence in Layer 5</w:t>
            </w:r>
          </w:p>
        </w:tc>
      </w:tr>
      <w:tr>
        <w:tc>
          <w:tcPr>
            <w:tcW w:type="dxa" w:w="9360"/>
            <w:tcBorders>
              <w:top w:val="single" w:color="CCCCCC" w:sz="1"/>
              <w:left w:val="single" w:color="CCCCCC" w:sz="1"/>
              <w:bottom w:val="single" w:color="CCCCCC" w:sz="1"/>
              <w:right w:val="single" w:color="CCCCCC" w:sz="1"/>
            </w:tcBorders>
            <w:shd w:fill="FDF3DC" w:val="clear"/>
            <w:tcMar>
              <w:top w:type="dxa" w:w="80"/>
              <w:left w:type="dxa" w:w="160"/>
              <w:bottom w:type="dxa" w:w="80"/>
              <w:right w:type="dxa" w:w="160"/>
            </w:tcMar>
          </w:tcPr>
          <w:p>
            <w:r>
              <w:rPr>
                <w:rFonts w:ascii="Arial" w:cs="Arial" w:eastAsia="Arial" w:hAnsi="Arial"/>
                <w:sz w:val="21"/>
                <w:szCs w:val="21"/>
              </w:rPr>
              <w:t xml:space="preserve">  3. Jorge has reviewed and approved this concept document</w:t>
            </w:r>
          </w:p>
        </w:tc>
      </w:tr>
      <w:tr>
        <w:tc>
          <w:tcPr>
            <w:tcW w:type="dxa" w:w="9360"/>
            <w:tcBorders>
              <w:top w:val="single" w:color="CCCCCC" w:sz="1"/>
              <w:left w:val="single" w:color="CCCCCC" w:sz="1"/>
              <w:bottom w:val="single" w:color="CCCCCC" w:sz="1"/>
              <w:right w:val="single" w:color="CCCCCC" w:sz="1"/>
            </w:tcBorders>
            <w:shd w:fill="FDF3DC" w:val="clear"/>
            <w:tcMar>
              <w:top w:type="dxa" w:w="80"/>
              <w:left w:type="dxa" w:w="160"/>
              <w:bottom w:type="dxa" w:w="80"/>
              <w:right w:type="dxa" w:w="160"/>
            </w:tcMar>
          </w:tcPr>
          <w:p>
            <w:r>
              <w:rPr>
                <w:rFonts w:ascii="Arial" w:cs="Arial" w:eastAsia="Arial" w:hAnsi="Arial"/>
                <w:sz w:val="21"/>
                <w:szCs w:val="21"/>
              </w:rPr>
              <w:t xml:space="preserve">  4. A dedicated Observer build session is scheduled</w:t>
            </w:r>
          </w:p>
        </w:tc>
      </w:tr>
      <w:tr>
        <w:tc>
          <w:tcPr>
            <w:tcW w:type="dxa" w:w="9360"/>
            <w:tcBorders>
              <w:top w:val="single" w:color="CCCCCC" w:sz="1"/>
              <w:left w:val="single" w:color="CCCCCC" w:sz="1"/>
              <w:bottom w:val="single" w:color="CCCCCC" w:sz="1"/>
              <w:right w:val="single" w:color="CCCCCC" w:sz="1"/>
            </w:tcBorders>
            <w:shd w:fill="FDF3DC" w:val="clear"/>
            <w:tcMar>
              <w:top w:type="dxa" w:w="80"/>
              <w:left w:type="dxa" w:w="160"/>
              <w:bottom w:type="dxa" w:w="80"/>
              <w:right w:type="dxa" w:w="160"/>
            </w:tcMar>
          </w:tcPr>
          <w:p>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shd w:fill="FDF3DC" w:val="clear"/>
            <w:tcMar>
              <w:top w:type="dxa" w:w="80"/>
              <w:left w:type="dxa" w:w="160"/>
              <w:bottom w:type="dxa" w:w="80"/>
              <w:right w:type="dxa" w:w="160"/>
            </w:tcMar>
          </w:tcPr>
          <w:p>
            <w:r>
              <w:rPr>
                <w:rFonts w:ascii="Arial" w:cs="Arial" w:eastAsia="Arial" w:hAnsi="Arial"/>
                <w:sz w:val="21"/>
                <w:szCs w:val="21"/>
              </w:rPr>
              <w:t xml:space="preserve">Building the Observer before these gates pass wastes the build.</w:t>
            </w:r>
          </w:p>
        </w:tc>
      </w:tr>
      <w:tr>
        <w:tc>
          <w:tcPr>
            <w:tcW w:type="dxa" w:w="9360"/>
            <w:tcBorders>
              <w:top w:val="single" w:color="CCCCCC" w:sz="1"/>
              <w:left w:val="single" w:color="CCCCCC" w:sz="1"/>
              <w:bottom w:val="single" w:color="CCCCCC" w:sz="1"/>
              <w:right w:val="single" w:color="CCCCCC" w:sz="1"/>
            </w:tcBorders>
            <w:shd w:fill="FDF3DC" w:val="clear"/>
            <w:tcMar>
              <w:top w:type="dxa" w:w="80"/>
              <w:left w:type="dxa" w:w="160"/>
              <w:bottom w:type="dxa" w:w="80"/>
              <w:right w:type="dxa" w:w="160"/>
            </w:tcMar>
          </w:tcPr>
          <w:p>
            <w:r>
              <w:rPr>
                <w:rFonts w:ascii="Arial" w:cs="Arial" w:eastAsia="Arial" w:hAnsi="Arial"/>
                <w:sz w:val="21"/>
                <w:szCs w:val="21"/>
              </w:rPr>
              <w:t xml:space="preserve">The Observer is only as good as the data it watches.</w:t>
            </w:r>
          </w:p>
        </w:tc>
      </w:tr>
    </w:tbl>
    <w:p>
      <w:pPr>
        <w:spacing w:before="60" w:after="60"/>
      </w:pPr>
      <w:r>
        <w:t xml:space="preserve"/>
      </w:r>
    </w:p>
    <w:p>
      <w:pPr>
        <w:pStyle w:val="Heading1"/>
        <w:pBdr>
          <w:bottom w:val="single" w:color="C9A84C" w:sz="6" w:space="4"/>
        </w:pBdr>
        <w:spacing w:before="360" w:after="180"/>
      </w:pPr>
      <w:r>
        <w:rPr>
          <w:rFonts w:ascii="Arial" w:cs="Arial" w:eastAsia="Arial" w:hAnsi="Arial"/>
          <w:b/>
          <w:bCs/>
          <w:color w:val="1B2A47"/>
          <w:sz w:val="32"/>
          <w:szCs w:val="32"/>
        </w:rPr>
        <w:t xml:space="preserve">8. PERMANENT DESIGN DECISIONS</w:t>
      </w:r>
    </w:p>
    <w:p>
      <w:pPr>
        <w:spacing w:before="60" w:after="60"/>
      </w:pPr>
      <w:r>
        <w:t xml:space="preserve"/>
      </w:r>
    </w:p>
    <w:p>
      <w:pPr>
        <w:spacing w:before="80" w:after="80"/>
        <w:jc w:val="left"/>
      </w:pPr>
      <w:r>
        <w:rPr>
          <w:rFonts w:ascii="Arial" w:cs="Arial" w:eastAsia="Arial" w:hAnsi="Arial"/>
          <w:b w:val="false"/>
          <w:bCs w:val="false"/>
          <w:i w:val="false"/>
          <w:iCs w:val="false"/>
          <w:color w:val="000000"/>
          <w:sz w:val="22"/>
          <w:szCs w:val="22"/>
        </w:rPr>
        <w:t xml:space="preserve">The following decisions were made during the concept build and are locked. They do not change without a new concept session and document revision.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7"/>
                <w:sz w:val="21"/>
                <w:szCs w:val="21"/>
              </w:rPr>
              <w:t xml:space="preserve">DECISION 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 Observer is passive in Phase 1. No autonomous trading actions except BLACK level halt. This is not a limitation — it is intentional. An Observer that acts without sufficient trust data creates more risk than it prevents.</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7"/>
                <w:sz w:val="21"/>
                <w:szCs w:val="21"/>
              </w:rPr>
              <w:t xml:space="preserve">DECISION 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Calibration is mandatory. There is no shortcut. The Observer does not alert until it knows what normal looks like. Alert fatigue is a critical failure mode that this decision prevents.</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7"/>
                <w:sz w:val="21"/>
                <w:szCs w:val="21"/>
              </w:rPr>
              <w:t xml:space="preserve">DECISION 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 Observer watches behavior, not just outcomes. Win rate is an outcome. Trade frequency, session timing, regime alignment — these are behaviors. Behavioral drift often precedes outcome deterioration. Catching it early is the Observer's primary value.</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7"/>
                <w:sz w:val="21"/>
                <w:szCs w:val="21"/>
              </w:rPr>
              <w:t xml:space="preserve">DECISION 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Every alert includes context. Not just 'WR dropped.' Context: current regime, last 10 trades, historical baseline comparison, Observer's interpretation. Jorge makes better decisions with context than without it.</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7"/>
                <w:sz w:val="21"/>
                <w:szCs w:val="21"/>
              </w:rPr>
              <w:t xml:space="preserve">DECISION 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 Observer's accuracy is tracked and self-reported. It is accountable for its own alert quality. A system that is not accountable for false positives will generate them freely.</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A47"/>
                <w:sz w:val="21"/>
                <w:szCs w:val="21"/>
              </w:rPr>
              <w:t xml:space="preserve">DECISION 6</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 Observer has no knowledge of strategy logic. It knows results, not reasoning. This prevents it from second-guessing trade decisions and keeps its scope clean.</w:t>
            </w:r>
          </w:p>
        </w:tc>
      </w:tr>
    </w:tbl>
    <w:p>
      <w:pPr>
        <w:spacing w:before="60" w:after="60"/>
      </w:pPr>
      <w:r>
        <w:t xml:space="preserve"/>
      </w:r>
    </w:p>
    <w:p>
      <w:pPr>
        <w:spacing w:before="60" w:after="60"/>
      </w:pPr>
      <w:r>
        <w:t xml:space="preserve"/>
      </w:r>
    </w:p>
    <w:p>
      <w:pPr>
        <w:pBdr>
          <w:top w:val="single" w:color="C9A84C" w:sz="4" w:space="6"/>
        </w:pBdr>
        <w:spacing w:before="240" w:after="120"/>
        <w:jc w:val="center"/>
      </w:pPr>
      <w:r>
        <w:rPr>
          <w:rFonts w:ascii="Arial" w:cs="Arial" w:eastAsia="Arial" w:hAnsi="Arial"/>
          <w:i/>
          <w:iCs/>
          <w:color w:val="5A6475"/>
          <w:sz w:val="18"/>
          <w:szCs w:val="18"/>
        </w:rPr>
        <w:t xml:space="preserve">NEXUS CAPITAL — THE OBSERVER — Concept Build v1.0 — March 2026</w:t>
      </w:r>
    </w:p>
    <w:p>
      <w:pPr>
        <w:spacing w:before="0" w:after="0"/>
        <w:jc w:val="center"/>
      </w:pPr>
      <w:r>
        <w:rPr>
          <w:rFonts w:ascii="Arial" w:cs="Arial" w:eastAsia="Arial" w:hAnsi="Arial"/>
          <w:i/>
          <w:iCs/>
          <w:color w:val="5A6475"/>
          <w:sz w:val="18"/>
          <w:szCs w:val="18"/>
        </w:rPr>
        <w:t xml:space="preserve">60 Requirements | Layer 7 Sub-System | Hub Build — Phase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90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2A47"/>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B2A4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2026-03-22T01:48:27.841Z</dcterms:created>
  <dcterms:modified xsi:type="dcterms:W3CDTF">2026-03-22T01:48:27.842Z</dcterms:modified>
</cp:coreProperties>
</file>

<file path=docProps/custom.xml><?xml version="1.0" encoding="utf-8"?>
<Properties xmlns="http://schemas.openxmlformats.org/officeDocument/2006/custom-properties" xmlns:vt="http://schemas.openxmlformats.org/officeDocument/2006/docPropsVTypes"/>
</file>