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Orange Beach Investment Master Plan — V6.3</w:t>
      </w:r>
    </w:p>
    <w:p>
      <w:pPr>
        <w:pStyle w:val="BodyText"/>
      </w:pPr>
      <w:r>
        <w:t xml:space="preserve">Assumption Set: [ref.metadata.assumptionSet] | Control Owner: [ref.metadata.controlOwner] | Generated On: [ref.metadata.generatedOn]</w:t>
      </w:r>
    </w:p>
    <w:p>
      <w:r>
        <w:pict>
          <v:rect style="width:0;height:1.5pt" o:hralign="center" o:hrstd="t" o:hr="t"/>
        </w:pict>
      </w:r>
    </w:p>
    <w:bookmarkStart w:id="20" w:name="strategic-intent-and-portfolio-vision"/>
    <w:p>
      <w:pPr>
        <w:pStyle w:val="Heading2"/>
      </w:pPr>
      <w:r>
        <w:t xml:space="preserve">Strategic Intent and Portfolio Vision</w:t>
      </w:r>
    </w:p>
    <w:p>
      <w:pPr>
        <w:pStyle w:val="FirstParagraph"/>
      </w:pPr>
      <w:r>
        <w:t xml:space="preserve">The Orange Beach Investment Master Plan defines the full strategic and operational architecture for the seven‑unit short‑term‑rental portfolio. The plan governs acquisition pacing, refinance sequencing, cash‑flow management, and operational standards. It integrates data from [ref.metadata.document] and [ref.metadata.assumptionSet] to ensure every numerical reference remains dynamic and consistent.</w:t>
      </w:r>
    </w:p>
    <w:p>
      <w:pPr>
        <w:pStyle w:val="BodyText"/>
      </w:pPr>
      <w:r>
        <w:rPr>
          <w:b/>
          <w:bCs/>
        </w:rPr>
        <w:t xml:space="preserve">Mission:</w:t>
      </w:r>
      <w:r>
        <w:t xml:space="preserve"> </w:t>
      </w:r>
      <w:r>
        <w:t xml:space="preserve">Build a resilient, self‑funding Orange Beach STR portfolio that compounds equity through disciplined refinancing and capital reinvestment while maintaining institutional‑grade liquidity and risk control.</w:t>
      </w:r>
    </w:p>
    <w:p>
      <w:pPr>
        <w:pStyle w:val="BodyText"/>
      </w:pPr>
      <w:r>
        <w:rPr>
          <w:b/>
          <w:bCs/>
        </w:rPr>
        <w:t xml:space="preserve">Objectives:</w:t>
      </w:r>
      <w:r>
        <w:t xml:space="preserve"> </w:t>
      </w:r>
      <w:r>
        <w:t xml:space="preserve">1. Achieve a seven‑unit, two‑bedroom baseline portfolio.</w:t>
      </w:r>
      <w:r>
        <w:t xml:space="preserve"> </w:t>
      </w:r>
      <w:r>
        <w:t xml:space="preserve">2. Preserve liquidity coverage equal to [ref.formulas.liquidityRequired] at all times.</w:t>
      </w:r>
      <w:r>
        <w:t xml:space="preserve"> </w:t>
      </w:r>
      <w:r>
        <w:t xml:space="preserve">3. Enforce refi governance at LTV ≤ [ref.constants.acquisition.refiTriggerLTV] and DSCR ≥ [ref.constants.acquisition.dscrThresholdForRefi].</w:t>
      </w:r>
      <w:r>
        <w:t xml:space="preserve"> </w:t>
      </w:r>
      <w:r>
        <w:t xml:space="preserve">4. Limit leverage expansion through the 3‑year per‑property refi cooldown.</w:t>
      </w:r>
    </w:p>
    <w:p>
      <w:r>
        <w:pict>
          <v:rect style="width:0;height:1.5pt" o:hralign="center" o:hrstd="t" o:hr="t"/>
        </w:pict>
      </w:r>
    </w:p>
    <w:bookmarkEnd w:id="20"/>
    <w:bookmarkStart w:id="21" w:name="financial-framework-and-capital-flow"/>
    <w:p>
      <w:pPr>
        <w:pStyle w:val="Heading2"/>
      </w:pPr>
      <w:r>
        <w:t xml:space="preserve">Financial Framework and Capital Flow</w:t>
      </w:r>
    </w:p>
    <w:p>
      <w:pPr>
        <w:pStyle w:val="FirstParagraph"/>
      </w:pPr>
      <w:r>
        <w:t xml:space="preserve">Annual savings available for STR investment: [ref.constants.financial.annualSavings]. All acquisitions follow a</w:t>
      </w:r>
      <w:r>
        <w:t xml:space="preserve"> </w:t>
      </w:r>
      <w:r>
        <w:rPr>
          <w:b/>
          <w:bCs/>
        </w:rPr>
        <w:t xml:space="preserve">funding‑driven cadence</w:t>
      </w:r>
      <w:r>
        <w:t xml:space="preserve">—no purchase may occur until available capital meets total requirements for down payment, closing, and liquidity reserves.</w:t>
      </w:r>
    </w:p>
    <w:p>
      <w:pPr>
        <w:pStyle w:val="BodyText"/>
      </w:pPr>
      <w:r>
        <w:rPr>
          <w:b/>
          <w:bCs/>
        </w:rPr>
        <w:t xml:space="preserve">Capital Flow Sequence:</w:t>
      </w:r>
      <w:r>
        <w:t xml:space="preserve"> </w:t>
      </w:r>
      <w:r>
        <w:t xml:space="preserve">1. Annual savings accumulate until the acquisition gate clears.</w:t>
      </w:r>
      <w:r>
        <w:t xml:space="preserve"> </w:t>
      </w:r>
      <w:r>
        <w:t xml:space="preserve">2. Down payment = [ref.constants.financial.downPayment] × target unit price.</w:t>
      </w:r>
      <w:r>
        <w:t xml:space="preserve"> </w:t>
      </w:r>
      <w:r>
        <w:t xml:space="preserve">3. Closing cost = [ref.constants.acquisition.closingCostPct] × purchase price.</w:t>
      </w:r>
      <w:r>
        <w:t xml:space="preserve"> </w:t>
      </w:r>
      <w:r>
        <w:t xml:space="preserve">4. Post‑close liquidity = [ref.formulas.liquidityRequired].</w:t>
      </w:r>
    </w:p>
    <w:p>
      <w:pPr>
        <w:pStyle w:val="BodyText"/>
      </w:pPr>
      <w:r>
        <w:t xml:space="preserve">No property may be acquired unless post‑purchase reserves remain fully funded. Surplus capital after reserves may be allocated toward prepayment only when the portfolio is below [ref.constants.acquisition.portfolioCapUnits] units.</w:t>
      </w:r>
    </w:p>
    <w:p>
      <w:r>
        <w:pict>
          <v:rect style="width:0;height:1.5pt" o:hralign="center" o:hrstd="t" o:hr="t"/>
        </w:pict>
      </w:r>
    </w:p>
    <w:bookmarkEnd w:id="21"/>
    <w:bookmarkStart w:id="22" w:name="acquisition-logic"/>
    <w:p>
      <w:pPr>
        <w:pStyle w:val="Heading2"/>
      </w:pPr>
      <w:r>
        <w:t xml:space="preserve">Acquisition Logic</w:t>
      </w:r>
    </w:p>
    <w:p>
      <w:pPr>
        <w:pStyle w:val="FirstParagraph"/>
      </w:pPr>
      <w:r>
        <w:t xml:space="preserve">Purchases follow capital availability, not preset timing. Eligibility requires satisfaction of all gating conditions:</w:t>
      </w:r>
      <w:r>
        <w:t xml:space="preserve"> </w:t>
      </w:r>
      <w:r>
        <w:t xml:space="preserve">- Cash on hand ≥ down payment + closing + liquidity reserve.</w:t>
      </w:r>
      <w:r>
        <w:t xml:space="preserve"> </w:t>
      </w:r>
      <w:r>
        <w:t xml:space="preserve">- Purchase price ≤ [ref.constants.parity.unitTypes.2BR.buyZoneMax].</w:t>
      </w:r>
      <w:r>
        <w:t xml:space="preserve"> </w:t>
      </w:r>
      <w:r>
        <w:t xml:space="preserve">- Post‑purchase LTV ≤ [ref.constants.acquisition.maxPostRefiLTV].</w:t>
      </w:r>
    </w:p>
    <w:p>
      <w:pPr>
        <w:pStyle w:val="BodyText"/>
      </w:pPr>
      <w:r>
        <w:t xml:space="preserve">Upon each closing, liquidity is re‑tested per policy and fully funded before any discretionary spending.</w:t>
      </w:r>
    </w:p>
    <w:p>
      <w:r>
        <w:pict>
          <v:rect style="width:0;height:1.5pt" o:hralign="center" o:hrstd="t" o:hr="t"/>
        </w:pict>
      </w:r>
    </w:p>
    <w:bookmarkEnd w:id="22"/>
    <w:bookmarkStart w:id="23" w:name="refinance-and-feeder-logic"/>
    <w:p>
      <w:pPr>
        <w:pStyle w:val="Heading2"/>
      </w:pPr>
      <w:r>
        <w:t xml:space="preserve">Refinance and Feeder Logic</w:t>
      </w:r>
    </w:p>
    <w:p>
      <w:pPr>
        <w:pStyle w:val="FirstParagraph"/>
      </w:pPr>
      <w:r>
        <w:t xml:space="preserve">Refinances are executed only when all criteria are satisfied:</w:t>
      </w:r>
      <w:r>
        <w:t xml:space="preserve"> </w:t>
      </w:r>
      <w:r>
        <w:t xml:space="preserve">- LTV ≤ [ref.constants.acquisition.refiTriggerLTV]</w:t>
      </w:r>
      <w:r>
        <w:t xml:space="preserve"> </w:t>
      </w:r>
      <w:r>
        <w:t xml:space="preserve">- DSCR ≥ [ref.constants.acquisition.dscrThresholdForRefi]</w:t>
      </w:r>
      <w:r>
        <w:t xml:space="preserve"> </w:t>
      </w:r>
      <w:r>
        <w:t xml:space="preserve">- ≥ [ref.constants.acquisition.refiCooldownYears] years since last refi</w:t>
      </w:r>
    </w:p>
    <w:p>
      <w:pPr>
        <w:pStyle w:val="BodyText"/>
      </w:pPr>
      <w:r>
        <w:rPr>
          <w:b/>
          <w:bCs/>
        </w:rPr>
        <w:t xml:space="preserve">Feeder Rule:</w:t>
      </w:r>
      <w:r>
        <w:t xml:space="preserve"> </w:t>
      </w:r>
      <w:r>
        <w:t xml:space="preserve">The lowest‑LTV property becomes the Feeder and receives all discretionary principal payments. After each successful refinance, rotation advances to the next lowest‑LTV property.</w:t>
      </w:r>
    </w:p>
    <w:p>
      <w:pPr>
        <w:pStyle w:val="BodyText"/>
      </w:pPr>
      <w:r>
        <w:t xml:space="preserve">Post‑refi LTV may not exceed [ref.constants.acquisition.maxPostRefiLTV]. All refi proceeds enter the acquisition pool for future deployments under the same liquidity and capital gates.</w:t>
      </w:r>
    </w:p>
    <w:p>
      <w:r>
        <w:pict>
          <v:rect style="width:0;height:1.5pt" o:hralign="center" o:hrstd="t" o:hr="t"/>
        </w:pict>
      </w:r>
    </w:p>
    <w:bookmarkEnd w:id="23"/>
    <w:bookmarkStart w:id="24" w:name="cash-waterfall"/>
    <w:p>
      <w:pPr>
        <w:pStyle w:val="Heading2"/>
      </w:pPr>
      <w:r>
        <w:t xml:space="preserve">Cash Waterfall</w:t>
      </w:r>
    </w:p>
    <w:p>
      <w:pPr>
        <w:pStyle w:val="FirstParagraph"/>
      </w:pPr>
      <w:r>
        <w:rPr>
          <w:b/>
          <w:bCs/>
        </w:rPr>
        <w:t xml:space="preserve">Priority Order:</w:t>
      </w:r>
      <w:r>
        <w:t xml:space="preserve"> </w:t>
      </w:r>
      <w:r>
        <w:t xml:space="preserve">1. Operating costs (HOA, insurance, taxes, management, cleaning)</w:t>
      </w:r>
      <w:r>
        <w:t xml:space="preserve"> </w:t>
      </w:r>
      <w:r>
        <w:t xml:space="preserve">2. Maintenance and CapEx reserve: [ref.constants.operations.maintenanceCapexReservePct] × gross revenue</w:t>
      </w:r>
      <w:r>
        <w:t xml:space="preserve"> </w:t>
      </w:r>
      <w:r>
        <w:t xml:space="preserve">3. Rainy‑day reserve: [ref.constants.operations.rainyDayMonths] months of fixed expenses</w:t>
      </w:r>
      <w:r>
        <w:t xml:space="preserve"> </w:t>
      </w:r>
      <w:r>
        <w:t xml:space="preserve">4. Liquidity buffer: [ref.formulas.liquidityRequired]</w:t>
      </w:r>
      <w:r>
        <w:t xml:space="preserve"> </w:t>
      </w:r>
      <w:r>
        <w:t xml:space="preserve">5. Acquisition pool: accumulation toward next eligible purchase</w:t>
      </w:r>
      <w:r>
        <w:t xml:space="preserve"> </w:t>
      </w:r>
      <w:r>
        <w:t xml:space="preserve">6. Prepayment (Feeder principal) after portfolio cap achieved</w:t>
      </w:r>
    </w:p>
    <w:p>
      <w:r>
        <w:pict>
          <v:rect style="width:0;height:1.5pt" o:hralign="center" o:hrstd="t" o:hr="t"/>
        </w:pict>
      </w:r>
    </w:p>
    <w:bookmarkEnd w:id="24"/>
    <w:bookmarkStart w:id="25" w:name="liquidity-governance"/>
    <w:p>
      <w:pPr>
        <w:pStyle w:val="Heading2"/>
      </w:pPr>
      <w:r>
        <w:t xml:space="preserve">Liquidity Governance</w:t>
      </w:r>
    </w:p>
    <w:p>
      <w:pPr>
        <w:pStyle w:val="FirstParagraph"/>
      </w:pPr>
      <w:r>
        <w:t xml:space="preserve">Required liquidity is computed as [ref.formulas.liquidityRequired]. The liquidity reserve scales with scenario intensity through [ref.scenarios.baseline.operations.liquidityReserveMultiplier] and its scenario variants.</w:t>
      </w:r>
    </w:p>
    <w:p>
      <w:pPr>
        <w:pStyle w:val="BodyText"/>
      </w:pPr>
      <w:r>
        <w:rPr>
          <w:b/>
          <w:bCs/>
        </w:rPr>
        <w:t xml:space="preserve">Enforcement:</w:t>
      </w:r>
      <w:r>
        <w:t xml:space="preserve"> </w:t>
      </w:r>
      <w:r>
        <w:t xml:space="preserve">- No prepay or acquisition if actual liquidity &lt; required liquidity.</w:t>
      </w:r>
      <w:r>
        <w:t xml:space="preserve"> </w:t>
      </w:r>
      <w:r>
        <w:t xml:space="preserve">- Liquidity must be replenished immediately upon withdrawal.</w:t>
      </w:r>
    </w:p>
    <w:p>
      <w:r>
        <w:pict>
          <v:rect style="width:0;height:1.5pt" o:hralign="center" o:hrstd="t" o:hr="t"/>
        </w:pict>
      </w:r>
    </w:p>
    <w:bookmarkEnd w:id="25"/>
    <w:bookmarkStart w:id="29" w:name="operations-standards"/>
    <w:p>
      <w:pPr>
        <w:pStyle w:val="Heading2"/>
      </w:pPr>
      <w:r>
        <w:t xml:space="preserve">Operations Standards</w:t>
      </w:r>
    </w:p>
    <w:bookmarkStart w:id="26" w:name="maintenance-and-capex"/>
    <w:p>
      <w:pPr>
        <w:pStyle w:val="Heading3"/>
      </w:pPr>
      <w:r>
        <w:t xml:space="preserve">Maintenance and CapEx</w:t>
      </w:r>
    </w:p>
    <w:p>
      <w:pPr>
        <w:pStyle w:val="Compact"/>
        <w:numPr>
          <w:ilvl w:val="0"/>
          <w:numId w:val="1001"/>
        </w:numPr>
      </w:pPr>
      <w:r>
        <w:t xml:space="preserve">Preventative inspections quarterly.</w:t>
      </w:r>
    </w:p>
    <w:p>
      <w:pPr>
        <w:pStyle w:val="Compact"/>
        <w:numPr>
          <w:ilvl w:val="0"/>
          <w:numId w:val="1001"/>
        </w:numPr>
      </w:pPr>
      <w:r>
        <w:t xml:space="preserve">Annual review of core systems and appliances.</w:t>
      </w:r>
    </w:p>
    <w:p>
      <w:pPr>
        <w:pStyle w:val="Compact"/>
        <w:numPr>
          <w:ilvl w:val="0"/>
          <w:numId w:val="1001"/>
        </w:numPr>
      </w:pPr>
      <w:r>
        <w:t xml:space="preserve">CapEx reserve = [ref.constants.operations.maintenanceCapexReservePct] of gross revenue per property.</w:t>
      </w:r>
    </w:p>
    <w:bookmarkEnd w:id="26"/>
    <w:bookmarkStart w:id="27" w:name="cleaning-protocol"/>
    <w:p>
      <w:pPr>
        <w:pStyle w:val="Heading3"/>
      </w:pPr>
      <w:r>
        <w:t xml:space="preserve">Cleaning Protocol</w:t>
      </w:r>
    </w:p>
    <w:p>
      <w:pPr>
        <w:pStyle w:val="Compact"/>
        <w:numPr>
          <w:ilvl w:val="0"/>
          <w:numId w:val="1002"/>
        </w:numPr>
      </w:pPr>
      <w:r>
        <w:t xml:space="preserve">Each cleaning logged with timestamp and completion checklist.</w:t>
      </w:r>
    </w:p>
    <w:p>
      <w:pPr>
        <w:pStyle w:val="Compact"/>
        <w:numPr>
          <w:ilvl w:val="0"/>
          <w:numId w:val="1002"/>
        </w:numPr>
      </w:pPr>
      <w:r>
        <w:t xml:space="preserve">Cleaning vendor pay tier and scope set by owner.</w:t>
      </w:r>
    </w:p>
    <w:bookmarkEnd w:id="27"/>
    <w:bookmarkStart w:id="28" w:name="guest-experience-and-marketing"/>
    <w:p>
      <w:pPr>
        <w:pStyle w:val="Heading3"/>
      </w:pPr>
      <w:r>
        <w:t xml:space="preserve">Guest Experience and Marketing</w:t>
      </w:r>
    </w:p>
    <w:p>
      <w:pPr>
        <w:pStyle w:val="Compact"/>
        <w:numPr>
          <w:ilvl w:val="0"/>
          <w:numId w:val="1003"/>
        </w:numPr>
      </w:pPr>
      <w:r>
        <w:t xml:space="preserve">Professional photography refreshed as directed by owner.</w:t>
      </w:r>
    </w:p>
    <w:p>
      <w:pPr>
        <w:pStyle w:val="Compact"/>
        <w:numPr>
          <w:ilvl w:val="0"/>
          <w:numId w:val="1003"/>
        </w:numPr>
      </w:pPr>
      <w:r>
        <w:t xml:space="preserve">Listings maintained on at least two OTA platforms.</w:t>
      </w:r>
    </w:p>
    <w:p>
      <w:pPr>
        <w:pStyle w:val="Compact"/>
        <w:numPr>
          <w:ilvl w:val="0"/>
          <w:numId w:val="1003"/>
        </w:numPr>
      </w:pPr>
      <w:r>
        <w:t xml:space="preserve">Direct booking site optional for Phase 2.</w:t>
      </w:r>
    </w:p>
    <w:p>
      <w:pPr>
        <w:pStyle w:val="Compact"/>
        <w:numPr>
          <w:ilvl w:val="0"/>
          <w:numId w:val="1003"/>
        </w:numPr>
      </w:pPr>
      <w:r>
        <w:t xml:space="preserve">Paid promotion strategy reviewed by owner per property.</w:t>
      </w:r>
    </w:p>
    <w:p>
      <w:pPr>
        <w:pStyle w:val="FirstParagraph"/>
      </w:pPr>
      <w:r>
        <w:t xml:space="preserve">These standards sustain occupancy and ADR assumptions ([ref.constants.operations.occupancyBaseline], [ref.constants.operations.adrBaseline2BR]). Deviations trigger repricing or model updates.</w:t>
      </w:r>
    </w:p>
    <w:p>
      <w:r>
        <w:pict>
          <v:rect style="width:0;height:1.5pt" o:hralign="center" o:hrstd="t" o:hr="t"/>
        </w:pict>
      </w:r>
    </w:p>
    <w:bookmarkEnd w:id="28"/>
    <w:bookmarkEnd w:id="29"/>
    <w:bookmarkStart w:id="30" w:name="scenario-framework"/>
    <w:p>
      <w:pPr>
        <w:pStyle w:val="Heading2"/>
      </w:pPr>
      <w:r>
        <w:t xml:space="preserve">Scenario Framework</w:t>
      </w:r>
    </w:p>
    <w:tbl>
      <w:tblPr>
        <w:tblStyle w:val="Table"/>
        <w:tblW w:type="pct" w:w="5000"/>
        <w:tblLayout w:type="fixed"/>
        <w:tblLook w:firstRow="1" w:lastRow="0" w:firstColumn="0" w:lastColumn="0" w:noHBand="0" w:noVBand="0" w:val="0020"/>
      </w:tblPr>
      <w:tblGrid>
        <w:gridCol w:w="691"/>
        <w:gridCol w:w="880"/>
        <w:gridCol w:w="817"/>
        <w:gridCol w:w="1005"/>
        <w:gridCol w:w="942"/>
        <w:gridCol w:w="880"/>
        <w:gridCol w:w="377"/>
        <w:gridCol w:w="1382"/>
        <w:gridCol w:w="942"/>
      </w:tblGrid>
      <w:tr>
        <w:trPr>
          <w:tblHeader w:val="on"/>
        </w:trPr>
        <w:tc>
          <w:tcPr/>
          <w:p>
            <w:pPr>
              <w:pStyle w:val="Compact"/>
            </w:pPr>
            <w:r>
              <w:t xml:space="preserve">Scenario</w:t>
            </w:r>
          </w:p>
        </w:tc>
        <w:tc>
          <w:tcPr/>
          <w:p>
            <w:pPr>
              <w:pStyle w:val="Compact"/>
            </w:pPr>
            <w:r>
              <w:t xml:space="preserve">Appreciation</w:t>
            </w:r>
          </w:p>
        </w:tc>
        <w:tc>
          <w:tcPr/>
          <w:p>
            <w:pPr>
              <w:pStyle w:val="Compact"/>
            </w:pPr>
            <w:r>
              <w:t xml:space="preserve">ADR Growth</w:t>
            </w:r>
          </w:p>
        </w:tc>
        <w:tc>
          <w:tcPr/>
          <w:p>
            <w:pPr>
              <w:pStyle w:val="Compact"/>
            </w:pPr>
            <w:r>
              <w:t xml:space="preserve">Mortgage Rate</w:t>
            </w:r>
          </w:p>
        </w:tc>
        <w:tc>
          <w:tcPr/>
          <w:p>
            <w:pPr>
              <w:pStyle w:val="Compact"/>
            </w:pPr>
            <w:r>
              <w:t xml:space="preserve">Down Payment</w:t>
            </w:r>
          </w:p>
        </w:tc>
        <w:tc>
          <w:tcPr/>
          <w:p>
            <w:pPr>
              <w:pStyle w:val="Compact"/>
            </w:pPr>
            <w:r>
              <w:t xml:space="preserve">LTV Trigger</w:t>
            </w:r>
          </w:p>
        </w:tc>
        <w:tc>
          <w:tcPr/>
          <w:p>
            <w:pPr>
              <w:pStyle w:val="Compact"/>
            </w:pPr>
            <w:r>
              <w:t xml:space="preserve">DSCR</w:t>
            </w:r>
          </w:p>
        </w:tc>
        <w:tc>
          <w:tcPr/>
          <w:p>
            <w:pPr>
              <w:pStyle w:val="Compact"/>
            </w:pPr>
            <w:r>
              <w:t xml:space="preserve">Liquidity Multiplier</w:t>
            </w:r>
          </w:p>
        </w:tc>
        <w:tc>
          <w:tcPr/>
          <w:p>
            <w:pPr>
              <w:pStyle w:val="Compact"/>
            </w:pPr>
            <w:r>
              <w:t xml:space="preserve">Exit Cap Rate</w:t>
            </w:r>
          </w:p>
        </w:tc>
      </w:tr>
      <w:tr>
        <w:tc>
          <w:tcPr/>
          <w:p>
            <w:pPr>
              <w:pStyle w:val="Compact"/>
            </w:pPr>
            <w:r>
              <w:t xml:space="preserve">Baseline</w:t>
            </w:r>
          </w:p>
        </w:tc>
        <w:tc>
          <w:tcPr/>
          <w:p>
            <w:pPr>
              <w:pStyle w:val="Compact"/>
            </w:pPr>
            <w:r>
              <w:t xml:space="preserve">[ref.scenarios.baseline.financial.appreciationRate]</w:t>
            </w:r>
          </w:p>
        </w:tc>
        <w:tc>
          <w:tcPr/>
          <w:p>
            <w:pPr>
              <w:pStyle w:val="Compact"/>
            </w:pPr>
            <w:r>
              <w:t xml:space="preserve">[ref.scenarios.baseline.revenue.adrGrowthPct]</w:t>
            </w:r>
          </w:p>
        </w:tc>
        <w:tc>
          <w:tcPr/>
          <w:p>
            <w:pPr>
              <w:pStyle w:val="Compact"/>
            </w:pPr>
            <w:r>
              <w:t xml:space="preserve">[ref.scenarios.baseline.financial.mortgageRate]</w:t>
            </w:r>
          </w:p>
        </w:tc>
        <w:tc>
          <w:tcPr/>
          <w:p>
            <w:pPr>
              <w:pStyle w:val="Compact"/>
            </w:pPr>
            <w:r>
              <w:t xml:space="preserve">[ref.scenarios.baseline.financial.downPayment.firstUnit]</w:t>
            </w:r>
          </w:p>
        </w:tc>
        <w:tc>
          <w:tcPr/>
          <w:p>
            <w:pPr>
              <w:pStyle w:val="Compact"/>
            </w:pPr>
            <w:r>
              <w:t xml:space="preserve">[ref.constants.acquisition.refiTriggerLTV]</w:t>
            </w:r>
          </w:p>
        </w:tc>
        <w:tc>
          <w:tcPr/>
          <w:p>
            <w:pPr>
              <w:pStyle w:val="Compact"/>
            </w:pPr>
            <w:r>
              <w:t xml:space="preserve">[ref.constants.acquisition.dscrThresholdForRefi]</w:t>
            </w:r>
          </w:p>
        </w:tc>
        <w:tc>
          <w:tcPr/>
          <w:p>
            <w:pPr>
              <w:pStyle w:val="Compact"/>
            </w:pPr>
            <w:r>
              <w:t xml:space="preserve">[ref.scenarios.baseline.operations.liquidityReserveMultiplier]</w:t>
            </w:r>
          </w:p>
        </w:tc>
        <w:tc>
          <w:tcPr/>
          <w:p>
            <w:pPr>
              <w:pStyle w:val="Compact"/>
            </w:pPr>
            <w:r>
              <w:t xml:space="preserve">[ref.scenarios.baseline.valuation.exitCapRate]</w:t>
            </w:r>
          </w:p>
        </w:tc>
      </w:tr>
      <w:tr>
        <w:tc>
          <w:tcPr/>
          <w:p>
            <w:pPr>
              <w:pStyle w:val="Compact"/>
            </w:pPr>
            <w:r>
              <w:t xml:space="preserve">Conservative</w:t>
            </w:r>
          </w:p>
        </w:tc>
        <w:tc>
          <w:tcPr/>
          <w:p>
            <w:pPr>
              <w:pStyle w:val="Compact"/>
            </w:pPr>
            <w:r>
              <w:t xml:space="preserve">[ref.scenarios.conservative.financial.appreciationRate]</w:t>
            </w:r>
          </w:p>
        </w:tc>
        <w:tc>
          <w:tcPr/>
          <w:p>
            <w:pPr>
              <w:pStyle w:val="Compact"/>
            </w:pPr>
            <w:r>
              <w:t xml:space="preserve">[ref.scenarios.conservative.revenue.adrGrowthPct]</w:t>
            </w:r>
          </w:p>
        </w:tc>
        <w:tc>
          <w:tcPr/>
          <w:p>
            <w:pPr>
              <w:pStyle w:val="Compact"/>
            </w:pPr>
            <w:r>
              <w:t xml:space="preserve">[ref.scenarios.conservative.financial.mortgageRate]</w:t>
            </w:r>
          </w:p>
        </w:tc>
        <w:tc>
          <w:tcPr/>
          <w:p>
            <w:pPr>
              <w:pStyle w:val="Compact"/>
            </w:pPr>
            <w:r>
              <w:t xml:space="preserve">[ref.scenarios.conservative.financial.downPayment.firstUnit]</w:t>
            </w:r>
          </w:p>
        </w:tc>
        <w:tc>
          <w:tcPr/>
          <w:p>
            <w:pPr>
              <w:pStyle w:val="Compact"/>
            </w:pPr>
            <w:r>
              <w:t xml:space="preserve">[ref.constants.acquisition.refiTriggerLTV]</w:t>
            </w:r>
          </w:p>
        </w:tc>
        <w:tc>
          <w:tcPr/>
          <w:p>
            <w:pPr>
              <w:pStyle w:val="Compact"/>
            </w:pPr>
            <w:r>
              <w:t xml:space="preserve">[ref.constants.acquisition.dscrThresholdForRefi]</w:t>
            </w:r>
          </w:p>
        </w:tc>
        <w:tc>
          <w:tcPr/>
          <w:p>
            <w:pPr>
              <w:pStyle w:val="Compact"/>
            </w:pPr>
            <w:r>
              <w:t xml:space="preserve">[ref.scenarios.conservative.operations.liquidityReserveMultiplier]</w:t>
            </w:r>
          </w:p>
        </w:tc>
        <w:tc>
          <w:tcPr/>
          <w:p>
            <w:pPr>
              <w:pStyle w:val="Compact"/>
            </w:pPr>
            <w:r>
              <w:t xml:space="preserve">[ref.scenarios.conservative.valuation.exitCapRate]</w:t>
            </w:r>
          </w:p>
        </w:tc>
      </w:tr>
      <w:tr>
        <w:tc>
          <w:tcPr/>
          <w:p>
            <w:pPr>
              <w:pStyle w:val="Compact"/>
            </w:pPr>
            <w:r>
              <w:t xml:space="preserve">Stress</w:t>
            </w:r>
          </w:p>
        </w:tc>
        <w:tc>
          <w:tcPr/>
          <w:p>
            <w:pPr>
              <w:pStyle w:val="Compact"/>
            </w:pPr>
            <w:r>
              <w:t xml:space="preserve">[ref.scenarios.stress.financial.appreciationRate]</w:t>
            </w:r>
          </w:p>
        </w:tc>
        <w:tc>
          <w:tcPr/>
          <w:p>
            <w:pPr>
              <w:pStyle w:val="Compact"/>
            </w:pPr>
            <w:r>
              <w:t xml:space="preserve">[ref.scenarios.stress.revenue.adrGrowthPct]</w:t>
            </w:r>
          </w:p>
        </w:tc>
        <w:tc>
          <w:tcPr/>
          <w:p>
            <w:pPr>
              <w:pStyle w:val="Compact"/>
            </w:pPr>
            <w:r>
              <w:t xml:space="preserve">[ref.scenarios.stress.financial.mortgageRate]</w:t>
            </w:r>
          </w:p>
        </w:tc>
        <w:tc>
          <w:tcPr/>
          <w:p>
            <w:pPr>
              <w:pStyle w:val="Compact"/>
            </w:pPr>
            <w:r>
              <w:t xml:space="preserve">[ref.scenarios.stress.financial.downPayment.firstUnit]</w:t>
            </w:r>
          </w:p>
        </w:tc>
        <w:tc>
          <w:tcPr/>
          <w:p>
            <w:pPr>
              <w:pStyle w:val="Compact"/>
            </w:pPr>
            <w:r>
              <w:t xml:space="preserve">[ref.constants.acquisition.refiTriggerLTV]</w:t>
            </w:r>
          </w:p>
        </w:tc>
        <w:tc>
          <w:tcPr/>
          <w:p>
            <w:pPr>
              <w:pStyle w:val="Compact"/>
            </w:pPr>
            <w:r>
              <w:t xml:space="preserve">[ref.constants.acquisition.dscrThresholdForRefi]</w:t>
            </w:r>
          </w:p>
        </w:tc>
        <w:tc>
          <w:tcPr/>
          <w:p>
            <w:pPr>
              <w:pStyle w:val="Compact"/>
            </w:pPr>
            <w:r>
              <w:t xml:space="preserve">[ref.scenarios.stress.operations.liquidityReserveMultiplier]</w:t>
            </w:r>
          </w:p>
        </w:tc>
        <w:tc>
          <w:tcPr/>
          <w:p>
            <w:pPr>
              <w:pStyle w:val="Compact"/>
            </w:pPr>
            <w:r>
              <w:t xml:space="preserve">[ref.scenarios.stress.valuation.exitCapRate]</w:t>
            </w:r>
          </w:p>
        </w:tc>
      </w:tr>
      <w:tr>
        <w:tc>
          <w:tcPr/>
          <w:p>
            <w:pPr>
              <w:pStyle w:val="Compact"/>
            </w:pPr>
            <w:r>
              <w:t xml:space="preserve">Aggressive</w:t>
            </w:r>
          </w:p>
        </w:tc>
        <w:tc>
          <w:tcPr/>
          <w:p>
            <w:pPr>
              <w:pStyle w:val="Compact"/>
            </w:pPr>
            <w:r>
              <w:t xml:space="preserve">[ref.scenarios.aggressive.financial.appreciationRate]</w:t>
            </w:r>
          </w:p>
        </w:tc>
        <w:tc>
          <w:tcPr/>
          <w:p>
            <w:pPr>
              <w:pStyle w:val="Compact"/>
            </w:pPr>
            <w:r>
              <w:t xml:space="preserve">[ref.scenarios.aggressive.revenue.adrGrowthPct]</w:t>
            </w:r>
          </w:p>
        </w:tc>
        <w:tc>
          <w:tcPr/>
          <w:p>
            <w:pPr>
              <w:pStyle w:val="Compact"/>
            </w:pPr>
            <w:r>
              <w:t xml:space="preserve">[ref.scenarios.aggressive.financial.mortgageRate]</w:t>
            </w:r>
          </w:p>
        </w:tc>
        <w:tc>
          <w:tcPr/>
          <w:p>
            <w:pPr>
              <w:pStyle w:val="Compact"/>
            </w:pPr>
            <w:r>
              <w:t xml:space="preserve">[ref.scenarios.aggressive.financial.downPayment.firstUnit]</w:t>
            </w:r>
          </w:p>
        </w:tc>
        <w:tc>
          <w:tcPr/>
          <w:p>
            <w:pPr>
              <w:pStyle w:val="Compact"/>
            </w:pPr>
            <w:r>
              <w:t xml:space="preserve">[ref.constants.acquisition.refiTriggerLTV]</w:t>
            </w:r>
          </w:p>
        </w:tc>
        <w:tc>
          <w:tcPr/>
          <w:p>
            <w:pPr>
              <w:pStyle w:val="Compact"/>
            </w:pPr>
            <w:r>
              <w:t xml:space="preserve">[ref.constants.acquisition.dscrThresholdForRefi]</w:t>
            </w:r>
          </w:p>
        </w:tc>
        <w:tc>
          <w:tcPr/>
          <w:p>
            <w:pPr>
              <w:pStyle w:val="Compact"/>
            </w:pPr>
            <w:r>
              <w:t xml:space="preserve">[ref.scenarios.aggressive.operations.liquidityReserveMultiplier]</w:t>
            </w:r>
          </w:p>
        </w:tc>
        <w:tc>
          <w:tcPr/>
          <w:p>
            <w:pPr>
              <w:pStyle w:val="Compact"/>
            </w:pPr>
            <w:r>
              <w:t xml:space="preserve">[ref.scenarios.aggressive.valuation.exitCapRate]</w:t>
            </w:r>
          </w:p>
        </w:tc>
      </w:tr>
    </w:tbl>
    <w:p>
      <w:r>
        <w:pict>
          <v:rect style="width:0;height:1.5pt" o:hralign="center" o:hrstd="t" o:hr="t"/>
        </w:pict>
      </w:r>
    </w:p>
    <w:bookmarkEnd w:id="30"/>
    <w:bookmarkStart w:id="31" w:name="governance-matrix"/>
    <w:p>
      <w:pPr>
        <w:pStyle w:val="Heading2"/>
      </w:pPr>
      <w:r>
        <w:t xml:space="preserve">Governance Matrix</w:t>
      </w:r>
    </w:p>
    <w:tbl>
      <w:tblPr>
        <w:tblStyle w:val="Table"/>
        <w:tblW w:type="pct" w:w="5000"/>
        <w:tblLayout w:type="fixed"/>
        <w:tblLook w:firstRow="1" w:lastRow="0" w:firstColumn="0" w:lastColumn="0" w:noHBand="0" w:noVBand="0" w:val="0020"/>
      </w:tblPr>
      <w:tblGrid>
        <w:gridCol w:w="1421"/>
        <w:gridCol w:w="2436"/>
        <w:gridCol w:w="4061"/>
      </w:tblGrid>
      <w:tr>
        <w:trPr>
          <w:tblHeader w:val="on"/>
        </w:trPr>
        <w:tc>
          <w:tcPr/>
          <w:p>
            <w:pPr>
              <w:pStyle w:val="Compact"/>
            </w:pPr>
            <w:r>
              <w:t xml:space="preserve">Item</w:t>
            </w:r>
          </w:p>
        </w:tc>
        <w:tc>
          <w:tcPr/>
          <w:p>
            <w:pPr>
              <w:pStyle w:val="Compact"/>
            </w:pPr>
            <w:r>
              <w:t xml:space="preserve">Frequency</w:t>
            </w:r>
          </w:p>
        </w:tc>
        <w:tc>
          <w:tcPr/>
          <w:p>
            <w:pPr>
              <w:pStyle w:val="Compact"/>
            </w:pPr>
            <w:r>
              <w:t xml:space="preserve">Trigger for Review</w:t>
            </w:r>
          </w:p>
        </w:tc>
      </w:tr>
      <w:tr>
        <w:tc>
          <w:tcPr/>
          <w:p>
            <w:pPr>
              <w:pStyle w:val="Compact"/>
            </w:pPr>
            <w:r>
              <w:t xml:space="preserve">Property NOI</w:t>
            </w:r>
          </w:p>
        </w:tc>
        <w:tc>
          <w:tcPr/>
          <w:p>
            <w:pPr>
              <w:pStyle w:val="Compact"/>
            </w:pPr>
            <w:r>
              <w:t xml:space="preserve">[ref.constants.governance.reviewFrequencies.propertyNOI]</w:t>
            </w:r>
          </w:p>
        </w:tc>
        <w:tc>
          <w:tcPr/>
          <w:p>
            <w:pPr>
              <w:pStyle w:val="Compact"/>
            </w:pPr>
            <w:r>
              <w:t xml:space="preserve">±[ref.constants.governance.propertyNOIVarianceTrigger] from baseline</w:t>
            </w:r>
          </w:p>
        </w:tc>
      </w:tr>
      <w:tr>
        <w:tc>
          <w:tcPr/>
          <w:p>
            <w:pPr>
              <w:pStyle w:val="Compact"/>
            </w:pPr>
            <w:r>
              <w:t xml:space="preserve">LTV per property</w:t>
            </w:r>
          </w:p>
        </w:tc>
        <w:tc>
          <w:tcPr/>
          <w:p>
            <w:pPr>
              <w:pStyle w:val="Compact"/>
            </w:pPr>
            <w:r>
              <w:t xml:space="preserve">[ref.constants.governance.reviewFrequencies.ltvByDoor]</w:t>
            </w:r>
          </w:p>
        </w:tc>
        <w:tc>
          <w:tcPr/>
          <w:p>
            <w:pPr>
              <w:pStyle w:val="Compact"/>
            </w:pPr>
            <w:r>
              <w:t xml:space="preserve">≤ [ref.constants.governance.ltvRefiReadyThreshold] triggers refi review</w:t>
            </w:r>
          </w:p>
        </w:tc>
      </w:tr>
      <w:tr>
        <w:tc>
          <w:tcPr/>
          <w:p>
            <w:pPr>
              <w:pStyle w:val="Compact"/>
            </w:pPr>
            <w:r>
              <w:t xml:space="preserve">HOA / Insurance</w:t>
            </w:r>
          </w:p>
        </w:tc>
        <w:tc>
          <w:tcPr/>
          <w:p>
            <w:pPr>
              <w:pStyle w:val="Compact"/>
            </w:pPr>
            <w:r>
              <w:t xml:space="preserve">[ref.constants.governance.reviewFrequencies.hoaInsurance]</w:t>
            </w:r>
          </w:p>
        </w:tc>
        <w:tc>
          <w:tcPr/>
          <w:p>
            <w:pPr>
              <w:pStyle w:val="Compact"/>
            </w:pPr>
            <w:r>
              <w:t xml:space="preserve">≥ [ref.constants.governance.hoaInsuranceEscalationTrigger] annual increase</w:t>
            </w:r>
          </w:p>
        </w:tc>
      </w:tr>
      <w:tr>
        <w:tc>
          <w:tcPr/>
          <w:p>
            <w:pPr>
              <w:pStyle w:val="Compact"/>
            </w:pPr>
            <w:r>
              <w:t xml:space="preserve">Guest Reviews</w:t>
            </w:r>
          </w:p>
        </w:tc>
        <w:tc>
          <w:tcPr/>
          <w:p>
            <w:pPr>
              <w:pStyle w:val="Compact"/>
            </w:pPr>
            <w:r>
              <w:t xml:space="preserve">[ref.constants.governance.reviewFrequencies.guestReviews]</w:t>
            </w:r>
          </w:p>
        </w:tc>
        <w:tc>
          <w:tcPr/>
          <w:p>
            <w:pPr>
              <w:pStyle w:val="Compact"/>
            </w:pPr>
            <w:r>
              <w:t xml:space="preserve">&lt; [ref.constants.governance.guestReviewMin] average rating</w:t>
            </w:r>
          </w:p>
        </w:tc>
      </w:tr>
      <w:tr>
        <w:tc>
          <w:tcPr/>
          <w:p>
            <w:pPr>
              <w:pStyle w:val="Compact"/>
            </w:pPr>
            <w:r>
              <w:t xml:space="preserve">Personal Bandwidth</w:t>
            </w:r>
          </w:p>
        </w:tc>
        <w:tc>
          <w:tcPr/>
          <w:p>
            <w:pPr>
              <w:pStyle w:val="Compact"/>
            </w:pPr>
            <w:r>
              <w:t xml:space="preserve">[ref.constants.governance.reviewFrequencies.personalBandwidth]</w:t>
            </w:r>
          </w:p>
        </w:tc>
        <w:tc>
          <w:tcPr/>
          <w:p>
            <w:pPr>
              <w:pStyle w:val="Compact"/>
            </w:pPr>
            <w:r>
              <w:t xml:space="preserve">±[ref.constants.governance.personalBandwidthVariance] workload variance</w:t>
            </w:r>
          </w:p>
        </w:tc>
      </w:tr>
    </w:tbl>
    <w:p>
      <w:r>
        <w:pict>
          <v:rect style="width:0;height:1.5pt" o:hralign="center" o:hrstd="t" o:hr="t"/>
        </w:pict>
      </w:r>
    </w:p>
    <w:bookmarkEnd w:id="31"/>
    <w:bookmarkStart w:id="32" w:name="exception-handling"/>
    <w:p>
      <w:pPr>
        <w:pStyle w:val="Heading2"/>
      </w:pPr>
      <w:r>
        <w:t xml:space="preserve">Exception Handling</w:t>
      </w:r>
    </w:p>
    <w:p>
      <w:pPr>
        <w:pStyle w:val="FirstParagraph"/>
      </w:pPr>
      <w:r>
        <w:t xml:space="preserve">If liquidity &lt; required → freeze acquisitions and prepayments until replenished.</w:t>
      </w:r>
      <w:r>
        <w:t xml:space="preserve"> </w:t>
      </w:r>
      <w:r>
        <w:t xml:space="preserve">If DSCR &lt; threshold → suspend refi actions, review pricing and occupancy levers.</w:t>
      </w:r>
      <w:r>
        <w:t xml:space="preserve"> </w:t>
      </w:r>
      <w:r>
        <w:t xml:space="preserve">If HOA/insurance escalation &gt; trigger → initiate budget audit and scenario reassessment.</w:t>
      </w:r>
      <w:r>
        <w:t xml:space="preserve"> </w:t>
      </w:r>
      <w:r>
        <w:t xml:space="preserve">If personal bandwidth variance &gt; limit → postpone acquisitions or offload management tasks.</w:t>
      </w:r>
    </w:p>
    <w:p>
      <w:r>
        <w:pict>
          <v:rect style="width:0;height:1.5pt" o:hralign="center" o:hrstd="t" o:hr="t"/>
        </w:pict>
      </w:r>
    </w:p>
    <w:bookmarkEnd w:id="32"/>
    <w:bookmarkStart w:id="33" w:name="phase-2-placeholder"/>
    <w:p>
      <w:pPr>
        <w:pStyle w:val="Heading2"/>
      </w:pPr>
      <w:r>
        <w:t xml:space="preserve">Phase 2 – Placeholder</w:t>
      </w:r>
    </w:p>
    <w:p>
      <w:pPr>
        <w:pStyle w:val="FirstParagraph"/>
      </w:pPr>
      <w:r>
        <w:t xml:space="preserve">[ref.phasePlaceholders.phase2.description]</w:t>
      </w:r>
    </w:p>
    <w:bookmarkEnd w:id="33"/>
    <w:bookmarkStart w:id="34" w:name="phase-3-placeholder"/>
    <w:p>
      <w:pPr>
        <w:pStyle w:val="Heading2"/>
      </w:pPr>
      <w:r>
        <w:t xml:space="preserve">Phase 3 – Placeholder</w:t>
      </w:r>
    </w:p>
    <w:p>
      <w:pPr>
        <w:pStyle w:val="FirstParagraph"/>
      </w:pPr>
      <w:r>
        <w:t xml:space="preserve">[ref.phasePlaceholders.phase3.description]</w:t>
      </w:r>
    </w:p>
    <w:p>
      <w:r>
        <w:pict>
          <v:rect style="width:0;height:1.5pt" o:hralign="center" o:hrstd="t" o:hr="t"/>
        </w:pict>
      </w:r>
    </w:p>
    <w:bookmarkEnd w:id="34"/>
    <w:bookmarkStart w:id="35" w:name="sourceoftruth-control-lock"/>
    <w:p>
      <w:pPr>
        <w:pStyle w:val="Heading2"/>
      </w:pPr>
      <w:r>
        <w:t xml:space="preserve">Source‑of‑Truth &amp; Control Lock</w:t>
      </w:r>
    </w:p>
    <w:p>
      <w:pPr>
        <w:pStyle w:val="Compact"/>
        <w:numPr>
          <w:ilvl w:val="0"/>
          <w:numId w:val="1004"/>
        </w:numPr>
      </w:pPr>
      <w:r>
        <w:rPr>
          <w:b/>
          <w:bCs/>
        </w:rPr>
        <w:t xml:space="preserve">Purpose of This Document</w:t>
      </w:r>
      <w:r>
        <w:t xml:space="preserve"> </w:t>
      </w:r>
      <w:r>
        <w:t xml:space="preserve">— Defines all strategic and operational logic for the Orange Beach Investment Plan. Contains no numeric values or formulas; those are referenced externally.</w:t>
      </w:r>
    </w:p>
    <w:p>
      <w:pPr>
        <w:pStyle w:val="Compact"/>
        <w:numPr>
          <w:ilvl w:val="0"/>
          <w:numId w:val="1004"/>
        </w:numPr>
      </w:pPr>
      <w:r>
        <w:rPr>
          <w:b/>
          <w:bCs/>
        </w:rPr>
        <w:t xml:space="preserve">Purpose of JSON Constants</w:t>
      </w:r>
      <w:r>
        <w:t xml:space="preserve"> </w:t>
      </w:r>
      <w:r>
        <w:t xml:space="preserve">— Houses all numeric constants, formulas, and scenarios referenced herein.</w:t>
      </w:r>
    </w:p>
    <w:p>
      <w:pPr>
        <w:pStyle w:val="Compact"/>
        <w:numPr>
          <w:ilvl w:val="0"/>
          <w:numId w:val="1004"/>
        </w:numPr>
      </w:pPr>
      <w:r>
        <w:rPr>
          <w:b/>
          <w:bCs/>
        </w:rPr>
        <w:t xml:space="preserve">Control Relationship</w:t>
      </w:r>
      <w:r>
        <w:t xml:space="preserve"> </w:t>
      </w:r>
      <w:r>
        <w:t xml:space="preserve">— DOCX = Logic Authority   |   JSON = Numeric Authority.</w:t>
      </w:r>
    </w:p>
    <w:p>
      <w:pPr>
        <w:pStyle w:val="Compact"/>
        <w:numPr>
          <w:ilvl w:val="0"/>
          <w:numId w:val="1004"/>
        </w:numPr>
      </w:pPr>
      <w:r>
        <w:rPr>
          <w:b/>
          <w:bCs/>
        </w:rPr>
        <w:t xml:space="preserve">Governance</w:t>
      </w:r>
      <w:r>
        <w:t xml:space="preserve"> </w:t>
      </w:r>
      <w:r>
        <w:t xml:space="preserve">— Any structural change requires explicit owner confirmation; JSON modifications must preserve reference names.</w:t>
      </w:r>
    </w:p>
    <w:p>
      <w:pPr>
        <w:pStyle w:val="Compact"/>
        <w:numPr>
          <w:ilvl w:val="0"/>
          <w:numId w:val="1004"/>
        </w:numPr>
      </w:pPr>
      <w:r>
        <w:rPr>
          <w:b/>
          <w:bCs/>
        </w:rPr>
        <w:t xml:space="preserve">Deviation Protocol</w:t>
      </w:r>
      <w:r>
        <w:t xml:space="preserve"> </w:t>
      </w:r>
      <w:r>
        <w:t xml:space="preserve">— Any derivative document that removes or rewrites logic is non‑compliant until approved by the control owner ([ref.metadata.controlOwner]).</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2025-11-01T16:32:48Z</dcterms:created>
  <dcterms:modified xsi:type="dcterms:W3CDTF">2025-11-01T16:32:48Z</dcterms:modified>
</cp:coreProperties>
</file>

<file path=docProps/custom.xml><?xml version="1.0" encoding="utf-8"?>
<Properties xmlns="http://schemas.openxmlformats.org/officeDocument/2006/custom-properties" xmlns:vt="http://schemas.openxmlformats.org/officeDocument/2006/docPropsVTypes"/>
</file>