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9ED1" w14:textId="77777777" w:rsidR="008A0927" w:rsidRDefault="008A0927" w:rsidP="008A092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A467E">
        <w:rPr>
          <w:rFonts w:ascii="Times New Roman" w:hAnsi="Times New Roman" w:cs="Times New Roman"/>
          <w:b/>
          <w:bCs/>
        </w:rPr>
        <w:t>Event Study on Activision Blizzard (ATVI)</w:t>
      </w:r>
    </w:p>
    <w:p w14:paraId="195505B1" w14:textId="425F5F07" w:rsidR="000B7906" w:rsidRPr="000B7906" w:rsidRDefault="000B7906" w:rsidP="008A0927">
      <w:pPr>
        <w:spacing w:line="240" w:lineRule="auto"/>
        <w:jc w:val="center"/>
        <w:rPr>
          <w:rFonts w:ascii="Times New Roman" w:hAnsi="Times New Roman" w:cs="Times New Roman"/>
        </w:rPr>
      </w:pPr>
      <w:r w:rsidRPr="000B7906">
        <w:rPr>
          <w:rFonts w:ascii="Times New Roman" w:hAnsi="Times New Roman" w:cs="Times New Roman"/>
        </w:rPr>
        <w:t xml:space="preserve">By: Andrew Khoury, Jorge Mendez, and Wassef </w:t>
      </w:r>
      <w:proofErr w:type="spellStart"/>
      <w:r w:rsidRPr="000B7906">
        <w:rPr>
          <w:rFonts w:ascii="Times New Roman" w:hAnsi="Times New Roman" w:cs="Times New Roman"/>
        </w:rPr>
        <w:t>Abouelchabab</w:t>
      </w:r>
      <w:proofErr w:type="spellEnd"/>
    </w:p>
    <w:p w14:paraId="22E38AA3" w14:textId="2E500E83" w:rsidR="009C5DFE" w:rsidRDefault="008A0927" w:rsidP="008A0927">
      <w:pPr>
        <w:rPr>
          <w:rFonts w:ascii="Times New Roman" w:hAnsi="Times New Roman" w:cs="Times New Roman"/>
        </w:rPr>
      </w:pPr>
      <w:r w:rsidRPr="001A467E">
        <w:rPr>
          <w:rFonts w:ascii="Times New Roman" w:hAnsi="Times New Roman" w:cs="Times New Roman"/>
        </w:rPr>
        <w:t>On January 18, 2022, Microsoft unexpectedly announced its intention to acquire Activision Blizzard (ATVI) in an all-cash transaction valued at approximately $68.7</w:t>
      </w:r>
      <w:r w:rsidR="00C73497" w:rsidRPr="001A467E">
        <w:rPr>
          <w:rFonts w:ascii="Times New Roman" w:hAnsi="Times New Roman" w:cs="Times New Roman"/>
        </w:rPr>
        <w:t xml:space="preserve"> billion</w:t>
      </w:r>
      <w:r w:rsidR="00563007" w:rsidRPr="001A467E">
        <w:rPr>
          <w:rFonts w:ascii="Times New Roman" w:hAnsi="Times New Roman" w:cs="Times New Roman"/>
        </w:rPr>
        <w:t>. The size of the acquisition</w:t>
      </w:r>
      <w:r w:rsidR="004275F8" w:rsidRPr="001A467E">
        <w:rPr>
          <w:rFonts w:ascii="Times New Roman" w:hAnsi="Times New Roman" w:cs="Times New Roman"/>
        </w:rPr>
        <w:t xml:space="preserve"> and the substantial amount offered marked a significant strategic move by Microsoft i</w:t>
      </w:r>
      <w:r w:rsidR="0001141A" w:rsidRPr="001A467E">
        <w:rPr>
          <w:rFonts w:ascii="Times New Roman" w:hAnsi="Times New Roman" w:cs="Times New Roman"/>
        </w:rPr>
        <w:t>nto the emerging gaming sector</w:t>
      </w:r>
      <w:r w:rsidR="00E815C6" w:rsidRPr="001A467E">
        <w:rPr>
          <w:rFonts w:ascii="Times New Roman" w:hAnsi="Times New Roman" w:cs="Times New Roman"/>
        </w:rPr>
        <w:t xml:space="preserve">. </w:t>
      </w:r>
      <w:r w:rsidR="00C767C3" w:rsidRPr="001A467E">
        <w:rPr>
          <w:rFonts w:ascii="Times New Roman" w:hAnsi="Times New Roman" w:cs="Times New Roman"/>
        </w:rPr>
        <w:t xml:space="preserve">Given the unexpected nature of the announcement and the premium over the prevailing market price of </w:t>
      </w:r>
      <w:r w:rsidR="00245FE0" w:rsidRPr="001A467E">
        <w:rPr>
          <w:rFonts w:ascii="Times New Roman" w:hAnsi="Times New Roman" w:cs="Times New Roman"/>
        </w:rPr>
        <w:t>Activision</w:t>
      </w:r>
      <w:r w:rsidR="00C767C3" w:rsidRPr="001A467E">
        <w:rPr>
          <w:rFonts w:ascii="Times New Roman" w:hAnsi="Times New Roman" w:cs="Times New Roman"/>
        </w:rPr>
        <w:t xml:space="preserve"> Blizzard’s stock, it was anticipated that this event would positively impact </w:t>
      </w:r>
      <w:r w:rsidR="00FA41F3" w:rsidRPr="001A467E">
        <w:rPr>
          <w:rFonts w:ascii="Times New Roman" w:hAnsi="Times New Roman" w:cs="Times New Roman"/>
        </w:rPr>
        <w:t xml:space="preserve">Activision Blizzard’s stock returns. </w:t>
      </w:r>
      <w:r w:rsidR="00374918" w:rsidRPr="001A467E">
        <w:rPr>
          <w:rFonts w:ascii="Times New Roman" w:hAnsi="Times New Roman" w:cs="Times New Roman"/>
        </w:rPr>
        <w:t xml:space="preserve">This study aims to </w:t>
      </w:r>
      <w:r w:rsidR="000D7C96" w:rsidRPr="001A467E">
        <w:rPr>
          <w:rFonts w:ascii="Times New Roman" w:hAnsi="Times New Roman" w:cs="Times New Roman"/>
        </w:rPr>
        <w:t>determine whether the market’s reaction to this acquisition announcement led to ab</w:t>
      </w:r>
      <w:r w:rsidR="00E95379" w:rsidRPr="001A467E">
        <w:rPr>
          <w:rFonts w:ascii="Times New Roman" w:hAnsi="Times New Roman" w:cs="Times New Roman"/>
        </w:rPr>
        <w:t>normal returns</w:t>
      </w:r>
      <w:r w:rsidR="00BF7C78" w:rsidRPr="001A467E">
        <w:rPr>
          <w:rFonts w:ascii="Times New Roman" w:hAnsi="Times New Roman" w:cs="Times New Roman"/>
        </w:rPr>
        <w:t xml:space="preserve"> for Activision Blizzard shareholders.</w:t>
      </w:r>
      <w:r w:rsidR="002F666F" w:rsidRPr="001A467E">
        <w:rPr>
          <w:rFonts w:ascii="Times New Roman" w:hAnsi="Times New Roman" w:cs="Times New Roman"/>
        </w:rPr>
        <w:t xml:space="preserve"> This analysis </w:t>
      </w:r>
      <w:r w:rsidR="00BB1FC2" w:rsidRPr="001A467E">
        <w:rPr>
          <w:rFonts w:ascii="Times New Roman" w:hAnsi="Times New Roman" w:cs="Times New Roman"/>
        </w:rPr>
        <w:t xml:space="preserve">uses </w:t>
      </w:r>
      <w:r w:rsidR="00800EA8" w:rsidRPr="001A467E">
        <w:rPr>
          <w:rFonts w:ascii="Times New Roman" w:hAnsi="Times New Roman" w:cs="Times New Roman"/>
        </w:rPr>
        <w:t>statistical</w:t>
      </w:r>
      <w:r w:rsidR="00BB1FC2" w:rsidRPr="001A467E">
        <w:rPr>
          <w:rFonts w:ascii="Times New Roman" w:hAnsi="Times New Roman" w:cs="Times New Roman"/>
        </w:rPr>
        <w:t xml:space="preserve"> methodologies, </w:t>
      </w:r>
      <w:r w:rsidR="00902765" w:rsidRPr="001A467E">
        <w:rPr>
          <w:rFonts w:ascii="Times New Roman" w:hAnsi="Times New Roman" w:cs="Times New Roman"/>
        </w:rPr>
        <w:t>including t-test</w:t>
      </w:r>
      <w:r w:rsidR="004450D3" w:rsidRPr="001A467E">
        <w:rPr>
          <w:rFonts w:ascii="Times New Roman" w:hAnsi="Times New Roman" w:cs="Times New Roman"/>
        </w:rPr>
        <w:t>, regression models, and abnormal return computations</w:t>
      </w:r>
      <w:r w:rsidR="00403924" w:rsidRPr="001A467E">
        <w:rPr>
          <w:rFonts w:ascii="Times New Roman" w:hAnsi="Times New Roman" w:cs="Times New Roman"/>
        </w:rPr>
        <w:t xml:space="preserve"> to </w:t>
      </w:r>
      <w:r w:rsidR="001A467E" w:rsidRPr="001A467E">
        <w:rPr>
          <w:rFonts w:ascii="Times New Roman" w:hAnsi="Times New Roman" w:cs="Times New Roman"/>
        </w:rPr>
        <w:t>assess</w:t>
      </w:r>
      <w:r w:rsidR="00403924" w:rsidRPr="001A467E">
        <w:rPr>
          <w:rFonts w:ascii="Times New Roman" w:hAnsi="Times New Roman" w:cs="Times New Roman"/>
        </w:rPr>
        <w:t xml:space="preserve"> the announcement’s financial implications. </w:t>
      </w:r>
    </w:p>
    <w:p w14:paraId="2D9FC5B3" w14:textId="53AEA9AB" w:rsidR="001A467E" w:rsidRPr="001A467E" w:rsidRDefault="001A467E" w:rsidP="008A0927">
      <w:pPr>
        <w:rPr>
          <w:rFonts w:ascii="Times New Roman" w:hAnsi="Times New Roman" w:cs="Times New Roman"/>
          <w:b/>
          <w:bCs/>
        </w:rPr>
      </w:pPr>
      <w:r w:rsidRPr="001A467E">
        <w:rPr>
          <w:rFonts w:ascii="Times New Roman" w:hAnsi="Times New Roman" w:cs="Times New Roman"/>
          <w:b/>
          <w:bCs/>
        </w:rPr>
        <w:t>Event and Estimation Windows</w:t>
      </w:r>
    </w:p>
    <w:p w14:paraId="6BFDD58E" w14:textId="07730A03" w:rsidR="001A467E" w:rsidRDefault="001A467E" w:rsidP="008A0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event being studied was publicly announced on January 18, 2022, marking the event date.</w:t>
      </w:r>
      <w:r w:rsidR="008E2A66">
        <w:rPr>
          <w:rFonts w:ascii="Times New Roman" w:hAnsi="Times New Roman" w:cs="Times New Roman"/>
        </w:rPr>
        <w:t xml:space="preserve"> To effectively measure the market’s reaction, </w:t>
      </w:r>
      <w:r w:rsidR="008236E8">
        <w:rPr>
          <w:rFonts w:ascii="Times New Roman" w:hAnsi="Times New Roman" w:cs="Times New Roman"/>
        </w:rPr>
        <w:t xml:space="preserve">we defined </w:t>
      </w:r>
      <w:r w:rsidR="00B60068">
        <w:rPr>
          <w:rFonts w:ascii="Times New Roman" w:hAnsi="Times New Roman" w:cs="Times New Roman"/>
        </w:rPr>
        <w:t xml:space="preserve">two periods known as the </w:t>
      </w:r>
      <w:r w:rsidR="002C6113">
        <w:rPr>
          <w:rFonts w:ascii="Times New Roman" w:hAnsi="Times New Roman" w:cs="Times New Roman"/>
        </w:rPr>
        <w:t>estimation window and an event window. The estimation window covered the period from July 1, 2021</w:t>
      </w:r>
      <w:r w:rsidR="009D2C3B">
        <w:rPr>
          <w:rFonts w:ascii="Times New Roman" w:hAnsi="Times New Roman" w:cs="Times New Roman"/>
        </w:rPr>
        <w:t xml:space="preserve">, to January 10, 2022. </w:t>
      </w:r>
      <w:r w:rsidR="00100D56">
        <w:rPr>
          <w:rFonts w:ascii="Times New Roman" w:hAnsi="Times New Roman" w:cs="Times New Roman"/>
        </w:rPr>
        <w:t>We chose this approximately six-month</w:t>
      </w:r>
      <w:r w:rsidR="00FE653B">
        <w:rPr>
          <w:rFonts w:ascii="Times New Roman" w:hAnsi="Times New Roman" w:cs="Times New Roman"/>
        </w:rPr>
        <w:t xml:space="preserve"> duration was selected because it showed us</w:t>
      </w:r>
      <w:r w:rsidR="00B94F4F">
        <w:rPr>
          <w:rFonts w:ascii="Times New Roman" w:hAnsi="Times New Roman" w:cs="Times New Roman"/>
        </w:rPr>
        <w:t xml:space="preserve"> enough</w:t>
      </w:r>
      <w:r w:rsidR="007A1ADA">
        <w:rPr>
          <w:rFonts w:ascii="Times New Roman" w:hAnsi="Times New Roman" w:cs="Times New Roman"/>
        </w:rPr>
        <w:t xml:space="preserve"> historical data to reflect </w:t>
      </w:r>
      <w:r w:rsidR="00BE260D">
        <w:rPr>
          <w:rFonts w:ascii="Times New Roman" w:hAnsi="Times New Roman" w:cs="Times New Roman"/>
        </w:rPr>
        <w:t>Activision</w:t>
      </w:r>
      <w:r w:rsidR="007A1ADA">
        <w:rPr>
          <w:rFonts w:ascii="Times New Roman" w:hAnsi="Times New Roman" w:cs="Times New Roman"/>
        </w:rPr>
        <w:t xml:space="preserve"> Blizzard’s normal stock performance under stable market conditions</w:t>
      </w:r>
      <w:r w:rsidR="00BE260D">
        <w:rPr>
          <w:rFonts w:ascii="Times New Roman" w:hAnsi="Times New Roman" w:cs="Times New Roman"/>
        </w:rPr>
        <w:t>.</w:t>
      </w:r>
      <w:r w:rsidR="0027091A">
        <w:rPr>
          <w:rFonts w:ascii="Times New Roman" w:hAnsi="Times New Roman" w:cs="Times New Roman"/>
        </w:rPr>
        <w:t xml:space="preserve"> We removed outliers that were caused by </w:t>
      </w:r>
      <w:r w:rsidR="007115BD">
        <w:rPr>
          <w:rFonts w:ascii="Times New Roman" w:hAnsi="Times New Roman" w:cs="Times New Roman"/>
        </w:rPr>
        <w:t xml:space="preserve">other events that would impact </w:t>
      </w:r>
      <w:r w:rsidR="00780723">
        <w:rPr>
          <w:rFonts w:ascii="Times New Roman" w:hAnsi="Times New Roman" w:cs="Times New Roman"/>
        </w:rPr>
        <w:t xml:space="preserve">our </w:t>
      </w:r>
      <w:r w:rsidR="00A52167">
        <w:rPr>
          <w:rFonts w:ascii="Times New Roman" w:hAnsi="Times New Roman" w:cs="Times New Roman"/>
        </w:rPr>
        <w:t>typical stock performance.</w:t>
      </w:r>
      <w:r w:rsidR="005F64DA">
        <w:rPr>
          <w:rFonts w:ascii="Times New Roman" w:hAnsi="Times New Roman" w:cs="Times New Roman"/>
        </w:rPr>
        <w:t xml:space="preserve"> Additionally, the estimation window concluded one week prior to the event date to </w:t>
      </w:r>
      <w:r w:rsidR="00D17A5E">
        <w:rPr>
          <w:rFonts w:ascii="Times New Roman" w:hAnsi="Times New Roman" w:cs="Times New Roman"/>
        </w:rPr>
        <w:t>mak</w:t>
      </w:r>
      <w:r w:rsidR="005F64DA">
        <w:rPr>
          <w:rFonts w:ascii="Times New Roman" w:hAnsi="Times New Roman" w:cs="Times New Roman"/>
        </w:rPr>
        <w:t>e</w:t>
      </w:r>
      <w:r w:rsidR="00FF610A">
        <w:rPr>
          <w:rFonts w:ascii="Times New Roman" w:hAnsi="Times New Roman" w:cs="Times New Roman"/>
        </w:rPr>
        <w:t xml:space="preserve"> </w:t>
      </w:r>
      <w:r w:rsidR="00D17A5E">
        <w:rPr>
          <w:rFonts w:ascii="Times New Roman" w:hAnsi="Times New Roman" w:cs="Times New Roman"/>
        </w:rPr>
        <w:t xml:space="preserve">sure </w:t>
      </w:r>
      <w:r w:rsidR="00FF610A">
        <w:rPr>
          <w:rFonts w:ascii="Times New Roman" w:hAnsi="Times New Roman" w:cs="Times New Roman"/>
        </w:rPr>
        <w:t xml:space="preserve">that </w:t>
      </w:r>
      <w:r w:rsidR="005C57D0">
        <w:rPr>
          <w:rFonts w:ascii="Times New Roman" w:hAnsi="Times New Roman" w:cs="Times New Roman"/>
        </w:rPr>
        <w:t>potential pre-announcement leakage</w:t>
      </w:r>
      <w:r w:rsidR="003353A9">
        <w:rPr>
          <w:rFonts w:ascii="Times New Roman" w:hAnsi="Times New Roman" w:cs="Times New Roman"/>
        </w:rPr>
        <w:t xml:space="preserve"> would not </w:t>
      </w:r>
      <w:r w:rsidR="00AF2B73">
        <w:rPr>
          <w:rFonts w:ascii="Times New Roman" w:hAnsi="Times New Roman" w:cs="Times New Roman"/>
        </w:rPr>
        <w:t>misrepresent</w:t>
      </w:r>
      <w:r w:rsidR="00CB3560">
        <w:rPr>
          <w:rFonts w:ascii="Times New Roman" w:hAnsi="Times New Roman" w:cs="Times New Roman"/>
        </w:rPr>
        <w:t xml:space="preserve"> the estimation of normal returns. </w:t>
      </w:r>
    </w:p>
    <w:p w14:paraId="24DBB688" w14:textId="60CC2444" w:rsidR="00CC7B20" w:rsidRDefault="00E77B43" w:rsidP="008A0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event window was established from January 11, 2022, to January 28, 2022.</w:t>
      </w:r>
      <w:r w:rsidR="00D91572">
        <w:rPr>
          <w:rFonts w:ascii="Times New Roman" w:hAnsi="Times New Roman" w:cs="Times New Roman"/>
        </w:rPr>
        <w:t xml:space="preserve"> This window includes </w:t>
      </w:r>
      <w:r w:rsidR="00923380">
        <w:rPr>
          <w:rFonts w:ascii="Times New Roman" w:hAnsi="Times New Roman" w:cs="Times New Roman"/>
        </w:rPr>
        <w:t>4</w:t>
      </w:r>
      <w:r w:rsidR="00D91572">
        <w:rPr>
          <w:rFonts w:ascii="Times New Roman" w:hAnsi="Times New Roman" w:cs="Times New Roman"/>
        </w:rPr>
        <w:t xml:space="preserve"> days prior to the official announcement date</w:t>
      </w:r>
      <w:r w:rsidR="00C93EE2">
        <w:rPr>
          <w:rFonts w:ascii="Times New Roman" w:hAnsi="Times New Roman" w:cs="Times New Roman"/>
        </w:rPr>
        <w:t xml:space="preserve">, allowing the capture of any potential early market anticipation or information leakage. </w:t>
      </w:r>
      <w:r w:rsidR="008E32B9">
        <w:rPr>
          <w:rFonts w:ascii="Times New Roman" w:hAnsi="Times New Roman" w:cs="Times New Roman"/>
        </w:rPr>
        <w:t xml:space="preserve">Extending the window </w:t>
      </w:r>
      <w:r w:rsidR="00923380">
        <w:rPr>
          <w:rFonts w:ascii="Times New Roman" w:hAnsi="Times New Roman" w:cs="Times New Roman"/>
        </w:rPr>
        <w:t>8</w:t>
      </w:r>
      <w:r w:rsidR="008E32B9">
        <w:rPr>
          <w:rFonts w:ascii="Times New Roman" w:hAnsi="Times New Roman" w:cs="Times New Roman"/>
        </w:rPr>
        <w:t xml:space="preserve"> days after the announcement also allowed the </w:t>
      </w:r>
      <w:r w:rsidR="008E2426">
        <w:rPr>
          <w:rFonts w:ascii="Times New Roman" w:hAnsi="Times New Roman" w:cs="Times New Roman"/>
        </w:rPr>
        <w:t xml:space="preserve">analysis to </w:t>
      </w:r>
      <w:r w:rsidR="00826C09">
        <w:rPr>
          <w:rFonts w:ascii="Times New Roman" w:hAnsi="Times New Roman" w:cs="Times New Roman"/>
        </w:rPr>
        <w:t>consider</w:t>
      </w:r>
      <w:r w:rsidR="00190225">
        <w:rPr>
          <w:rFonts w:ascii="Times New Roman" w:hAnsi="Times New Roman" w:cs="Times New Roman"/>
        </w:rPr>
        <w:t xml:space="preserve"> both immediate and delayed investor responses, which will provide a </w:t>
      </w:r>
      <w:r w:rsidR="00D41CBA">
        <w:rPr>
          <w:rFonts w:ascii="Times New Roman" w:hAnsi="Times New Roman" w:cs="Times New Roman"/>
        </w:rPr>
        <w:t>detailed</w:t>
      </w:r>
      <w:r w:rsidR="00783EC5">
        <w:rPr>
          <w:rFonts w:ascii="Times New Roman" w:hAnsi="Times New Roman" w:cs="Times New Roman"/>
        </w:rPr>
        <w:t xml:space="preserve"> assessment of the event’s impact on Activision Blizzard’s stock return.</w:t>
      </w:r>
    </w:p>
    <w:p w14:paraId="55FFEBD4" w14:textId="358FDA1C" w:rsidR="009E373B" w:rsidRPr="009E373B" w:rsidRDefault="009E373B" w:rsidP="008A0927">
      <w:pPr>
        <w:rPr>
          <w:rFonts w:ascii="Times New Roman" w:hAnsi="Times New Roman" w:cs="Times New Roman"/>
          <w:b/>
          <w:bCs/>
        </w:rPr>
      </w:pPr>
      <w:r w:rsidRPr="009E373B">
        <w:rPr>
          <w:rFonts w:ascii="Times New Roman" w:hAnsi="Times New Roman" w:cs="Times New Roman"/>
          <w:b/>
          <w:bCs/>
        </w:rPr>
        <w:t>Data Collection</w:t>
      </w:r>
    </w:p>
    <w:p w14:paraId="5ED1176F" w14:textId="787D8994" w:rsidR="009E373B" w:rsidRDefault="00CE5ABC" w:rsidP="008A0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</w:t>
      </w:r>
      <w:r w:rsidR="00B312A9">
        <w:rPr>
          <w:rFonts w:ascii="Times New Roman" w:hAnsi="Times New Roman" w:cs="Times New Roman"/>
        </w:rPr>
        <w:t>y stock prices for Activision Blizzard (ATVI) were collected to calculate daily stock returns. The daily returns of the S&amp;P 500 index were used as a proxy to compa</w:t>
      </w:r>
      <w:r w:rsidR="00C64D9A">
        <w:rPr>
          <w:rFonts w:ascii="Times New Roman" w:hAnsi="Times New Roman" w:cs="Times New Roman"/>
        </w:rPr>
        <w:t xml:space="preserve">re overall market returns (RM). </w:t>
      </w:r>
      <w:r w:rsidR="00E40CC4">
        <w:rPr>
          <w:rFonts w:ascii="Times New Roman" w:hAnsi="Times New Roman" w:cs="Times New Roman"/>
        </w:rPr>
        <w:t>The risk-free rate (RF) was obtained from the U.S. 10-Year Treasury Constant Matur</w:t>
      </w:r>
      <w:r w:rsidR="00B84E03">
        <w:rPr>
          <w:rFonts w:ascii="Times New Roman" w:hAnsi="Times New Roman" w:cs="Times New Roman"/>
        </w:rPr>
        <w:t>ity</w:t>
      </w:r>
      <w:r w:rsidR="00354D6E">
        <w:rPr>
          <w:rFonts w:ascii="Times New Roman" w:hAnsi="Times New Roman" w:cs="Times New Roman"/>
        </w:rPr>
        <w:t xml:space="preserve"> Rate published by the Federal Reserve Bank of St. Louis (FRED). </w:t>
      </w:r>
      <w:r w:rsidR="00AC2DD5">
        <w:rPr>
          <w:rFonts w:ascii="Times New Roman" w:hAnsi="Times New Roman" w:cs="Times New Roman"/>
        </w:rPr>
        <w:t>Additionally, the ESPO ETF (an eSports and gaming</w:t>
      </w:r>
      <w:r w:rsidR="009968BA">
        <w:rPr>
          <w:rFonts w:ascii="Times New Roman" w:hAnsi="Times New Roman" w:cs="Times New Roman"/>
        </w:rPr>
        <w:t>-focused ETF)</w:t>
      </w:r>
      <w:r w:rsidR="002C5A41">
        <w:rPr>
          <w:rFonts w:ascii="Times New Roman" w:hAnsi="Times New Roman" w:cs="Times New Roman"/>
        </w:rPr>
        <w:t xml:space="preserve"> was included to </w:t>
      </w:r>
      <w:r w:rsidR="00F62F0B">
        <w:rPr>
          <w:rFonts w:ascii="Times New Roman" w:hAnsi="Times New Roman" w:cs="Times New Roman"/>
        </w:rPr>
        <w:t xml:space="preserve">account for sector-specific movements related to the gaming industry. </w:t>
      </w:r>
    </w:p>
    <w:p w14:paraId="5F827EF1" w14:textId="77777777" w:rsidR="000A55F5" w:rsidRDefault="000A55F5" w:rsidP="008A0927">
      <w:pPr>
        <w:rPr>
          <w:rFonts w:ascii="Times New Roman" w:hAnsi="Times New Roman" w:cs="Times New Roman"/>
        </w:rPr>
      </w:pPr>
    </w:p>
    <w:p w14:paraId="173E34AD" w14:textId="77777777" w:rsidR="000A55F5" w:rsidRDefault="000A55F5" w:rsidP="008A0927">
      <w:pPr>
        <w:rPr>
          <w:rFonts w:ascii="Times New Roman" w:hAnsi="Times New Roman" w:cs="Times New Roman"/>
        </w:rPr>
      </w:pPr>
    </w:p>
    <w:p w14:paraId="57B4C251" w14:textId="2C4CBEBD" w:rsidR="00CF3210" w:rsidRDefault="00CF3210" w:rsidP="008A0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Returns were computed using the formula:</w:t>
      </w:r>
    </w:p>
    <w:p w14:paraId="0C9AE4D0" w14:textId="77777777" w:rsidR="009A057B" w:rsidRPr="007760A7" w:rsidRDefault="009A057B" w:rsidP="009A057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Retur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D6855E0" w14:textId="77777777" w:rsidR="00EB395C" w:rsidRDefault="00EB395C" w:rsidP="00EB395C">
      <w:pPr>
        <w:spacing w:line="240" w:lineRule="auto"/>
        <w:rPr>
          <w:rFonts w:ascii="Times New Roman" w:eastAsiaTheme="minorEastAsia" w:hAnsi="Times New Roman" w:cs="Times New Roman"/>
        </w:rPr>
      </w:pPr>
      <w:r w:rsidRPr="00EB395C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Retur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EB395C">
        <w:rPr>
          <w:rFonts w:ascii="Times New Roman" w:eastAsiaTheme="minorEastAsia" w:hAnsi="Times New Roman" w:cs="Times New Roman"/>
        </w:rPr>
        <w:t xml:space="preserve"> represents the return at day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EB395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EB395C">
        <w:rPr>
          <w:rFonts w:ascii="Times New Roman" w:eastAsiaTheme="minorEastAsia" w:hAnsi="Times New Roman" w:cs="Times New Roman"/>
        </w:rPr>
        <w:t>is the closing price on day</w:t>
      </w:r>
      <m:oMath>
        <m:r>
          <w:rPr>
            <w:rFonts w:ascii="Cambria Math" w:eastAsiaTheme="minorEastAsia" w:hAnsi="Cambria Math" w:cs="Times New Roman"/>
          </w:rPr>
          <m:t xml:space="preserve"> t</m:t>
        </m:r>
      </m:oMath>
      <w:r w:rsidRPr="00EB395C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</m:oMath>
      <w:r w:rsidRPr="00EB395C">
        <w:rPr>
          <w:rFonts w:ascii="Times New Roman" w:eastAsiaTheme="minorEastAsia" w:hAnsi="Times New Roman" w:cs="Times New Roman"/>
        </w:rPr>
        <w:t>​ is the closing price on the previous trading day.</w:t>
      </w:r>
    </w:p>
    <w:p w14:paraId="1563876F" w14:textId="39D208AB" w:rsidR="001A58DE" w:rsidRPr="000A55F5" w:rsidRDefault="000A55F5" w:rsidP="00EB395C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0A55F5">
        <w:rPr>
          <w:rFonts w:ascii="Times New Roman" w:eastAsiaTheme="minorEastAsia" w:hAnsi="Times New Roman" w:cs="Times New Roman"/>
          <w:b/>
          <w:bCs/>
        </w:rPr>
        <w:t>Stock Price Analysis</w:t>
      </w:r>
    </w:p>
    <w:p w14:paraId="2E39EE6E" w14:textId="3A1AC3CA" w:rsidR="007F4293" w:rsidRDefault="00684610" w:rsidP="007F4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figures below show the daily closing prices and daily returns of Activision Blizzard (ATVI)</w:t>
      </w:r>
      <w:r w:rsidR="00E33D23">
        <w:rPr>
          <w:rFonts w:ascii="Times New Roman" w:hAnsi="Times New Roman" w:cs="Times New Roman"/>
        </w:rPr>
        <w:t xml:space="preserve"> from July 1, </w:t>
      </w:r>
      <w:r w:rsidR="00844BC6">
        <w:rPr>
          <w:rFonts w:ascii="Times New Roman" w:hAnsi="Times New Roman" w:cs="Times New Roman"/>
        </w:rPr>
        <w:t>2021,</w:t>
      </w:r>
      <w:r w:rsidR="00E33D23">
        <w:rPr>
          <w:rFonts w:ascii="Times New Roman" w:hAnsi="Times New Roman" w:cs="Times New Roman"/>
        </w:rPr>
        <w:t xml:space="preserve"> to January</w:t>
      </w:r>
      <w:r w:rsidR="00843F94">
        <w:rPr>
          <w:rFonts w:ascii="Times New Roman" w:hAnsi="Times New Roman" w:cs="Times New Roman"/>
        </w:rPr>
        <w:t xml:space="preserve"> 28, 2022.</w:t>
      </w:r>
      <w:r w:rsidR="00C84D1C">
        <w:rPr>
          <w:rFonts w:ascii="Times New Roman" w:hAnsi="Times New Roman" w:cs="Times New Roman"/>
        </w:rPr>
        <w:t xml:space="preserve"> Prior to January </w:t>
      </w:r>
      <w:r w:rsidR="00B65F9C">
        <w:rPr>
          <w:rFonts w:ascii="Times New Roman" w:hAnsi="Times New Roman" w:cs="Times New Roman"/>
        </w:rPr>
        <w:t>18, 2022, ATVI’s stock price exhibited a declining trend</w:t>
      </w:r>
      <w:r w:rsidR="00845C0E">
        <w:rPr>
          <w:rFonts w:ascii="Times New Roman" w:hAnsi="Times New Roman" w:cs="Times New Roman"/>
        </w:rPr>
        <w:t>, showing ongoing challenges within the company. Following the announcement of Microsoft’</w:t>
      </w:r>
      <w:r w:rsidR="009346B5">
        <w:rPr>
          <w:rFonts w:ascii="Times New Roman" w:hAnsi="Times New Roman" w:cs="Times New Roman"/>
        </w:rPr>
        <w:t xml:space="preserve">s acquisition on January 18,2022, a noticeable surge in stock price is observed, indicating a strong positive market reaction. </w:t>
      </w:r>
    </w:p>
    <w:p w14:paraId="260914B7" w14:textId="2D0E4FB6" w:rsidR="00EE2F5F" w:rsidRDefault="00EE2F5F" w:rsidP="00EE2F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507F18" wp14:editId="0E5DD228">
            <wp:extent cx="3762375" cy="2737611"/>
            <wp:effectExtent l="0" t="0" r="0" b="5715"/>
            <wp:docPr id="133063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99" cy="2738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F7CC3" w14:textId="16D77E43" w:rsidR="00EE2F5F" w:rsidRDefault="009B4289" w:rsidP="00EE2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daily returns graph also shows a large positive spike on the event date, with returns exceeding 25%. This substantial abnormal return suggests</w:t>
      </w:r>
      <w:r w:rsidR="00EF2758">
        <w:rPr>
          <w:rFonts w:ascii="Times New Roman" w:hAnsi="Times New Roman" w:cs="Times New Roman"/>
        </w:rPr>
        <w:t xml:space="preserve"> </w:t>
      </w:r>
      <w:r w:rsidR="002271F2">
        <w:rPr>
          <w:rFonts w:ascii="Times New Roman" w:hAnsi="Times New Roman" w:cs="Times New Roman"/>
        </w:rPr>
        <w:t xml:space="preserve">that the market responded very favorably to the acquisition news, confirming the hypothesis that the event had a significant positive impact on ATVI’s stock performance. </w:t>
      </w:r>
    </w:p>
    <w:p w14:paraId="5F245306" w14:textId="6938C5F7" w:rsidR="002271F2" w:rsidRDefault="005A4AC9" w:rsidP="002271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EFF911" wp14:editId="2DEA2E4D">
            <wp:extent cx="3162966" cy="2333646"/>
            <wp:effectExtent l="0" t="0" r="0" b="0"/>
            <wp:docPr id="295663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87" cy="2352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7E779" w14:textId="7A2D1656" w:rsidR="00C677D2" w:rsidRDefault="00C677D2" w:rsidP="00C67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the </w:t>
      </w:r>
      <w:r w:rsidR="00794415">
        <w:rPr>
          <w:rFonts w:ascii="Times New Roman" w:hAnsi="Times New Roman" w:cs="Times New Roman"/>
        </w:rPr>
        <w:t xml:space="preserve">graphs </w:t>
      </w:r>
      <w:r w:rsidR="00FA264A">
        <w:rPr>
          <w:rFonts w:ascii="Times New Roman" w:hAnsi="Times New Roman" w:cs="Times New Roman"/>
        </w:rPr>
        <w:t>s</w:t>
      </w:r>
      <w:r w:rsidR="00E06F9B">
        <w:rPr>
          <w:rFonts w:ascii="Times New Roman" w:hAnsi="Times New Roman" w:cs="Times New Roman"/>
        </w:rPr>
        <w:t xml:space="preserve">hown as evidence strongly </w:t>
      </w:r>
      <w:r w:rsidR="00527913">
        <w:rPr>
          <w:rFonts w:ascii="Times New Roman" w:hAnsi="Times New Roman" w:cs="Times New Roman"/>
        </w:rPr>
        <w:t>suggests</w:t>
      </w:r>
      <w:r w:rsidR="00E06F9B">
        <w:rPr>
          <w:rFonts w:ascii="Times New Roman" w:hAnsi="Times New Roman" w:cs="Times New Roman"/>
        </w:rPr>
        <w:t xml:space="preserve"> that the market reacted immediately and positively to the </w:t>
      </w:r>
      <w:r w:rsidR="00527913">
        <w:rPr>
          <w:rFonts w:ascii="Times New Roman" w:hAnsi="Times New Roman" w:cs="Times New Roman"/>
        </w:rPr>
        <w:t>acquisition</w:t>
      </w:r>
      <w:r w:rsidR="00E06F9B">
        <w:rPr>
          <w:rFonts w:ascii="Times New Roman" w:hAnsi="Times New Roman" w:cs="Times New Roman"/>
        </w:rPr>
        <w:t xml:space="preserve"> announcement, supporting the </w:t>
      </w:r>
      <w:r w:rsidR="00037B50">
        <w:rPr>
          <w:rFonts w:ascii="Times New Roman" w:hAnsi="Times New Roman" w:cs="Times New Roman"/>
        </w:rPr>
        <w:t>presence</w:t>
      </w:r>
      <w:r w:rsidR="00E06F9B">
        <w:rPr>
          <w:rFonts w:ascii="Times New Roman" w:hAnsi="Times New Roman" w:cs="Times New Roman"/>
        </w:rPr>
        <w:t xml:space="preserve"> of abnormal return</w:t>
      </w:r>
      <w:r w:rsidR="00037B50">
        <w:rPr>
          <w:rFonts w:ascii="Times New Roman" w:hAnsi="Times New Roman" w:cs="Times New Roman"/>
        </w:rPr>
        <w:t xml:space="preserve">. </w:t>
      </w:r>
    </w:p>
    <w:p w14:paraId="39A77285" w14:textId="08410B55" w:rsidR="005D05EB" w:rsidRDefault="005D05EB" w:rsidP="00C677D2">
      <w:pPr>
        <w:rPr>
          <w:rFonts w:ascii="Times New Roman" w:hAnsi="Times New Roman" w:cs="Times New Roman"/>
          <w:b/>
          <w:bCs/>
        </w:rPr>
      </w:pPr>
      <w:r w:rsidRPr="005D05EB">
        <w:rPr>
          <w:rFonts w:ascii="Times New Roman" w:hAnsi="Times New Roman" w:cs="Times New Roman"/>
          <w:b/>
          <w:bCs/>
        </w:rPr>
        <w:t>Descriptive Statistics</w:t>
      </w:r>
    </w:p>
    <w:p w14:paraId="6F11C8C3" w14:textId="44015058" w:rsidR="005D05EB" w:rsidRDefault="005D05EB" w:rsidP="00C67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descriptive statistics for Activision Blizzard’s (ATVI) daily returns during the estimation period from July 1, 2021, to July 10, 2022, are shown below: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867"/>
      </w:tblGrid>
      <w:tr w:rsidR="00BA6045" w:rsidRPr="006D6CF6" w14:paraId="6163BD19" w14:textId="77777777" w:rsidTr="00C73F9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5BDB2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  <w:b/>
                <w:bCs/>
              </w:rPr>
            </w:pPr>
            <w:r w:rsidRPr="006D6CF6">
              <w:rPr>
                <w:rFonts w:eastAsiaTheme="minorEastAsia"/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289B1AE6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  <w:b/>
                <w:bCs/>
              </w:rPr>
            </w:pPr>
            <w:r w:rsidRPr="006D6CF6">
              <w:rPr>
                <w:rFonts w:eastAsiaTheme="minorEastAsia"/>
                <w:b/>
                <w:bCs/>
              </w:rPr>
              <w:t>Value</w:t>
            </w:r>
          </w:p>
        </w:tc>
      </w:tr>
      <w:tr w:rsidR="00BA6045" w:rsidRPr="006D6CF6" w14:paraId="60FBA38A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5A563A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6AAC95D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-0.0028</w:t>
            </w:r>
          </w:p>
        </w:tc>
      </w:tr>
      <w:tr w:rsidR="00BA6045" w:rsidRPr="006D6CF6" w14:paraId="59FD2022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BDCC29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7C4E115D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0.0197</w:t>
            </w:r>
          </w:p>
        </w:tc>
      </w:tr>
      <w:tr w:rsidR="00BA6045" w:rsidRPr="006D6CF6" w14:paraId="101706F4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C6A239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054A57CD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-0.1215</w:t>
            </w:r>
          </w:p>
        </w:tc>
      </w:tr>
      <w:tr w:rsidR="00BA6045" w:rsidRPr="006D6CF6" w14:paraId="42573659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7269F3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665768AA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0.0324</w:t>
            </w:r>
          </w:p>
        </w:tc>
      </w:tr>
      <w:tr w:rsidR="00BA6045" w:rsidRPr="006D6CF6" w14:paraId="33F725FA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CCC016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7F1D7F9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132</w:t>
            </w:r>
          </w:p>
        </w:tc>
      </w:tr>
      <w:tr w:rsidR="00BA6045" w:rsidRPr="006D6CF6" w14:paraId="532E0154" w14:textId="77777777" w:rsidTr="00C73F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78BC57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Skewness</w:t>
            </w:r>
          </w:p>
        </w:tc>
        <w:tc>
          <w:tcPr>
            <w:tcW w:w="0" w:type="auto"/>
            <w:vAlign w:val="center"/>
            <w:hideMark/>
          </w:tcPr>
          <w:p w14:paraId="51DE2B3F" w14:textId="77777777" w:rsidR="00BA6045" w:rsidRPr="006D6CF6" w:rsidRDefault="00BA6045" w:rsidP="00C73F94">
            <w:pPr>
              <w:spacing w:line="240" w:lineRule="auto"/>
              <w:rPr>
                <w:rFonts w:eastAsiaTheme="minorEastAsia"/>
              </w:rPr>
            </w:pPr>
            <w:r w:rsidRPr="006D6CF6">
              <w:rPr>
                <w:rFonts w:eastAsiaTheme="minorEastAsia"/>
              </w:rPr>
              <w:t>-2.1666</w:t>
            </w:r>
          </w:p>
        </w:tc>
      </w:tr>
    </w:tbl>
    <w:p w14:paraId="04FEE4A2" w14:textId="13571382" w:rsidR="00BA6045" w:rsidRDefault="00BA6045" w:rsidP="00BA6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daily return was approximately -</w:t>
      </w:r>
      <w:r w:rsidR="000305F2">
        <w:rPr>
          <w:rFonts w:ascii="Times New Roman" w:hAnsi="Times New Roman" w:cs="Times New Roman"/>
        </w:rPr>
        <w:t xml:space="preserve">0.28%, showing a slight negative trend in the </w:t>
      </w:r>
      <w:r w:rsidR="00844BC6">
        <w:rPr>
          <w:rFonts w:ascii="Times New Roman" w:hAnsi="Times New Roman" w:cs="Times New Roman"/>
        </w:rPr>
        <w:t>stocks’</w:t>
      </w:r>
      <w:r w:rsidR="000305F2">
        <w:rPr>
          <w:rFonts w:ascii="Times New Roman" w:hAnsi="Times New Roman" w:cs="Times New Roman"/>
        </w:rPr>
        <w:t xml:space="preserve"> performance under normal market conditions. The standard deviation of 1.97% shows moderate volatility in daily returns. The minimum daily return of -12.15% and maximum</w:t>
      </w:r>
      <w:r w:rsidR="00D4613E">
        <w:rPr>
          <w:rFonts w:ascii="Times New Roman" w:hAnsi="Times New Roman" w:cs="Times New Roman"/>
        </w:rPr>
        <w:t xml:space="preserve"> return of 3.24% show occasional large price movements even outside major events.</w:t>
      </w:r>
      <w:r w:rsidR="000F5242">
        <w:rPr>
          <w:rFonts w:ascii="Times New Roman" w:hAnsi="Times New Roman" w:cs="Times New Roman"/>
        </w:rPr>
        <w:t xml:space="preserve"> The distribution of returns is negatively skewed (skewness of -2.17), suggesting that losses were generally larger and more extreme than gains during this period. </w:t>
      </w:r>
      <w:r w:rsidR="00C5536B">
        <w:rPr>
          <w:rFonts w:ascii="Times New Roman" w:hAnsi="Times New Roman" w:cs="Times New Roman"/>
        </w:rPr>
        <w:t>A total of 132 daily return observations were collected for the estimation window. Observations related to the event window (January 11, 2022 – January 28, 2022)</w:t>
      </w:r>
      <w:r w:rsidR="00A55763">
        <w:rPr>
          <w:rFonts w:ascii="Times New Roman" w:hAnsi="Times New Roman" w:cs="Times New Roman"/>
        </w:rPr>
        <w:t xml:space="preserve"> will be analyzed separately.</w:t>
      </w:r>
    </w:p>
    <w:p w14:paraId="688FB617" w14:textId="77777777" w:rsidR="00FE5ED5" w:rsidRDefault="00FE5ED5" w:rsidP="00BA6045">
      <w:pPr>
        <w:rPr>
          <w:rFonts w:ascii="Times New Roman" w:hAnsi="Times New Roman" w:cs="Times New Roman"/>
        </w:rPr>
      </w:pPr>
    </w:p>
    <w:p w14:paraId="4416E285" w14:textId="6942B877" w:rsidR="00FE5ED5" w:rsidRDefault="00FE5ED5" w:rsidP="00BA6045">
      <w:pPr>
        <w:rPr>
          <w:rFonts w:ascii="Times New Roman" w:hAnsi="Times New Roman" w:cs="Times New Roman"/>
          <w:b/>
          <w:bCs/>
        </w:rPr>
      </w:pPr>
      <w:r w:rsidRPr="00FE5ED5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41242081" w14:textId="7A66BE57" w:rsidR="00730948" w:rsidRDefault="00317E9D" w:rsidP="00BA6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will use several statistical methods to evaluate whether the announcement of Microsoft’s </w:t>
      </w:r>
      <w:r w:rsidR="00AD7560">
        <w:rPr>
          <w:rFonts w:ascii="Times New Roman" w:hAnsi="Times New Roman" w:cs="Times New Roman"/>
        </w:rPr>
        <w:t>acquisition of Activision Blizzard resulted in abnormal stock returns.</w:t>
      </w:r>
      <w:r w:rsidR="0072394D">
        <w:rPr>
          <w:rFonts w:ascii="Times New Roman" w:hAnsi="Times New Roman" w:cs="Times New Roman"/>
        </w:rPr>
        <w:t xml:space="preserve"> Statistical analyses</w:t>
      </w:r>
      <w:r w:rsidR="004527B2">
        <w:rPr>
          <w:rFonts w:ascii="Times New Roman" w:hAnsi="Times New Roman" w:cs="Times New Roman"/>
        </w:rPr>
        <w:t xml:space="preserve"> were conducted</w:t>
      </w:r>
      <w:r w:rsidR="00E30E1F">
        <w:rPr>
          <w:rFonts w:ascii="Times New Roman" w:hAnsi="Times New Roman" w:cs="Times New Roman"/>
        </w:rPr>
        <w:t xml:space="preserve"> to detect and measure abnormal returns associated with the event, where each method provides a different approach to estimating the expected returns and assessing the potential abnormal returns. </w:t>
      </w:r>
      <w:r w:rsidR="00E310E8">
        <w:rPr>
          <w:rFonts w:ascii="Times New Roman" w:hAnsi="Times New Roman" w:cs="Times New Roman"/>
        </w:rPr>
        <w:t xml:space="preserve">The methodologies </w:t>
      </w:r>
      <w:r w:rsidR="00AB69CB">
        <w:rPr>
          <w:rFonts w:ascii="Times New Roman" w:hAnsi="Times New Roman" w:cs="Times New Roman"/>
        </w:rPr>
        <w:t>used include a simple mean return test, the market model regression, the Capital Asset Pricing Model (CAPM), and a multifactor regression analysis.</w:t>
      </w:r>
    </w:p>
    <w:p w14:paraId="073BD1B6" w14:textId="795A16E9" w:rsidR="00AB69CB" w:rsidRPr="00A65A3D" w:rsidRDefault="00AB69CB" w:rsidP="00BA6045">
      <w:pPr>
        <w:rPr>
          <w:rFonts w:ascii="Times New Roman" w:hAnsi="Times New Roman" w:cs="Times New Roman"/>
          <w:b/>
          <w:bCs/>
        </w:rPr>
      </w:pPr>
      <w:r w:rsidRPr="00A65A3D">
        <w:rPr>
          <w:rFonts w:ascii="Times New Roman" w:hAnsi="Times New Roman" w:cs="Times New Roman"/>
          <w:b/>
          <w:bCs/>
        </w:rPr>
        <w:t>Two-Sample t-Test for Mean Differences</w:t>
      </w:r>
    </w:p>
    <w:p w14:paraId="044CAE22" w14:textId="6E3B6AD0" w:rsidR="006C18F9" w:rsidRDefault="00AB69CB" w:rsidP="00BA604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To determine whether the announcement </w:t>
      </w:r>
      <w:r w:rsidR="0067612E">
        <w:rPr>
          <w:rFonts w:ascii="Times New Roman" w:hAnsi="Times New Roman" w:cs="Times New Roman"/>
        </w:rPr>
        <w:t xml:space="preserve">of Microsoft’s acquisition of Activision Blizzard had a significant impact on stock returns, a two-sample t-test assuming equal variances was </w:t>
      </w:r>
      <w:r w:rsidR="00A65A3D">
        <w:rPr>
          <w:rFonts w:ascii="Times New Roman" w:hAnsi="Times New Roman" w:cs="Times New Roman"/>
        </w:rPr>
        <w:t>used. This test compares the average daily returns observed during the pre-event estimation window to th</w:t>
      </w:r>
      <w:r w:rsidR="0012431F">
        <w:rPr>
          <w:rFonts w:ascii="Times New Roman" w:hAnsi="Times New Roman" w:cs="Times New Roman"/>
        </w:rPr>
        <w:t xml:space="preserve">e average daily returns during the event window, which provided a statistical evaluation of whether the event produced abnormal returns outside of normal market behavior. </w:t>
      </w:r>
      <w:r w:rsidR="00BD4718">
        <w:rPr>
          <w:rFonts w:ascii="Times New Roman" w:hAnsi="Times New Roman" w:cs="Times New Roman"/>
        </w:rPr>
        <w:t>The hypothesis for our test</w:t>
      </w:r>
      <w:r w:rsidR="00B43924">
        <w:rPr>
          <w:rFonts w:ascii="Times New Roman" w:hAnsi="Times New Roman" w:cs="Times New Roman"/>
        </w:rPr>
        <w:t xml:space="preserve"> is: The null hypothesis </w:t>
      </w:r>
      <w:r w:rsidR="00903C2D" w:rsidRPr="00903C2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903C2D" w:rsidRPr="00903C2D">
        <w:rPr>
          <w:rFonts w:ascii="Times New Roman" w:eastAsiaTheme="minorEastAsia" w:hAnsi="Times New Roman" w:cs="Times New Roman"/>
        </w:rPr>
        <w:t>)</w:t>
      </w:r>
      <w:r w:rsidR="00903C2D" w:rsidRPr="00903C2D">
        <w:rPr>
          <w:rFonts w:ascii="Times New Roman" w:eastAsiaTheme="minorEastAsia" w:hAnsi="Times New Roman" w:cs="Times New Roman"/>
        </w:rPr>
        <w:t xml:space="preserve"> states that there is no difference between the mean returns of the estimatio</w:t>
      </w:r>
      <w:r w:rsidR="00903C2D">
        <w:rPr>
          <w:rFonts w:ascii="Times New Roman" w:eastAsiaTheme="minorEastAsia" w:hAnsi="Times New Roman" w:cs="Times New Roman"/>
        </w:rPr>
        <w:t>n win</w:t>
      </w:r>
      <w:r w:rsidR="00F1023D">
        <w:rPr>
          <w:rFonts w:ascii="Times New Roman" w:eastAsiaTheme="minorEastAsia" w:hAnsi="Times New Roman" w:cs="Times New Roman"/>
        </w:rPr>
        <w:t>dow and event window.</w:t>
      </w:r>
      <w:r w:rsidR="00067CB2">
        <w:rPr>
          <w:rFonts w:ascii="Times New Roman" w:eastAsiaTheme="minorEastAsia" w:hAnsi="Times New Roman" w:cs="Times New Roman"/>
        </w:rPr>
        <w:t xml:space="preserve"> The alternative </w:t>
      </w:r>
      <w:r w:rsidR="00067CB2" w:rsidRPr="00881970">
        <w:rPr>
          <w:rFonts w:ascii="Times New Roman" w:eastAsiaTheme="minorEastAsia" w:hAnsi="Times New Roman" w:cs="Times New Roman"/>
        </w:rPr>
        <w:t>hypothesis</w:t>
      </w:r>
      <w:r w:rsidR="00881970" w:rsidRPr="00881970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="00881970" w:rsidRPr="00881970">
        <w:rPr>
          <w:rFonts w:ascii="Times New Roman" w:eastAsiaTheme="minorEastAsia" w:hAnsi="Times New Roman" w:cs="Times New Roman"/>
        </w:rPr>
        <w:t>)</w:t>
      </w:r>
      <w:r w:rsidR="00881970">
        <w:rPr>
          <w:rFonts w:ascii="Times New Roman" w:eastAsiaTheme="minorEastAsia" w:hAnsi="Times New Roman" w:cs="Times New Roman"/>
        </w:rPr>
        <w:t xml:space="preserve"> states that there is a statistically significant difference between the two means, indicating the presence of abnormal returns. </w:t>
      </w:r>
      <w:r w:rsidR="001229C2" w:rsidRPr="001229C2">
        <w:rPr>
          <w:rFonts w:ascii="Times New Roman" w:eastAsiaTheme="minorEastAsia" w:hAnsi="Times New Roman" w:cs="Times New Roman"/>
        </w:rPr>
        <w:t>The t-test yielded a t-statistic of -2.7226, while the critical values at the 5% significance level for a two-tailed test with 143 degrees of freedom were approximately ±1.9767.</w:t>
      </w:r>
    </w:p>
    <w:p w14:paraId="1317F21E" w14:textId="1FBA4081" w:rsidR="00D25FFC" w:rsidRDefault="00D25FFC" w:rsidP="00D25FF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AAA191A" wp14:editId="06FB0F60">
            <wp:extent cx="4391025" cy="2602905"/>
            <wp:effectExtent l="0" t="0" r="0" b="6985"/>
            <wp:docPr id="1912828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21" cy="261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AB614" w14:textId="410D5FC1" w:rsidR="00D25FFC" w:rsidRDefault="00D25FFC" w:rsidP="00D25F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the calculated </w:t>
      </w:r>
      <w:r w:rsidR="00D331DC">
        <w:rPr>
          <w:rFonts w:ascii="Times New Roman" w:eastAsiaTheme="minorEastAsia" w:hAnsi="Times New Roman" w:cs="Times New Roman"/>
        </w:rPr>
        <w:t>t-statistic falls beyond the negative critical value, the null hypothesis was rejected. Additionally, the two-tailed p-value</w:t>
      </w:r>
      <w:r w:rsidR="005460C5">
        <w:rPr>
          <w:rFonts w:ascii="Times New Roman" w:eastAsiaTheme="minorEastAsia" w:hAnsi="Times New Roman" w:cs="Times New Roman"/>
        </w:rPr>
        <w:t xml:space="preserve"> that resulted from the test was 0.0072, which is lower than both the 5% and 1% significance levels, providing strong evidence against the null hypothesis.</w:t>
      </w:r>
      <w:r w:rsidR="00BE567A">
        <w:rPr>
          <w:rFonts w:ascii="Times New Roman" w:eastAsiaTheme="minorEastAsia" w:hAnsi="Times New Roman" w:cs="Times New Roman"/>
        </w:rPr>
        <w:t xml:space="preserve"> The results suggest that the mean returns during the event window were significantly different from the mean returns during the estimation period. This statistical significance</w:t>
      </w:r>
      <w:r w:rsidR="0009247C">
        <w:rPr>
          <w:rFonts w:ascii="Times New Roman" w:eastAsiaTheme="minorEastAsia" w:hAnsi="Times New Roman" w:cs="Times New Roman"/>
        </w:rPr>
        <w:t xml:space="preserve"> </w:t>
      </w:r>
      <w:r w:rsidR="0009247C">
        <w:rPr>
          <w:rFonts w:ascii="Times New Roman" w:eastAsiaTheme="minorEastAsia" w:hAnsi="Times New Roman" w:cs="Times New Roman"/>
        </w:rPr>
        <w:lastRenderedPageBreak/>
        <w:t xml:space="preserve">supports the hypothesis that the announcement of Microsoft’s acquisition of Activision Blizzard had an impact on the </w:t>
      </w:r>
      <w:r w:rsidR="00932B5E">
        <w:rPr>
          <w:rFonts w:ascii="Times New Roman" w:eastAsiaTheme="minorEastAsia" w:hAnsi="Times New Roman" w:cs="Times New Roman"/>
        </w:rPr>
        <w:t>ATVI stock price</w:t>
      </w:r>
      <w:r w:rsidR="00BB38E4">
        <w:rPr>
          <w:rFonts w:ascii="Times New Roman" w:eastAsiaTheme="minorEastAsia" w:hAnsi="Times New Roman" w:cs="Times New Roman"/>
        </w:rPr>
        <w:t xml:space="preserve">, showing the market’s strong reaction to the event. </w:t>
      </w:r>
    </w:p>
    <w:p w14:paraId="7EF3F92E" w14:textId="4F64B087" w:rsidR="00BB38E4" w:rsidRDefault="00BB38E4" w:rsidP="00D25FFC">
      <w:pPr>
        <w:rPr>
          <w:rFonts w:ascii="Times New Roman" w:eastAsiaTheme="minorEastAsia" w:hAnsi="Times New Roman" w:cs="Times New Roman"/>
          <w:b/>
          <w:bCs/>
        </w:rPr>
      </w:pPr>
      <w:r w:rsidRPr="00BB38E4">
        <w:rPr>
          <w:rFonts w:ascii="Times New Roman" w:eastAsiaTheme="minorEastAsia" w:hAnsi="Times New Roman" w:cs="Times New Roman"/>
          <w:b/>
          <w:bCs/>
        </w:rPr>
        <w:t>CAPM Model Estimation</w:t>
      </w:r>
    </w:p>
    <w:p w14:paraId="3685EF01" w14:textId="32E76F27" w:rsidR="0073360E" w:rsidRPr="00B9195B" w:rsidRDefault="0073360E" w:rsidP="0073360E">
      <w:pPr>
        <w:spacing w:line="240" w:lineRule="auto"/>
        <w:rPr>
          <w:rFonts w:ascii="Times New Roman" w:eastAsiaTheme="minorEastAsia" w:hAnsi="Times New Roman" w:cs="Times New Roman"/>
        </w:rPr>
      </w:pPr>
      <w:r w:rsidRPr="0073360E">
        <w:rPr>
          <w:rFonts w:ascii="Times New Roman" w:eastAsiaTheme="minorEastAsia" w:hAnsi="Times New Roman" w:cs="Times New Roman"/>
        </w:rPr>
        <w:t>In addition to the t-test, a Capital Asset Pricing Model (CAPM) regression was conducted to estimate expected returns during the event window.</w:t>
      </w:r>
      <w:r>
        <w:rPr>
          <w:rFonts w:ascii="Times New Roman" w:eastAsiaTheme="minorEastAsia" w:hAnsi="Times New Roman" w:cs="Times New Roman"/>
        </w:rPr>
        <w:t xml:space="preserve"> </w:t>
      </w:r>
      <w:r w:rsidRPr="0073360E">
        <w:rPr>
          <w:rFonts w:ascii="Times New Roman" w:eastAsiaTheme="minorEastAsia" w:hAnsi="Times New Roman" w:cs="Times New Roman"/>
        </w:rPr>
        <w:t xml:space="preserve">The CAPM model relates the return of a stock to the return of the overall market, adjusted by the risk-free rate, and is expressed by the </w:t>
      </w:r>
      <w:r w:rsidRPr="00B9195B">
        <w:rPr>
          <w:rFonts w:ascii="Times New Roman" w:eastAsiaTheme="minorEastAsia" w:hAnsi="Times New Roman" w:cs="Times New Roman"/>
        </w:rPr>
        <w:t>following equation:</w:t>
      </w:r>
      <w:r w:rsidR="00911238" w:rsidRPr="00B9195B">
        <w:rPr>
          <w:rFonts w:ascii="Times New Roman" w:eastAsiaTheme="minorEastAsia" w:hAnsi="Times New Roman" w:cs="Times New Roman"/>
        </w:rPr>
        <w:t xml:space="preserve"> </w:t>
      </w:r>
    </w:p>
    <w:p w14:paraId="63EF427D" w14:textId="25FDB3EB" w:rsidR="0005422F" w:rsidRPr="00B9195B" w:rsidRDefault="0005422F" w:rsidP="004502A4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α+ 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e>
          </m:d>
        </m:oMath>
      </m:oMathPara>
    </w:p>
    <w:p w14:paraId="5C4BDD91" w14:textId="4AE83FA9" w:rsidR="00BD7661" w:rsidRPr="00B9195B" w:rsidRDefault="00BD7661" w:rsidP="00BD7661">
      <w:pPr>
        <w:spacing w:line="240" w:lineRule="auto"/>
        <w:rPr>
          <w:rFonts w:ascii="Times New Roman" w:eastAsiaTheme="minorEastAsia" w:hAnsi="Times New Roman" w:cs="Times New Roman"/>
        </w:rPr>
      </w:pPr>
      <w:r w:rsidRPr="00B9195B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B9195B">
        <w:rPr>
          <w:rFonts w:ascii="Times New Roman" w:eastAsiaTheme="minorEastAsia" w:hAnsi="Times New Roman" w:cs="Times New Roman"/>
        </w:rPr>
        <w:t xml:space="preserve">​ is the return of Activision Blizzard,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B9195B">
        <w:rPr>
          <w:rFonts w:ascii="Times New Roman" w:eastAsiaTheme="minorEastAsia" w:hAnsi="Times New Roman" w:cs="Times New Roman"/>
        </w:rPr>
        <w:t xml:space="preserve">​ is the return of the market (S&amp;P 500),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B9195B">
        <w:rPr>
          <w:rFonts w:ascii="Times New Roman" w:eastAsiaTheme="minorEastAsia" w:hAnsi="Times New Roman" w:cs="Times New Roman"/>
        </w:rPr>
        <w:t xml:space="preserve">is the risk-free rate (10-year U.S. Treasury yield),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B9195B">
        <w:rPr>
          <w:rFonts w:ascii="Times New Roman" w:eastAsiaTheme="minorEastAsia" w:hAnsi="Times New Roman" w:cs="Times New Roman"/>
        </w:rPr>
        <w:t xml:space="preserve"> is the intercept of the regression,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Pr="00B9195B">
        <w:rPr>
          <w:rFonts w:ascii="Times New Roman" w:eastAsiaTheme="minorEastAsia" w:hAnsi="Times New Roman" w:cs="Times New Roman"/>
        </w:rPr>
        <w:t xml:space="preserve">is the slope coefficient measuring sensitivity to the market excess return, and </w:t>
      </w:r>
      <m:oMath>
        <m:r>
          <w:rPr>
            <w:rFonts w:ascii="Cambria Math" w:eastAsiaTheme="minorEastAsia" w:hAnsi="Cambria Math" w:cs="Times New Roman"/>
          </w:rPr>
          <m:t>ϵ</m:t>
        </m:r>
      </m:oMath>
      <w:r w:rsidR="00081D6C" w:rsidRPr="00B9195B">
        <w:rPr>
          <w:rFonts w:ascii="Times New Roman" w:eastAsiaTheme="minorEastAsia" w:hAnsi="Times New Roman" w:cs="Times New Roman"/>
        </w:rPr>
        <w:t xml:space="preserve"> </w:t>
      </w:r>
      <w:r w:rsidRPr="00B9195B">
        <w:rPr>
          <w:rFonts w:ascii="Times New Roman" w:eastAsiaTheme="minorEastAsia" w:hAnsi="Times New Roman" w:cs="Times New Roman"/>
        </w:rPr>
        <w:t xml:space="preserve">is the error term, which is assumed to have an expected value of zero. </w:t>
      </w:r>
    </w:p>
    <w:p w14:paraId="6A3DAD84" w14:textId="4974A06E" w:rsidR="008A3F2A" w:rsidRDefault="002F0271" w:rsidP="008A3F2A">
      <w:pPr>
        <w:spacing w:line="240" w:lineRule="auto"/>
        <w:rPr>
          <w:rFonts w:ascii="Times New Roman" w:eastAsiaTheme="minorEastAsia" w:hAnsi="Times New Roman" w:cs="Times New Roman"/>
        </w:rPr>
      </w:pPr>
      <w:r w:rsidRPr="008A3F2A">
        <w:rPr>
          <w:rFonts w:ascii="Times New Roman" w:eastAsiaTheme="minorEastAsia" w:hAnsi="Times New Roman" w:cs="Times New Roman"/>
        </w:rPr>
        <w:t>The CAPM regression produced an intercept (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8A3F2A">
        <w:rPr>
          <w:rFonts w:ascii="Times New Roman" w:eastAsiaTheme="minorEastAsia" w:hAnsi="Times New Roman" w:cs="Times New Roman"/>
        </w:rPr>
        <w:t>) of -0.0085 with a p-value of 0.0030, and a slope coefficient (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D11006" w:rsidRPr="008A3F2A">
        <w:rPr>
          <w:rFonts w:ascii="Times New Roman" w:eastAsiaTheme="minorEastAsia" w:hAnsi="Times New Roman" w:cs="Times New Roman"/>
        </w:rPr>
        <w:t>)</w:t>
      </w:r>
      <w:r w:rsidRPr="008A3F2A">
        <w:rPr>
          <w:rFonts w:ascii="Times New Roman" w:eastAsiaTheme="minorEastAsia" w:hAnsi="Times New Roman" w:cs="Times New Roman"/>
        </w:rPr>
        <w:t>of 0.5500 with a p-value of 0.0021.</w:t>
      </w:r>
      <w:r w:rsidR="00AC2380" w:rsidRPr="008A3F2A">
        <w:rPr>
          <w:rFonts w:ascii="Times New Roman" w:eastAsiaTheme="minorEastAsia" w:hAnsi="Times New Roman" w:cs="Times New Roman"/>
        </w:rPr>
        <w:t xml:space="preserve"> </w:t>
      </w:r>
      <w:r w:rsidRPr="008A3F2A">
        <w:rPr>
          <w:rFonts w:ascii="Times New Roman" w:eastAsiaTheme="minorEastAsia" w:hAnsi="Times New Roman" w:cs="Times New Roman"/>
        </w:rPr>
        <w:t xml:space="preserve">Both coefficients were statistically significant at the 1% level, indicating that the model’s parameters were meaningful predictors of stock return </w:t>
      </w:r>
      <w:r w:rsidRPr="00616D49">
        <w:rPr>
          <w:rFonts w:ascii="Times New Roman" w:eastAsiaTheme="minorEastAsia" w:hAnsi="Times New Roman" w:cs="Times New Roman"/>
        </w:rPr>
        <w:t>behavior during the estimation period.</w:t>
      </w:r>
      <w:r w:rsidR="00561AA4" w:rsidRPr="00616D49">
        <w:rPr>
          <w:rFonts w:ascii="Times New Roman" w:eastAsiaTheme="minorEastAsia" w:hAnsi="Times New Roman" w:cs="Times New Roman"/>
        </w:rPr>
        <w:t xml:space="preserve"> </w:t>
      </w:r>
      <w:r w:rsidR="00561AA4" w:rsidRPr="00616D49">
        <w:rPr>
          <w:rFonts w:ascii="Times New Roman" w:eastAsiaTheme="minorEastAsia" w:hAnsi="Times New Roman" w:cs="Times New Roman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561AA4" w:rsidRPr="00616D49">
        <w:rPr>
          <w:rFonts w:ascii="Times New Roman" w:eastAsiaTheme="minorEastAsia" w:hAnsi="Times New Roman" w:cs="Times New Roman"/>
        </w:rPr>
        <w:t xml:space="preserve"> value was 7.02%, suggesting that while broader market movements explained a portion of Activision Blizzard’s returns, additional factors also influenced the stock’s performance.</w:t>
      </w:r>
      <w:r w:rsidR="00561AA4" w:rsidRPr="00616D49">
        <w:rPr>
          <w:rFonts w:ascii="Times New Roman" w:eastAsiaTheme="minorEastAsia" w:hAnsi="Times New Roman" w:cs="Times New Roman"/>
        </w:rPr>
        <w:t xml:space="preserve"> </w:t>
      </w:r>
      <w:r w:rsidR="00247CCF" w:rsidRPr="00616D49">
        <w:rPr>
          <w:rFonts w:ascii="Times New Roman" w:eastAsiaTheme="minorEastAsia" w:hAnsi="Times New Roman" w:cs="Times New Roman"/>
        </w:rPr>
        <w:t>The cumulative abnormal return (CAR) over the event window was approximately +29.10%, indicating a substantial positive reaction by the market to Microsoft's acquisition announcement.</w:t>
      </w:r>
      <w:r w:rsidR="00247CCF" w:rsidRPr="00616D49">
        <w:rPr>
          <w:rFonts w:ascii="Times New Roman" w:eastAsiaTheme="minorEastAsia" w:hAnsi="Times New Roman" w:cs="Times New Roman"/>
        </w:rPr>
        <w:t xml:space="preserve"> </w:t>
      </w:r>
      <w:r w:rsidR="008A3F2A" w:rsidRPr="00616D49">
        <w:rPr>
          <w:rFonts w:ascii="Times New Roman" w:eastAsiaTheme="minorEastAsia" w:hAnsi="Times New Roman" w:cs="Times New Roman"/>
        </w:rPr>
        <w:t>Overall, the CAPM model findings support the presence of statistically significant abnormal returns, reflecting both broader market effects and company-specific influences linked to the acquisition event.</w:t>
      </w:r>
    </w:p>
    <w:p w14:paraId="01490146" w14:textId="252B3160" w:rsidR="002821B6" w:rsidRPr="00616D49" w:rsidRDefault="000B7906" w:rsidP="002821B6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511F87C" wp14:editId="1D7660E6">
            <wp:extent cx="4525433" cy="2695920"/>
            <wp:effectExtent l="0" t="0" r="8890" b="9525"/>
            <wp:docPr id="571436471" name="Picture 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2777" name="Picture 1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54" cy="270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3AF1" w14:textId="77777777" w:rsidR="000B7906" w:rsidRDefault="000B7906" w:rsidP="00561AA4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0FD5161B" w14:textId="77777777" w:rsidR="000B7906" w:rsidRDefault="000B7906" w:rsidP="00561AA4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650B29CA" w14:textId="1DE90798" w:rsidR="00844BC6" w:rsidRPr="00616D49" w:rsidRDefault="00616D49" w:rsidP="00561AA4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616D49">
        <w:rPr>
          <w:rFonts w:ascii="Times New Roman" w:eastAsiaTheme="minorEastAsia" w:hAnsi="Times New Roman" w:cs="Times New Roman"/>
          <w:b/>
          <w:bCs/>
        </w:rPr>
        <w:lastRenderedPageBreak/>
        <w:t>Multifactor Regression Estimation</w:t>
      </w:r>
    </w:p>
    <w:p w14:paraId="05852D72" w14:textId="77777777" w:rsidR="00D739AF" w:rsidRPr="00337610" w:rsidRDefault="000B3B57" w:rsidP="00D739AF">
      <w:pPr>
        <w:spacing w:line="240" w:lineRule="auto"/>
        <w:rPr>
          <w:rFonts w:ascii="Times New Roman" w:eastAsiaTheme="minorEastAsia" w:hAnsi="Times New Roman" w:cs="Times New Roman"/>
        </w:rPr>
      </w:pPr>
      <w:r w:rsidRPr="00337610">
        <w:rPr>
          <w:rFonts w:ascii="Times New Roman" w:eastAsiaTheme="minorEastAsia" w:hAnsi="Times New Roman" w:cs="Times New Roman"/>
        </w:rPr>
        <w:t>To better capture sector-specific influences alongside market-wide movements, a multifactor regression was conducted.</w:t>
      </w:r>
      <w:r w:rsidR="005D6774" w:rsidRPr="00337610">
        <w:rPr>
          <w:rFonts w:ascii="Times New Roman" w:eastAsiaTheme="minorEastAsia" w:hAnsi="Times New Roman" w:cs="Times New Roman"/>
        </w:rPr>
        <w:t xml:space="preserve"> </w:t>
      </w:r>
      <w:r w:rsidR="005D6774" w:rsidRPr="00337610">
        <w:rPr>
          <w:rFonts w:ascii="Times New Roman" w:eastAsiaTheme="minorEastAsia" w:hAnsi="Times New Roman" w:cs="Times New Roman"/>
        </w:rPr>
        <w:t>In addition to the market excess return, the model included the returns of the ESPO ETF, which tracks gaming and eSports companies, as an explanatory variable.</w:t>
      </w:r>
      <w:r w:rsidR="00D739AF" w:rsidRPr="00337610">
        <w:rPr>
          <w:rFonts w:ascii="Times New Roman" w:eastAsiaTheme="minorEastAsia" w:hAnsi="Times New Roman" w:cs="Times New Roman"/>
        </w:rPr>
        <w:t xml:space="preserve"> </w:t>
      </w:r>
      <w:r w:rsidR="00D739AF" w:rsidRPr="00337610">
        <w:rPr>
          <w:rFonts w:ascii="Times New Roman" w:eastAsiaTheme="minorEastAsia" w:hAnsi="Times New Roman" w:cs="Times New Roman"/>
        </w:rPr>
        <w:t>The regression is expressed as:</w:t>
      </w:r>
    </w:p>
    <w:p w14:paraId="00752EA5" w14:textId="77777777" w:rsidR="005E2F58" w:rsidRPr="00337610" w:rsidRDefault="005E2F58" w:rsidP="005E2F58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=α+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ESPO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+ϵ</m:t>
          </m:r>
        </m:oMath>
      </m:oMathPara>
    </w:p>
    <w:p w14:paraId="19CBCF81" w14:textId="371A9157" w:rsidR="00616D49" w:rsidRPr="00337610" w:rsidRDefault="00D14A5C" w:rsidP="00D14A5C">
      <w:pPr>
        <w:spacing w:line="240" w:lineRule="auto"/>
        <w:rPr>
          <w:rFonts w:ascii="Times New Roman" w:eastAsiaTheme="minorEastAsia" w:hAnsi="Times New Roman" w:cs="Times New Roman"/>
        </w:rPr>
      </w:pPr>
      <w:r w:rsidRPr="00337610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ESPO</m:t>
            </m:r>
          </m:sub>
        </m:sSub>
      </m:oMath>
      <w:r w:rsidRPr="00337610">
        <w:rPr>
          <w:rFonts w:ascii="Times New Roman" w:eastAsiaTheme="minorEastAsia" w:hAnsi="Times New Roman" w:cs="Times New Roman"/>
        </w:rPr>
        <w:t xml:space="preserve"> </w:t>
      </w:r>
      <w:r w:rsidR="009A50FA" w:rsidRPr="00337610">
        <w:rPr>
          <w:rFonts w:ascii="Times New Roman" w:eastAsiaTheme="minorEastAsia" w:hAnsi="Times New Roman" w:cs="Times New Roman"/>
        </w:rPr>
        <w:t>the daily returns of the ESPO ETF.</w:t>
      </w:r>
    </w:p>
    <w:p w14:paraId="33E1B314" w14:textId="137DF427" w:rsidR="00337610" w:rsidRDefault="00337610" w:rsidP="00D14A5C">
      <w:pPr>
        <w:spacing w:line="240" w:lineRule="auto"/>
        <w:rPr>
          <w:rFonts w:ascii="Times New Roman" w:eastAsiaTheme="minorEastAsia" w:hAnsi="Times New Roman" w:cs="Times New Roman"/>
        </w:rPr>
      </w:pPr>
      <w:r w:rsidRPr="00337610">
        <w:rPr>
          <w:rFonts w:ascii="Times New Roman" w:eastAsiaTheme="minorEastAsia" w:hAnsi="Times New Roman" w:cs="Times New Roman"/>
        </w:rPr>
        <w:t xml:space="preserve">The multifactor regression produced an </w:t>
      </w:r>
      <w:proofErr w:type="gramStart"/>
      <w:r w:rsidRPr="00337610">
        <w:rPr>
          <w:rFonts w:ascii="Times New Roman" w:eastAsiaTheme="minorEastAsia" w:hAnsi="Times New Roman" w:cs="Times New Roman"/>
        </w:rPr>
        <w:t>intercept</w:t>
      </w:r>
      <w:proofErr w:type="gramEnd"/>
      <w:r w:rsidRPr="00337610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337610">
        <w:rPr>
          <w:rFonts w:ascii="Times New Roman" w:eastAsiaTheme="minorEastAsia" w:hAnsi="Times New Roman" w:cs="Times New Roman"/>
        </w:rPr>
        <w:t>) of -0.0118 (p = 0.4201), a market factor coefficient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37610">
        <w:rPr>
          <w:rFonts w:ascii="Times New Roman" w:eastAsiaTheme="minorEastAsia" w:hAnsi="Times New Roman" w:cs="Times New Roman"/>
        </w:rPr>
        <w:t>​) of 0.7134 (p = 0.4797), and a sector factor coefficient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37610">
        <w:rPr>
          <w:rFonts w:ascii="Times New Roman" w:eastAsiaTheme="minorEastAsia" w:hAnsi="Times New Roman" w:cs="Times New Roman"/>
        </w:rPr>
        <w:t>​) of 0.3071 (p = 0.0013).</w:t>
      </w:r>
      <w:r w:rsidR="00B96F74">
        <w:rPr>
          <w:rFonts w:ascii="Times New Roman" w:eastAsiaTheme="minorEastAsia" w:hAnsi="Times New Roman" w:cs="Times New Roman"/>
        </w:rPr>
        <w:t xml:space="preserve"> </w:t>
      </w:r>
      <w:r w:rsidR="00DF02E3" w:rsidRPr="00DF02E3">
        <w:rPr>
          <w:rFonts w:ascii="Times New Roman" w:eastAsiaTheme="minorEastAsia" w:hAnsi="Times New Roman" w:cs="Times New Roman"/>
        </w:rPr>
        <w:t xml:space="preserve">Only the sector factor was statistically significant at the 1% level, indicating that the ESPO returns were a meaningful predictor of Activision Blizzard’s stock movements during the estimation </w:t>
      </w:r>
      <w:r w:rsidR="00DF02E3" w:rsidRPr="00EC7926">
        <w:rPr>
          <w:rFonts w:ascii="Times New Roman" w:eastAsiaTheme="minorEastAsia" w:hAnsi="Times New Roman" w:cs="Times New Roman"/>
        </w:rPr>
        <w:t>period.</w:t>
      </w:r>
      <w:r w:rsidR="00EC7926" w:rsidRPr="00EC7926">
        <w:rPr>
          <w:rFonts w:ascii="Times New Roman" w:eastAsiaTheme="minorEastAsia" w:hAnsi="Times New Roman" w:cs="Times New Roman"/>
        </w:rPr>
        <w:t xml:space="preserve"> </w:t>
      </w:r>
      <w:r w:rsidR="00EC7926" w:rsidRPr="00EC7926">
        <w:rPr>
          <w:rFonts w:ascii="Times New Roman" w:eastAsiaTheme="minorEastAsia" w:hAnsi="Times New Roman" w:cs="Times New Roman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EC7926" w:rsidRPr="00EC7926">
        <w:rPr>
          <w:rFonts w:ascii="Times New Roman" w:eastAsiaTheme="minorEastAsia" w:hAnsi="Times New Roman" w:cs="Times New Roman"/>
        </w:rPr>
        <w:t>value of the model was 8.25%, showing a slight improvement compared to the single-factor CAPM model.</w:t>
      </w:r>
      <w:r w:rsidR="009019C5">
        <w:rPr>
          <w:rFonts w:ascii="Times New Roman" w:eastAsiaTheme="minorEastAsia" w:hAnsi="Times New Roman" w:cs="Times New Roman"/>
        </w:rPr>
        <w:t xml:space="preserve"> </w:t>
      </w:r>
      <w:r w:rsidR="009019C5" w:rsidRPr="009019C5">
        <w:rPr>
          <w:rFonts w:ascii="Times New Roman" w:eastAsiaTheme="minorEastAsia" w:hAnsi="Times New Roman" w:cs="Times New Roman"/>
        </w:rPr>
        <w:t>The cumulative abnormal return (CAR) over the event window remained approximately +29.10%, further supporting the conclusion that the acquisition announcement produced significant abnormal returns.</w:t>
      </w:r>
    </w:p>
    <w:p w14:paraId="4FC351B2" w14:textId="77777777" w:rsidR="009C5973" w:rsidRDefault="009C5973" w:rsidP="00D14A5C">
      <w:pPr>
        <w:spacing w:line="240" w:lineRule="auto"/>
        <w:rPr>
          <w:rFonts w:ascii="Times New Roman" w:eastAsiaTheme="minorEastAsia" w:hAnsi="Times New Roman" w:cs="Times New Roman"/>
        </w:rPr>
      </w:pPr>
    </w:p>
    <w:p w14:paraId="1BA0C9D8" w14:textId="773C7DF1" w:rsidR="009C5973" w:rsidRDefault="009C5973" w:rsidP="00D14A5C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9C5973">
        <w:rPr>
          <w:rFonts w:ascii="Times New Roman" w:eastAsiaTheme="minorEastAsia" w:hAnsi="Times New Roman" w:cs="Times New Roman"/>
          <w:b/>
          <w:bCs/>
        </w:rPr>
        <w:t>Interpretation and Conclusion</w:t>
      </w:r>
    </w:p>
    <w:p w14:paraId="4E30A1CA" w14:textId="28853DB6" w:rsidR="009C5973" w:rsidRPr="00A22768" w:rsidRDefault="00A22768" w:rsidP="00D14A5C">
      <w:pPr>
        <w:spacing w:line="240" w:lineRule="auto"/>
        <w:rPr>
          <w:rFonts w:ascii="Times New Roman" w:eastAsiaTheme="minorEastAsia" w:hAnsi="Times New Roman" w:cs="Times New Roman"/>
        </w:rPr>
      </w:pPr>
      <w:r w:rsidRPr="00A22768">
        <w:rPr>
          <w:rFonts w:ascii="Times New Roman" w:eastAsiaTheme="minorEastAsia" w:hAnsi="Times New Roman" w:cs="Times New Roman"/>
        </w:rPr>
        <w:t xml:space="preserve">This event study analyzed the impact of Microsoft's acquisition announcement on Activision Blizzard’s stock </w:t>
      </w:r>
      <w:r w:rsidRPr="004D644C">
        <w:rPr>
          <w:rFonts w:ascii="Times New Roman" w:eastAsiaTheme="minorEastAsia" w:hAnsi="Times New Roman" w:cs="Times New Roman"/>
        </w:rPr>
        <w:t>returns using a combination of statistical techniques, including a two-sample t-test, a CAPM regression, and a multifactor regression incorporating sector-specific factors.</w:t>
      </w:r>
      <w:r w:rsidRPr="004D644C">
        <w:rPr>
          <w:rFonts w:ascii="Times New Roman" w:eastAsiaTheme="minorEastAsia" w:hAnsi="Times New Roman" w:cs="Times New Roman"/>
        </w:rPr>
        <w:t xml:space="preserve"> </w:t>
      </w:r>
      <w:r w:rsidR="009432E1" w:rsidRPr="004D644C">
        <w:rPr>
          <w:rFonts w:ascii="Times New Roman" w:eastAsiaTheme="minorEastAsia" w:hAnsi="Times New Roman" w:cs="Times New Roman"/>
        </w:rPr>
        <w:t>The results from the two-sample t-test indicated a statistically significant difference between the mean returns of the estimation and event windows, suggesting the presence of abnormal returns surrounding the announcement date.</w:t>
      </w:r>
      <w:r w:rsidR="009432E1" w:rsidRPr="004D644C">
        <w:rPr>
          <w:rFonts w:ascii="Times New Roman" w:eastAsiaTheme="minorEastAsia" w:hAnsi="Times New Roman" w:cs="Times New Roman"/>
        </w:rPr>
        <w:t xml:space="preserve"> </w:t>
      </w:r>
      <w:r w:rsidR="006F0B0B" w:rsidRPr="004D644C">
        <w:rPr>
          <w:rFonts w:ascii="Times New Roman" w:eastAsiaTheme="minorEastAsia" w:hAnsi="Times New Roman" w:cs="Times New Roman"/>
        </w:rPr>
        <w:t xml:space="preserve">The CAPM regression further confirmed the existence of abnormal returns, with both the </w:t>
      </w:r>
      <w:proofErr w:type="gramStart"/>
      <w:r w:rsidR="006F0B0B" w:rsidRPr="004D644C">
        <w:rPr>
          <w:rFonts w:ascii="Times New Roman" w:eastAsiaTheme="minorEastAsia" w:hAnsi="Times New Roman" w:cs="Times New Roman"/>
        </w:rPr>
        <w:t>intercept</w:t>
      </w:r>
      <w:proofErr w:type="gramEnd"/>
      <w:r w:rsidR="006F0B0B" w:rsidRPr="004D644C">
        <w:rPr>
          <w:rFonts w:ascii="Times New Roman" w:eastAsiaTheme="minorEastAsia" w:hAnsi="Times New Roman" w:cs="Times New Roman"/>
        </w:rPr>
        <w:t xml:space="preserve"> and the market sensitivity coefficient (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6F0B0B" w:rsidRPr="004D644C">
        <w:rPr>
          <w:rFonts w:ascii="Times New Roman" w:eastAsiaTheme="minorEastAsia" w:hAnsi="Times New Roman" w:cs="Times New Roman"/>
        </w:rPr>
        <w:t>)</w:t>
      </w:r>
      <w:r w:rsidR="006F0B0B" w:rsidRPr="004D644C">
        <w:rPr>
          <w:rFonts w:ascii="Times New Roman" w:eastAsiaTheme="minorEastAsia" w:hAnsi="Times New Roman" w:cs="Times New Roman"/>
        </w:rPr>
        <w:t xml:space="preserve">being </w:t>
      </w:r>
      <w:r w:rsidR="006F0B0B" w:rsidRPr="004F5F46">
        <w:rPr>
          <w:rFonts w:ascii="Times New Roman" w:eastAsiaTheme="minorEastAsia" w:hAnsi="Times New Roman" w:cs="Times New Roman"/>
        </w:rPr>
        <w:t>statistically significant at the 1% level.</w:t>
      </w:r>
      <w:r w:rsidR="004D644C" w:rsidRPr="004F5F46">
        <w:rPr>
          <w:rFonts w:ascii="Times New Roman" w:eastAsiaTheme="minorEastAsia" w:hAnsi="Times New Roman" w:cs="Times New Roman"/>
        </w:rPr>
        <w:t xml:space="preserve"> </w:t>
      </w:r>
      <w:r w:rsidR="004D644C" w:rsidRPr="004F5F46">
        <w:rPr>
          <w:rFonts w:ascii="Times New Roman" w:eastAsiaTheme="minorEastAsia" w:hAnsi="Times New Roman" w:cs="Times New Roman"/>
        </w:rPr>
        <w:t>Although the CAPM model explained only about 7% of the variation in returns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4D644C" w:rsidRPr="004F5F46">
        <w:rPr>
          <w:rFonts w:ascii="Times New Roman" w:eastAsiaTheme="minorEastAsia" w:hAnsi="Times New Roman" w:cs="Times New Roman"/>
        </w:rPr>
        <w:t xml:space="preserve"> =0.0702), the large cumulative abnormal return (CAR) of approximately +29.10% strongly indicated a substantial positive market reaction.</w:t>
      </w:r>
      <w:r w:rsidR="000D40F8" w:rsidRPr="004F5F46">
        <w:rPr>
          <w:rFonts w:ascii="Times New Roman" w:eastAsiaTheme="minorEastAsia" w:hAnsi="Times New Roman" w:cs="Times New Roman"/>
        </w:rPr>
        <w:t xml:space="preserve"> </w:t>
      </w:r>
      <w:r w:rsidR="000D40F8" w:rsidRPr="004F5F46">
        <w:rPr>
          <w:rFonts w:ascii="Times New Roman" w:eastAsiaTheme="minorEastAsia" w:hAnsi="Times New Roman" w:cs="Times New Roman"/>
        </w:rPr>
        <w:t>The multifactor regression, which incorporated returns from the ESPO gaming ETF, showed that sector-specific influences contributed meaningfully to Activision Blizzard’s return behavior.</w:t>
      </w:r>
      <w:r w:rsidR="00CD5EBD" w:rsidRPr="004F5F46">
        <w:rPr>
          <w:rFonts w:ascii="Times New Roman" w:eastAsiaTheme="minorEastAsia" w:hAnsi="Times New Roman" w:cs="Times New Roman"/>
        </w:rPr>
        <w:t xml:space="preserve"> </w:t>
      </w:r>
      <w:r w:rsidR="00CD5EBD" w:rsidRPr="004F5F46">
        <w:rPr>
          <w:rFonts w:ascii="Times New Roman" w:eastAsiaTheme="minorEastAsia" w:hAnsi="Times New Roman" w:cs="Times New Roman"/>
        </w:rPr>
        <w:t>In this model, the ESPO factor was statistically significant, while the broader market factor and the risk-free rate were not, highlighting the importance of industry dynamics in explaining the stock’s reaction to the event.</w:t>
      </w:r>
      <w:r w:rsidR="00181F36" w:rsidRPr="004F5F46">
        <w:rPr>
          <w:rFonts w:ascii="Times New Roman" w:eastAsiaTheme="minorEastAsia" w:hAnsi="Times New Roman" w:cs="Times New Roman"/>
        </w:rPr>
        <w:t xml:space="preserve"> </w:t>
      </w:r>
      <w:r w:rsidR="00181F36" w:rsidRPr="004F5F46">
        <w:rPr>
          <w:rFonts w:ascii="Times New Roman" w:eastAsiaTheme="minorEastAsia" w:hAnsi="Times New Roman" w:cs="Times New Roman"/>
        </w:rPr>
        <w:t>In conclusion, the evidence consistently supports the view that Microsoft's acquisition announcement generated significant positive abnormal returns for Activision Blizzard shareholders.</w:t>
      </w:r>
      <w:r w:rsidR="004F5F46" w:rsidRPr="004F5F46">
        <w:rPr>
          <w:rFonts w:ascii="Times New Roman" w:eastAsiaTheme="minorEastAsia" w:hAnsi="Times New Roman" w:cs="Times New Roman"/>
        </w:rPr>
        <w:t xml:space="preserve"> </w:t>
      </w:r>
      <w:r w:rsidR="004F5F46" w:rsidRPr="004F5F46">
        <w:rPr>
          <w:rFonts w:ascii="Times New Roman" w:eastAsiaTheme="minorEastAsia" w:hAnsi="Times New Roman" w:cs="Times New Roman"/>
        </w:rPr>
        <w:t>Both broader market trends and sector-specific movements, particularly within the gaming industry, played important roles in shaping investor reactions to the event.</w:t>
      </w:r>
    </w:p>
    <w:sectPr w:rsidR="009C5973" w:rsidRPr="00A2276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0B1E2" w14:textId="77777777" w:rsidR="00BB38E4" w:rsidRDefault="00BB38E4" w:rsidP="00BB38E4">
      <w:pPr>
        <w:spacing w:after="0" w:line="240" w:lineRule="auto"/>
      </w:pPr>
      <w:r>
        <w:separator/>
      </w:r>
    </w:p>
  </w:endnote>
  <w:endnote w:type="continuationSeparator" w:id="0">
    <w:p w14:paraId="264EA5E5" w14:textId="77777777" w:rsidR="00BB38E4" w:rsidRDefault="00BB38E4" w:rsidP="00BB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147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F3A5E" w14:textId="77777777" w:rsidR="00BB38E4" w:rsidRDefault="00BB38E4">
        <w:pPr>
          <w:pStyle w:val="Footer"/>
          <w:jc w:val="right"/>
        </w:pPr>
      </w:p>
      <w:p w14:paraId="3FFAFA38" w14:textId="0420D746" w:rsidR="00BB38E4" w:rsidRDefault="00BB38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1DBE5" w14:textId="77777777" w:rsidR="00BB38E4" w:rsidRDefault="00BB3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5AC23" w14:textId="77777777" w:rsidR="00BB38E4" w:rsidRDefault="00BB38E4" w:rsidP="00BB38E4">
      <w:pPr>
        <w:spacing w:after="0" w:line="240" w:lineRule="auto"/>
      </w:pPr>
      <w:r>
        <w:separator/>
      </w:r>
    </w:p>
  </w:footnote>
  <w:footnote w:type="continuationSeparator" w:id="0">
    <w:p w14:paraId="58D3C539" w14:textId="77777777" w:rsidR="00BB38E4" w:rsidRDefault="00BB38E4" w:rsidP="00BB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27"/>
    <w:rsid w:val="0001141A"/>
    <w:rsid w:val="000305F2"/>
    <w:rsid w:val="00037B50"/>
    <w:rsid w:val="0005422F"/>
    <w:rsid w:val="00067CB2"/>
    <w:rsid w:val="00081D6C"/>
    <w:rsid w:val="0009247C"/>
    <w:rsid w:val="000A55F5"/>
    <w:rsid w:val="000B3B57"/>
    <w:rsid w:val="000B7906"/>
    <w:rsid w:val="000D40F8"/>
    <w:rsid w:val="000D74A9"/>
    <w:rsid w:val="000D7C96"/>
    <w:rsid w:val="000F5242"/>
    <w:rsid w:val="00100D56"/>
    <w:rsid w:val="001229C2"/>
    <w:rsid w:val="0012431F"/>
    <w:rsid w:val="00181F36"/>
    <w:rsid w:val="00190225"/>
    <w:rsid w:val="001A21E8"/>
    <w:rsid w:val="001A467E"/>
    <w:rsid w:val="001A58DE"/>
    <w:rsid w:val="00221911"/>
    <w:rsid w:val="002271F2"/>
    <w:rsid w:val="00245FE0"/>
    <w:rsid w:val="00247CCF"/>
    <w:rsid w:val="0027091A"/>
    <w:rsid w:val="002821B6"/>
    <w:rsid w:val="002C5A41"/>
    <w:rsid w:val="002C6113"/>
    <w:rsid w:val="002F0271"/>
    <w:rsid w:val="002F666F"/>
    <w:rsid w:val="00315C19"/>
    <w:rsid w:val="00317E9D"/>
    <w:rsid w:val="003353A9"/>
    <w:rsid w:val="00337610"/>
    <w:rsid w:val="00354D6E"/>
    <w:rsid w:val="00374918"/>
    <w:rsid w:val="003C78F7"/>
    <w:rsid w:val="00403924"/>
    <w:rsid w:val="004275F8"/>
    <w:rsid w:val="004450D3"/>
    <w:rsid w:val="004502A4"/>
    <w:rsid w:val="004526B2"/>
    <w:rsid w:val="004527B2"/>
    <w:rsid w:val="00463586"/>
    <w:rsid w:val="00463ADF"/>
    <w:rsid w:val="004A399C"/>
    <w:rsid w:val="004D644C"/>
    <w:rsid w:val="004E3608"/>
    <w:rsid w:val="004F5F46"/>
    <w:rsid w:val="00527913"/>
    <w:rsid w:val="005460C5"/>
    <w:rsid w:val="005525DC"/>
    <w:rsid w:val="00560FED"/>
    <w:rsid w:val="00561AA4"/>
    <w:rsid w:val="00563007"/>
    <w:rsid w:val="005A4AC9"/>
    <w:rsid w:val="005C57D0"/>
    <w:rsid w:val="005D05EB"/>
    <w:rsid w:val="005D6774"/>
    <w:rsid w:val="005E2F58"/>
    <w:rsid w:val="005F64DA"/>
    <w:rsid w:val="00601630"/>
    <w:rsid w:val="006138C4"/>
    <w:rsid w:val="00616D49"/>
    <w:rsid w:val="0067612E"/>
    <w:rsid w:val="00684610"/>
    <w:rsid w:val="006C18F9"/>
    <w:rsid w:val="006F0B0B"/>
    <w:rsid w:val="007115BD"/>
    <w:rsid w:val="0072394D"/>
    <w:rsid w:val="00730948"/>
    <w:rsid w:val="0073360E"/>
    <w:rsid w:val="0077413D"/>
    <w:rsid w:val="00780723"/>
    <w:rsid w:val="00783EC5"/>
    <w:rsid w:val="00794415"/>
    <w:rsid w:val="007A1ADA"/>
    <w:rsid w:val="007F4293"/>
    <w:rsid w:val="00800EA8"/>
    <w:rsid w:val="008236E8"/>
    <w:rsid w:val="00826C09"/>
    <w:rsid w:val="00843F94"/>
    <w:rsid w:val="00844BC6"/>
    <w:rsid w:val="00845C0E"/>
    <w:rsid w:val="00881970"/>
    <w:rsid w:val="008A0927"/>
    <w:rsid w:val="008A3F2A"/>
    <w:rsid w:val="008B7A13"/>
    <w:rsid w:val="008E2426"/>
    <w:rsid w:val="008E2A66"/>
    <w:rsid w:val="008E32B9"/>
    <w:rsid w:val="009019C5"/>
    <w:rsid w:val="00902765"/>
    <w:rsid w:val="00903C2D"/>
    <w:rsid w:val="009050B8"/>
    <w:rsid w:val="00911238"/>
    <w:rsid w:val="00923380"/>
    <w:rsid w:val="009328C7"/>
    <w:rsid w:val="00932B5E"/>
    <w:rsid w:val="009346B5"/>
    <w:rsid w:val="009432E1"/>
    <w:rsid w:val="009968BA"/>
    <w:rsid w:val="009A057B"/>
    <w:rsid w:val="009A50FA"/>
    <w:rsid w:val="009B4289"/>
    <w:rsid w:val="009C1CF8"/>
    <w:rsid w:val="009C5973"/>
    <w:rsid w:val="009C5DFE"/>
    <w:rsid w:val="009D2C3B"/>
    <w:rsid w:val="009E373B"/>
    <w:rsid w:val="00A22768"/>
    <w:rsid w:val="00A52167"/>
    <w:rsid w:val="00A55763"/>
    <w:rsid w:val="00A65A3D"/>
    <w:rsid w:val="00AA5CC9"/>
    <w:rsid w:val="00AB69CB"/>
    <w:rsid w:val="00AC2380"/>
    <w:rsid w:val="00AC2DD5"/>
    <w:rsid w:val="00AD7560"/>
    <w:rsid w:val="00AF2B73"/>
    <w:rsid w:val="00B312A9"/>
    <w:rsid w:val="00B37BD4"/>
    <w:rsid w:val="00B43924"/>
    <w:rsid w:val="00B60068"/>
    <w:rsid w:val="00B65F9C"/>
    <w:rsid w:val="00B84E03"/>
    <w:rsid w:val="00B9195B"/>
    <w:rsid w:val="00B94F4F"/>
    <w:rsid w:val="00B96F74"/>
    <w:rsid w:val="00BA6045"/>
    <w:rsid w:val="00BB1FC2"/>
    <w:rsid w:val="00BB38E4"/>
    <w:rsid w:val="00BB4B5F"/>
    <w:rsid w:val="00BD4718"/>
    <w:rsid w:val="00BD7661"/>
    <w:rsid w:val="00BE260D"/>
    <w:rsid w:val="00BE567A"/>
    <w:rsid w:val="00BF7C78"/>
    <w:rsid w:val="00C44433"/>
    <w:rsid w:val="00C5536B"/>
    <w:rsid w:val="00C64D9A"/>
    <w:rsid w:val="00C677D2"/>
    <w:rsid w:val="00C73497"/>
    <w:rsid w:val="00C767C3"/>
    <w:rsid w:val="00C84D1C"/>
    <w:rsid w:val="00C93EE2"/>
    <w:rsid w:val="00CB3560"/>
    <w:rsid w:val="00CC7B20"/>
    <w:rsid w:val="00CD5EBD"/>
    <w:rsid w:val="00CE5ABC"/>
    <w:rsid w:val="00CF3210"/>
    <w:rsid w:val="00D11006"/>
    <w:rsid w:val="00D14A5C"/>
    <w:rsid w:val="00D17A5E"/>
    <w:rsid w:val="00D20418"/>
    <w:rsid w:val="00D25FFC"/>
    <w:rsid w:val="00D331DC"/>
    <w:rsid w:val="00D41CBA"/>
    <w:rsid w:val="00D4613E"/>
    <w:rsid w:val="00D567EE"/>
    <w:rsid w:val="00D739AF"/>
    <w:rsid w:val="00D91572"/>
    <w:rsid w:val="00DF02E3"/>
    <w:rsid w:val="00E06F9B"/>
    <w:rsid w:val="00E30E1F"/>
    <w:rsid w:val="00E310E8"/>
    <w:rsid w:val="00E33D23"/>
    <w:rsid w:val="00E40CC4"/>
    <w:rsid w:val="00E77B43"/>
    <w:rsid w:val="00E815C6"/>
    <w:rsid w:val="00E95379"/>
    <w:rsid w:val="00EB395C"/>
    <w:rsid w:val="00EC7926"/>
    <w:rsid w:val="00EE2F5F"/>
    <w:rsid w:val="00EF2758"/>
    <w:rsid w:val="00F1023D"/>
    <w:rsid w:val="00F37079"/>
    <w:rsid w:val="00F62F0B"/>
    <w:rsid w:val="00FA264A"/>
    <w:rsid w:val="00FA41F3"/>
    <w:rsid w:val="00FE5ED5"/>
    <w:rsid w:val="00FE653B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53401E"/>
  <w15:chartTrackingRefBased/>
  <w15:docId w15:val="{5BFE6496-5F8C-49D9-B331-C7480C2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27"/>
  </w:style>
  <w:style w:type="paragraph" w:styleId="Heading1">
    <w:name w:val="heading 1"/>
    <w:basedOn w:val="Normal"/>
    <w:next w:val="Normal"/>
    <w:link w:val="Heading1Char"/>
    <w:uiPriority w:val="9"/>
    <w:qFormat/>
    <w:rsid w:val="008A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E4"/>
  </w:style>
  <w:style w:type="paragraph" w:styleId="Footer">
    <w:name w:val="footer"/>
    <w:basedOn w:val="Normal"/>
    <w:link w:val="FooterChar"/>
    <w:uiPriority w:val="99"/>
    <w:unhideWhenUsed/>
    <w:rsid w:val="00BB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E4"/>
  </w:style>
  <w:style w:type="character" w:styleId="PlaceholderText">
    <w:name w:val="Placeholder Text"/>
    <w:basedOn w:val="DefaultParagraphFont"/>
    <w:uiPriority w:val="99"/>
    <w:semiHidden/>
    <w:rsid w:val="002F02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4D18-8515-48D1-8179-6C3F1E07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Khoury</dc:creator>
  <cp:keywords/>
  <dc:description/>
  <cp:lastModifiedBy>Andrew Khoury</cp:lastModifiedBy>
  <cp:revision>2</cp:revision>
  <dcterms:created xsi:type="dcterms:W3CDTF">2025-04-27T22:50:00Z</dcterms:created>
  <dcterms:modified xsi:type="dcterms:W3CDTF">2025-04-27T22:50:00Z</dcterms:modified>
</cp:coreProperties>
</file>