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titulo-principal"/>
        <w:bidi w:val="0"/>
        <w:spacing w:before="240" w:after="60"/>
        <w:ind w:hanging="0" w:left="0" w:right="0"/>
        <w:rPr/>
      </w:pPr>
      <w:r>
        <w:rPr/>
        <w:t>Anexo I — Roadmap de Implantação</w:t>
      </w:r>
    </w:p>
    <w:p>
      <w:pPr>
        <w:pStyle w:val="Heading1subtitulo"/>
        <w:bidi w:val="0"/>
        <w:rPr/>
      </w:pPr>
      <w:r>
        <w:rPr/>
        <w:t>Contrato de Prestação de Serviços de Tecnologia, IA e Automação</w:t>
      </w:r>
    </w:p>
    <w:p>
      <w:pPr>
        <w:pStyle w:val="BodyTextref-line"/>
        <w:bidi w:val="0"/>
        <w:rPr/>
      </w:pPr>
      <w:r>
        <w:rPr/>
        <w:t>Proposta Comercial 003/2026  |  Medicine × Tudo Mudou!  |  14.05.2026</w:t>
      </w:r>
    </w:p>
    <w:p>
      <w:pPr>
        <w:pStyle w:val="HorizontalLine"/>
        <w:bidi w:val="0"/>
        <w:jc w:val="left"/>
        <w:rPr/>
      </w:pPr>
      <w:r>
        <w:rPr/>
      </w:r>
    </w:p>
    <w:p>
      <w:pPr>
        <w:pStyle w:val="BodyText"/>
        <w:bidi w:val="0"/>
        <w:spacing w:before="240" w:after="240"/>
        <w:ind w:hanging="0" w:left="240" w:right="240"/>
        <w:rPr>
          <w:sz w:val="21"/>
        </w:rPr>
      </w:pPr>
      <w:r>
        <w:rPr>
          <w:b/>
          <w:sz w:val="21"/>
        </w:rPr>
        <w:t>Contratante:</w:t>
      </w:r>
      <w:r>
        <w:rPr>
          <w:sz w:val="21"/>
        </w:rPr>
        <w:t xml:space="preserve"> Med Cine Editora e Filmagem Ltda (Medicine) — CNPJ: 07.050.619/0001-50</w:t>
      </w:r>
    </w:p>
    <w:p>
      <w:pPr>
        <w:pStyle w:val="BodyText"/>
        <w:bidi w:val="0"/>
        <w:spacing w:before="240" w:after="240"/>
        <w:ind w:hanging="0" w:left="240" w:right="240"/>
        <w:rPr>
          <w:sz w:val="21"/>
        </w:rPr>
      </w:pPr>
      <w:r>
        <w:rPr>
          <w:b/>
          <w:sz w:val="21"/>
        </w:rPr>
        <w:t>Contratada:</w:t>
      </w:r>
      <w:r>
        <w:rPr>
          <w:sz w:val="21"/>
        </w:rPr>
        <w:t xml:space="preserve"> Tudo Mudou Marketing e Consultoria LTDA — CNPJ: 40.790.711/0001-21</w:t>
      </w:r>
    </w:p>
    <w:p>
      <w:pPr>
        <w:pStyle w:val="BodyText"/>
        <w:bidi w:val="0"/>
        <w:spacing w:before="240" w:after="240"/>
        <w:ind w:hanging="0" w:left="240" w:right="240"/>
        <w:rPr>
          <w:sz w:val="21"/>
        </w:rPr>
      </w:pPr>
      <w:r>
        <w:rPr>
          <w:b/>
          <w:sz w:val="21"/>
        </w:rPr>
        <w:t>Data de referência:</w:t>
      </w:r>
      <w:r>
        <w:rPr>
          <w:sz w:val="21"/>
        </w:rPr>
        <w:t xml:space="preserve"> 14 de maio de 2026</w:t>
      </w:r>
    </w:p>
    <w:p>
      <w:pPr>
        <w:pStyle w:val="BodyText"/>
        <w:bidi w:val="0"/>
        <w:spacing w:before="240" w:after="240"/>
        <w:ind w:hanging="0" w:left="240" w:right="240"/>
        <w:rPr>
          <w:sz w:val="21"/>
        </w:rPr>
      </w:pPr>
      <w:r>
        <w:rPr>
          <w:b/>
          <w:sz w:val="21"/>
        </w:rPr>
        <w:t>Prazo total previsto:</w:t>
      </w:r>
      <w:r>
        <w:rPr>
          <w:sz w:val="21"/>
        </w:rPr>
        <w:t xml:space="preserve"> 6 (seis) semanas a partir do aceite + entrega dos acessos</w:t>
      </w:r>
    </w:p>
    <w:p>
      <w:pPr>
        <w:pStyle w:val="HorizontalLine"/>
        <w:bidi w:val="0"/>
        <w:jc w:val="left"/>
        <w:rPr/>
      </w:pPr>
      <w:r>
        <w:rPr/>
      </w:r>
    </w:p>
    <w:p>
      <w:pPr>
        <w:pStyle w:val="Heading2secao"/>
        <w:bidi w:val="0"/>
        <w:jc w:val="left"/>
        <w:rPr/>
      </w:pPr>
      <w:r>
        <w:rPr/>
        <w:t>1. Finalidade deste Anexo</w:t>
      </w:r>
    </w:p>
    <w:p>
      <w:pPr>
        <w:pStyle w:val="BodyText"/>
        <w:bidi w:val="0"/>
        <w:rPr/>
      </w:pPr>
      <w:r>
        <w:rPr/>
        <w:t>O presente Anexo I integra o Contrato de Prestação de Serviços de Tecnologia, IA e Automação firmado entre as Partes e tem por finalidade detalhar o cronograma de implantação das soluções contratadas, especificando as fases, semanas, objetivos, tarefas e entregáveis de cada etapa do projeto.</w:t>
      </w:r>
    </w:p>
    <w:p>
      <w:pPr>
        <w:pStyle w:val="BodyText"/>
        <w:bidi w:val="0"/>
        <w:ind w:hanging="0" w:left="0" w:right="0"/>
        <w:rPr/>
      </w:pPr>
      <w:r>
        <w:rPr/>
        <w:t xml:space="preserve">O roadmap é estruturado em </w:t>
      </w:r>
      <w:r>
        <w:rPr>
          <w:b/>
        </w:rPr>
        <w:t>3 (três) fases sequenciais</w:t>
      </w:r>
      <w:r>
        <w:rPr/>
        <w:t>, com duração total de até 6 (seis) semanas a partir do kickoff, o qual somente será iniciado após: (i) assinatura do contrato; (ii) pagamento da primeira parcela do setup; e (iii) entrega pela CONTRATANTE de todos os acessos e credenciais necessários, conforme checklist a ser fornecido pela CONTRATADA.</w:t>
      </w:r>
    </w:p>
    <w:p>
      <w:pPr>
        <w:pStyle w:val="BodyText"/>
        <w:bidi w:val="0"/>
        <w:rPr/>
      </w:pPr>
      <w:r>
        <w:rPr/>
        <w:t>O cumprimento dos prazos previstos depende da colaboração ativa da CONTRATANTE, especialmente no que se refere à entrega tempestiva de acessos, validações e aprovações. Atrasos de responsabilidade da CONTRATANTE implicarão prorrogação proporcional dos prazos, sem ônus para a CONTRATADA.</w:t>
      </w:r>
    </w:p>
    <w:p>
      <w:pPr>
        <w:pStyle w:val="Heading2secao"/>
        <w:bidi w:val="0"/>
        <w:jc w:val="left"/>
        <w:rPr/>
      </w:pPr>
      <w:r>
        <w:rPr/>
        <w:t>2. Visão Geral do Cronograma</w:t>
      </w:r>
    </w:p>
    <w:p>
      <w:pPr>
        <w:pStyle w:val="BodyText"/>
        <w:bidi w:val="0"/>
        <w:spacing w:before="300" w:after="300"/>
        <w:ind w:hanging="0" w:left="300" w:right="300"/>
        <w:rPr>
          <w:b/>
          <w:sz w:val="20"/>
        </w:rPr>
      </w:pPr>
      <w:r>
        <w:rPr>
          <w:b/>
          <w:sz w:val="20"/>
        </w:rPr>
        <w:t>Fase 01</w:t>
      </w:r>
    </w:p>
    <w:p>
      <w:pPr>
        <w:pStyle w:val="BodyText"/>
        <w:bidi w:val="0"/>
        <w:spacing w:before="300" w:after="300"/>
        <w:ind w:hanging="0" w:left="300" w:right="300"/>
        <w:rPr/>
      </w:pPr>
      <w:r>
        <w:rPr>
          <w:color w:val="555555"/>
          <w:sz w:val="18"/>
        </w:rPr>
        <w:t>Semanas 1–2  ·  Discovery &amp; Modelagem</w:t>
      </w:r>
      <w:r>
        <w:rPr/>
        <w:t xml:space="preserve"> </w:t>
      </w:r>
    </w:p>
    <w:p>
      <w:pPr>
        <w:pStyle w:val="BodyText"/>
        <w:bidi w:val="0"/>
        <w:spacing w:before="300" w:after="300"/>
        <w:ind w:hanging="0" w:left="300" w:right="300"/>
        <w:rPr>
          <w:b/>
          <w:sz w:val="20"/>
        </w:rPr>
      </w:pPr>
      <w:r>
        <w:rPr>
          <w:b/>
          <w:sz w:val="20"/>
        </w:rPr>
        <w:t>Fase 02</w:t>
      </w:r>
    </w:p>
    <w:p>
      <w:pPr>
        <w:pStyle w:val="BodyText"/>
        <w:bidi w:val="0"/>
        <w:spacing w:before="300" w:after="300"/>
        <w:ind w:hanging="0" w:left="300" w:right="300"/>
        <w:rPr/>
      </w:pPr>
      <w:r>
        <w:rPr>
          <w:color w:val="555555"/>
          <w:sz w:val="18"/>
        </w:rPr>
        <w:t>Semanas 3–4  ·  Chatwoot &amp; IA</w:t>
      </w:r>
      <w:r>
        <w:rPr/>
        <w:t xml:space="preserve"> </w:t>
      </w:r>
    </w:p>
    <w:p>
      <w:pPr>
        <w:pStyle w:val="BodyText"/>
        <w:bidi w:val="0"/>
        <w:spacing w:before="300" w:after="300"/>
        <w:ind w:hanging="0" w:left="300" w:right="300"/>
        <w:rPr>
          <w:b/>
          <w:sz w:val="20"/>
        </w:rPr>
      </w:pPr>
      <w:r>
        <w:rPr>
          <w:b/>
          <w:sz w:val="20"/>
        </w:rPr>
        <w:t>Fase 03</w:t>
      </w:r>
    </w:p>
    <w:p>
      <w:pPr>
        <w:pStyle w:val="BodyText"/>
        <w:bidi w:val="0"/>
        <w:spacing w:before="300" w:after="300"/>
        <w:ind w:hanging="0" w:left="300" w:right="300"/>
        <w:rPr/>
      </w:pPr>
      <w:r>
        <w:rPr>
          <w:color w:val="555555"/>
          <w:sz w:val="18"/>
        </w:rPr>
        <w:t>Semanas 5–6  ·  SDR IA + Go-live</w:t>
      </w:r>
      <w:r>
        <w:rPr/>
        <w:t xml:space="preserve"> </w:t>
      </w:r>
    </w:p>
    <w:p>
      <w:pPr>
        <w:pStyle w:val="Heading2secao"/>
        <w:bidi w:val="0"/>
        <w:jc w:val="left"/>
        <w:rPr/>
      </w:pPr>
      <w:r>
        <w:rPr/>
        <w:t>3. Detalhamento das Fases</w:t>
      </w:r>
    </w:p>
    <w:p>
      <w:pPr>
        <w:pStyle w:val="BodyTextfase-header-title"/>
        <w:keepLines/>
        <w:bidi w:val="0"/>
        <w:spacing w:before="90" w:after="420"/>
        <w:ind w:hanging="0" w:left="0" w:right="0"/>
        <w:rPr>
          <w:color w:val="FFFFFF"/>
          <w:shd w:fill="000000" w:val="clear"/>
        </w:rPr>
      </w:pPr>
      <w:r>
        <w:rPr>
          <w:color w:val="FFFFFF"/>
          <w:shd w:fill="000000" w:val="clear"/>
        </w:rPr>
        <w:t>Fase 01 — Discovery &amp; Modelagem</w:t>
      </w:r>
    </w:p>
    <w:p>
      <w:pPr>
        <w:pStyle w:val="BodyTextfase-header-sub"/>
        <w:keepLines/>
        <w:bidi w:val="0"/>
        <w:spacing w:before="90" w:after="420"/>
        <w:rPr>
          <w:color w:val="FFFFFF"/>
          <w:shd w:fill="000000" w:val="clear"/>
        </w:rPr>
      </w:pPr>
      <w:r>
        <w:rPr>
          <w:color w:val="FFFFFF"/>
          <w:shd w:fill="000000" w:val="clear"/>
        </w:rPr>
        <w:t>Semanas 1 e 2 · Levantamento, mapeamento e definição de escopo operacional</w:t>
      </w:r>
    </w:p>
    <w:p>
      <w:pPr>
        <w:pStyle w:val="BodyText"/>
        <w:keepLines/>
        <w:bidi w:val="0"/>
        <w:spacing w:before="90" w:after="420"/>
        <w:ind w:hanging="0" w:left="0" w:right="0"/>
        <w:rPr/>
      </w:pPr>
      <w:r>
        <w:rPr>
          <w:b/>
        </w:rPr>
        <w:t>Objetivo:</w:t>
      </w:r>
      <w:r>
        <w:rPr/>
        <w:t xml:space="preserve"> Compreender profundamente a operação da CONTRATANTE, mapear os canais de comunicação ativos, levantar o portfólio de cursos e pós-graduações, coletar acessos e credenciais, e definir o tom de voz e as personas da IA antes de qualquer desenvolvimento técnico.</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Tarefas</w:t>
      </w:r>
    </w:p>
    <w:p>
      <w:pPr>
        <w:pStyle w:val="BodyText"/>
        <w:keepLines/>
        <w:numPr>
          <w:ilvl w:val="0"/>
          <w:numId w:val="1"/>
        </w:numPr>
        <w:tabs>
          <w:tab w:val="clear" w:pos="1134"/>
          <w:tab w:val="left" w:pos="799" w:leader="none"/>
        </w:tabs>
        <w:bidi w:val="0"/>
        <w:spacing w:before="90" w:after="420"/>
        <w:ind w:hanging="283" w:left="799"/>
        <w:rPr/>
      </w:pPr>
      <w:r>
        <w:rPr/>
        <w:t xml:space="preserve">Kickoff meeting com equipe da CONTRATANTE e CONTRATADA para alinhamento de expectativas, papéis e responsabilidades </w:t>
      </w:r>
    </w:p>
    <w:p>
      <w:pPr>
        <w:pStyle w:val="BodyText"/>
        <w:keepLines/>
        <w:numPr>
          <w:ilvl w:val="0"/>
          <w:numId w:val="1"/>
        </w:numPr>
        <w:tabs>
          <w:tab w:val="clear" w:pos="1134"/>
          <w:tab w:val="left" w:pos="799" w:leader="none"/>
        </w:tabs>
        <w:bidi w:val="0"/>
        <w:spacing w:before="90" w:after="420"/>
        <w:ind w:hanging="283" w:left="799"/>
        <w:rPr/>
      </w:pPr>
      <w:r>
        <w:rPr/>
        <w:t xml:space="preserve">Mapeamento dos canais de comunicação ativos: WhatsApp Business, Instagram Direct e Webchat (URL do site, plugin ou integração existente) </w:t>
      </w:r>
    </w:p>
    <w:p>
      <w:pPr>
        <w:pStyle w:val="BodyText"/>
        <w:keepLines/>
        <w:numPr>
          <w:ilvl w:val="0"/>
          <w:numId w:val="1"/>
        </w:numPr>
        <w:tabs>
          <w:tab w:val="clear" w:pos="1134"/>
          <w:tab w:val="left" w:pos="799" w:leader="none"/>
        </w:tabs>
        <w:bidi w:val="0"/>
        <w:spacing w:before="90" w:after="420"/>
        <w:ind w:hanging="283" w:left="799"/>
        <w:rPr/>
      </w:pPr>
      <w:r>
        <w:rPr/>
        <w:t xml:space="preserve">Levantamento do portfólio completo de cursos e pós-graduações: nome, duração, modalidade, público-alvo, valor, prazo de inscrição e processo seletivo </w:t>
      </w:r>
    </w:p>
    <w:p>
      <w:pPr>
        <w:pStyle w:val="BodyText"/>
        <w:keepLines/>
        <w:numPr>
          <w:ilvl w:val="0"/>
          <w:numId w:val="1"/>
        </w:numPr>
        <w:tabs>
          <w:tab w:val="clear" w:pos="1134"/>
          <w:tab w:val="left" w:pos="799" w:leader="none"/>
        </w:tabs>
        <w:bidi w:val="0"/>
        <w:spacing w:before="90" w:after="420"/>
        <w:ind w:hanging="283" w:left="799"/>
        <w:rPr/>
      </w:pPr>
      <w:r>
        <w:rPr/>
        <w:t xml:space="preserve">Mapeamento do processo comercial atual: jornada do lead desde o primeiro contato até a matrícula </w:t>
      </w:r>
    </w:p>
    <w:p>
      <w:pPr>
        <w:pStyle w:val="BodyText"/>
        <w:keepLines/>
        <w:numPr>
          <w:ilvl w:val="0"/>
          <w:numId w:val="1"/>
        </w:numPr>
        <w:tabs>
          <w:tab w:val="clear" w:pos="1134"/>
          <w:tab w:val="left" w:pos="799" w:leader="none"/>
        </w:tabs>
        <w:bidi w:val="0"/>
        <w:spacing w:before="90" w:after="420"/>
        <w:ind w:hanging="283" w:left="799"/>
        <w:rPr/>
      </w:pPr>
      <w:r>
        <w:rPr/>
        <w:t xml:space="preserve">Definição do tom de voz da IA: linguagem, formalidade, personalidade, limites do bot e critérios de escalonamento humano </w:t>
      </w:r>
    </w:p>
    <w:p>
      <w:pPr>
        <w:pStyle w:val="BodyText"/>
        <w:keepLines/>
        <w:numPr>
          <w:ilvl w:val="0"/>
          <w:numId w:val="1"/>
        </w:numPr>
        <w:tabs>
          <w:tab w:val="clear" w:pos="1134"/>
          <w:tab w:val="left" w:pos="799" w:leader="none"/>
        </w:tabs>
        <w:bidi w:val="0"/>
        <w:spacing w:before="90" w:after="420"/>
        <w:ind w:hanging="283" w:left="799"/>
        <w:rPr/>
      </w:pPr>
      <w:r>
        <w:rPr/>
        <w:t xml:space="preserve">Definição das personas atendidas: perfil de aluno típico, dúvidas frequentes, objeções comuns </w:t>
      </w:r>
    </w:p>
    <w:p>
      <w:pPr>
        <w:pStyle w:val="BodyText"/>
        <w:keepLines/>
        <w:numPr>
          <w:ilvl w:val="0"/>
          <w:numId w:val="1"/>
        </w:numPr>
        <w:tabs>
          <w:tab w:val="clear" w:pos="1134"/>
          <w:tab w:val="left" w:pos="799" w:leader="none"/>
        </w:tabs>
        <w:bidi w:val="0"/>
        <w:spacing w:before="90" w:after="420"/>
        <w:ind w:hanging="283" w:left="799"/>
        <w:rPr/>
      </w:pPr>
      <w:r>
        <w:rPr/>
        <w:t xml:space="preserve">Coleta de acessos e credenciais: conta Meta Business, WhatsApp Business API, acesso ao site, conta de e-mail para configuração de plataformas </w:t>
      </w:r>
    </w:p>
    <w:p>
      <w:pPr>
        <w:pStyle w:val="BodyText"/>
        <w:keepLines/>
        <w:numPr>
          <w:ilvl w:val="0"/>
          <w:numId w:val="1"/>
        </w:numPr>
        <w:tabs>
          <w:tab w:val="clear" w:pos="1134"/>
          <w:tab w:val="left" w:pos="799" w:leader="none"/>
        </w:tabs>
        <w:bidi w:val="0"/>
        <w:spacing w:before="90" w:after="420"/>
        <w:ind w:hanging="283" w:left="799"/>
        <w:rPr/>
      </w:pPr>
      <w:r>
        <w:rPr/>
        <w:t xml:space="preserve">Validação do checklist de acessos com ponto focal da CONTRATANTE </w:t>
      </w:r>
    </w:p>
    <w:p>
      <w:pPr>
        <w:pStyle w:val="BodyText"/>
        <w:keepLines/>
        <w:numPr>
          <w:ilvl w:val="0"/>
          <w:numId w:val="1"/>
        </w:numPr>
        <w:tabs>
          <w:tab w:val="clear" w:pos="1134"/>
          <w:tab w:val="left" w:pos="799" w:leader="none"/>
        </w:tabs>
        <w:bidi w:val="0"/>
        <w:spacing w:before="90" w:after="420"/>
        <w:ind w:hanging="283" w:left="799"/>
        <w:rPr/>
      </w:pPr>
      <w:r>
        <w:rPr/>
        <w:t xml:space="preserve">Elaboração da ata de kickoff e checklist de acessos validado </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Responsabilidades</w:t>
      </w:r>
    </w:p>
    <w:p>
      <w:pPr>
        <w:pStyle w:val="BodyText"/>
        <w:keepLines/>
        <w:numPr>
          <w:ilvl w:val="0"/>
          <w:numId w:val="2"/>
        </w:numPr>
        <w:tabs>
          <w:tab w:val="clear" w:pos="1134"/>
          <w:tab w:val="left" w:pos="709" w:leader="none"/>
        </w:tabs>
        <w:bidi w:val="0"/>
        <w:spacing w:before="90" w:after="420"/>
        <w:ind w:hanging="283" w:left="709" w:right="0"/>
        <w:rPr/>
      </w:pPr>
      <w:r>
        <w:rPr>
          <w:b/>
        </w:rPr>
        <w:t>CONTRATADA:</w:t>
      </w:r>
      <w:r>
        <w:rPr/>
        <w:t xml:space="preserve"> conduzir reuniões, elaborar checklist, documentar levantamentos e validar informações </w:t>
      </w:r>
    </w:p>
    <w:p>
      <w:pPr>
        <w:pStyle w:val="BodyText"/>
        <w:keepLines/>
        <w:numPr>
          <w:ilvl w:val="0"/>
          <w:numId w:val="2"/>
        </w:numPr>
        <w:tabs>
          <w:tab w:val="clear" w:pos="1134"/>
          <w:tab w:val="left" w:pos="709" w:leader="none"/>
        </w:tabs>
        <w:bidi w:val="0"/>
        <w:spacing w:before="90" w:after="420"/>
        <w:ind w:hanging="283" w:left="709" w:right="0"/>
        <w:rPr/>
      </w:pPr>
      <w:r>
        <w:rPr>
          <w:b/>
        </w:rPr>
        <w:t>CONTRATANTE:</w:t>
      </w:r>
      <w:r>
        <w:rPr/>
        <w:t xml:space="preserve"> participar das reuniões, designar ponto focal, fornecer todos os dados de cursos e processos, disponibilizar acessos no prazo acordado </w:t>
      </w:r>
    </w:p>
    <w:p>
      <w:pPr>
        <w:pStyle w:val="BodyText"/>
        <w:keepLines/>
        <w:bidi w:val="0"/>
        <w:spacing w:before="90" w:after="420"/>
        <w:rPr/>
      </w:pPr>
      <w:r>
        <w:rPr/>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Stack Envolvida</w:t>
      </w:r>
    </w:p>
    <w:p>
      <w:pPr>
        <w:pStyle w:val="BodyText"/>
        <w:keepLines/>
        <w:numPr>
          <w:ilvl w:val="0"/>
          <w:numId w:val="3"/>
        </w:numPr>
        <w:tabs>
          <w:tab w:val="clear" w:pos="1134"/>
          <w:tab w:val="left" w:pos="799" w:leader="none"/>
        </w:tabs>
        <w:bidi w:val="0"/>
        <w:spacing w:before="90" w:after="420"/>
        <w:ind w:hanging="283" w:left="799"/>
        <w:rPr/>
      </w:pPr>
      <w:r>
        <w:rPr/>
        <w:t xml:space="preserve">Google Meet / Zoom (reuniões) </w:t>
      </w:r>
    </w:p>
    <w:p>
      <w:pPr>
        <w:pStyle w:val="BodyText"/>
        <w:keepLines/>
        <w:numPr>
          <w:ilvl w:val="0"/>
          <w:numId w:val="3"/>
        </w:numPr>
        <w:tabs>
          <w:tab w:val="clear" w:pos="1134"/>
          <w:tab w:val="left" w:pos="799" w:leader="none"/>
        </w:tabs>
        <w:bidi w:val="0"/>
        <w:spacing w:before="90" w:after="420"/>
        <w:ind w:hanging="283" w:left="799"/>
        <w:rPr/>
      </w:pPr>
      <w:r>
        <w:rPr/>
        <w:t xml:space="preserve">Notion ou Google Docs (documentação) </w:t>
      </w:r>
    </w:p>
    <w:p>
      <w:pPr>
        <w:pStyle w:val="BodyText"/>
        <w:keepLines/>
        <w:numPr>
          <w:ilvl w:val="0"/>
          <w:numId w:val="3"/>
        </w:numPr>
        <w:tabs>
          <w:tab w:val="clear" w:pos="1134"/>
          <w:tab w:val="left" w:pos="799" w:leader="none"/>
        </w:tabs>
        <w:bidi w:val="0"/>
        <w:spacing w:before="90" w:after="420"/>
        <w:ind w:hanging="283" w:left="799"/>
        <w:rPr/>
      </w:pPr>
      <w:r>
        <w:rPr/>
        <w:t xml:space="preserve">Meta Business Suite (validação de acesso) </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Entregáveis</w:t>
      </w:r>
    </w:p>
    <w:p>
      <w:pPr>
        <w:pStyle w:val="BodyText"/>
        <w:keepLines/>
        <w:bidi w:val="0"/>
        <w:spacing w:before="90" w:after="60"/>
        <w:ind w:hanging="0" w:left="0" w:right="0"/>
        <w:rPr>
          <w:sz w:val="20"/>
        </w:rPr>
      </w:pPr>
      <w:r>
        <w:rPr>
          <w:sz w:val="20"/>
        </w:rPr>
        <w:t>Ata de kickoff assinada</w:t>
      </w:r>
    </w:p>
    <w:p>
      <w:pPr>
        <w:pStyle w:val="BodyText"/>
        <w:keepLines/>
        <w:bidi w:val="0"/>
        <w:spacing w:before="90" w:after="60"/>
        <w:ind w:hanging="0" w:left="0" w:right="0"/>
        <w:rPr>
          <w:sz w:val="20"/>
        </w:rPr>
      </w:pPr>
      <w:r>
        <w:rPr>
          <w:sz w:val="20"/>
        </w:rPr>
        <w:t>Checklist de acessos validado</w:t>
      </w:r>
    </w:p>
    <w:p>
      <w:pPr>
        <w:pStyle w:val="BodyText"/>
        <w:keepLines/>
        <w:bidi w:val="0"/>
        <w:spacing w:before="90" w:after="60"/>
        <w:ind w:hanging="0" w:left="0" w:right="0"/>
        <w:rPr>
          <w:sz w:val="20"/>
        </w:rPr>
      </w:pPr>
      <w:r>
        <w:rPr>
          <w:sz w:val="20"/>
        </w:rPr>
        <w:t>Documento de mapeamento dos canais ativos</w:t>
      </w:r>
    </w:p>
    <w:p>
      <w:pPr>
        <w:pStyle w:val="BodyText"/>
        <w:keepLines/>
        <w:bidi w:val="0"/>
        <w:spacing w:before="90" w:after="60"/>
        <w:ind w:hanging="0" w:left="0" w:right="0"/>
        <w:rPr>
          <w:sz w:val="20"/>
        </w:rPr>
      </w:pPr>
      <w:r>
        <w:rPr>
          <w:sz w:val="20"/>
        </w:rPr>
        <w:t>Portfólio de cursos estruturado (base para treinamento da IA)</w:t>
      </w:r>
    </w:p>
    <w:p>
      <w:pPr>
        <w:pStyle w:val="BodyText"/>
        <w:keepLines/>
        <w:bidi w:val="0"/>
        <w:spacing w:before="90" w:after="60"/>
        <w:ind w:hanging="0" w:left="0" w:right="0"/>
        <w:rPr>
          <w:sz w:val="20"/>
        </w:rPr>
      </w:pPr>
      <w:r>
        <w:rPr>
          <w:sz w:val="20"/>
        </w:rPr>
        <w:t>Documento de tom de voz e personas da IA aprovado pela CONTRATANTE</w:t>
      </w:r>
    </w:p>
    <w:p>
      <w:pPr>
        <w:pStyle w:val="BodyText"/>
        <w:keepLines/>
        <w:bidi w:val="0"/>
        <w:spacing w:before="90" w:after="60"/>
        <w:ind w:hanging="0" w:left="0" w:right="0"/>
        <w:rPr>
          <w:sz w:val="20"/>
        </w:rPr>
      </w:pPr>
      <w:r>
        <w:rPr>
          <w:sz w:val="20"/>
        </w:rPr>
        <w:t>Mapa da jornada do lead (as-is)</w:t>
      </w:r>
    </w:p>
    <w:p>
      <w:pPr>
        <w:pStyle w:val="BodyTextfase-header-title"/>
        <w:keepLines/>
        <w:bidi w:val="0"/>
        <w:spacing w:before="90" w:after="420"/>
        <w:ind w:hanging="0" w:left="0" w:right="0"/>
        <w:rPr>
          <w:color w:val="FFFFFF"/>
          <w:shd w:fill="000000" w:val="clear"/>
        </w:rPr>
      </w:pPr>
      <w:r>
        <w:rPr>
          <w:color w:val="FFFFFF"/>
          <w:shd w:fill="000000" w:val="clear"/>
        </w:rPr>
        <w:t>Fase 02 — Chatwoot &amp; IA</w:t>
      </w:r>
    </w:p>
    <w:p>
      <w:pPr>
        <w:pStyle w:val="BodyTextfase-header-sub"/>
        <w:keepLines/>
        <w:bidi w:val="0"/>
        <w:spacing w:before="90" w:after="420"/>
        <w:rPr>
          <w:color w:val="FFFFFF"/>
          <w:shd w:fill="000000" w:val="clear"/>
        </w:rPr>
      </w:pPr>
      <w:r>
        <w:rPr>
          <w:color w:val="FFFFFF"/>
          <w:shd w:fill="000000" w:val="clear"/>
        </w:rPr>
        <w:t>Semanas 3 e 4 · Setup técnico, integração de canais e treinamento da inteligência artificial</w:t>
      </w:r>
    </w:p>
    <w:p>
      <w:pPr>
        <w:pStyle w:val="BodyText"/>
        <w:keepLines/>
        <w:bidi w:val="0"/>
        <w:spacing w:before="90" w:after="420"/>
        <w:ind w:hanging="0" w:left="0" w:right="0"/>
        <w:rPr/>
      </w:pPr>
      <w:r>
        <w:rPr>
          <w:b/>
        </w:rPr>
        <w:t>Objetivo:</w:t>
      </w:r>
      <w:r>
        <w:rPr/>
        <w:t xml:space="preserve"> Provisionar e configurar toda a infraestrutura técnica da solução omnichannel, integrar os canais de comunicação ao Chatwoot, desenvolver e treinar o agente de IA com a base de conhecimento da CONTRATANTE, e configurar os fluxos de triagem automática e escalonamento humano.</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Tarefas</w:t>
      </w:r>
    </w:p>
    <w:p>
      <w:pPr>
        <w:pStyle w:val="BodyText"/>
        <w:keepLines/>
        <w:numPr>
          <w:ilvl w:val="0"/>
          <w:numId w:val="4"/>
        </w:numPr>
        <w:tabs>
          <w:tab w:val="clear" w:pos="1134"/>
          <w:tab w:val="left" w:pos="799" w:leader="none"/>
        </w:tabs>
        <w:bidi w:val="0"/>
        <w:spacing w:before="90" w:after="420"/>
        <w:ind w:hanging="283" w:left="799"/>
        <w:rPr/>
      </w:pPr>
      <w:r>
        <w:rPr/>
        <w:t xml:space="preserve">Provisionamento do VPS fornecido pela CONTRATANTE conforme especificações mínimas (RAM, CPU, armazenamento e sistema operacional) </w:t>
      </w:r>
    </w:p>
    <w:p>
      <w:pPr>
        <w:pStyle w:val="BodyText"/>
        <w:keepLines/>
        <w:numPr>
          <w:ilvl w:val="0"/>
          <w:numId w:val="4"/>
        </w:numPr>
        <w:tabs>
          <w:tab w:val="clear" w:pos="1134"/>
          <w:tab w:val="left" w:pos="799" w:leader="none"/>
        </w:tabs>
        <w:bidi w:val="0"/>
        <w:spacing w:before="90" w:after="420"/>
        <w:ind w:hanging="283" w:left="799"/>
        <w:rPr/>
      </w:pPr>
      <w:r>
        <w:rPr/>
        <w:t xml:space="preserve">Instalação e configuração da plataforma Chatwoot em modo self-hosted via Docker </w:t>
      </w:r>
    </w:p>
    <w:p>
      <w:pPr>
        <w:pStyle w:val="BodyText"/>
        <w:keepLines/>
        <w:numPr>
          <w:ilvl w:val="0"/>
          <w:numId w:val="4"/>
        </w:numPr>
        <w:tabs>
          <w:tab w:val="clear" w:pos="1134"/>
          <w:tab w:val="left" w:pos="799" w:leader="none"/>
        </w:tabs>
        <w:bidi w:val="0"/>
        <w:spacing w:before="90" w:after="420"/>
        <w:ind w:hanging="283" w:left="799"/>
        <w:rPr/>
      </w:pPr>
      <w:r>
        <w:rPr/>
        <w:t xml:space="preserve">Configuração de domínio e SSL para acesso seguro ao Chatwoot </w:t>
      </w:r>
    </w:p>
    <w:p>
      <w:pPr>
        <w:pStyle w:val="BodyText"/>
        <w:keepLines/>
        <w:numPr>
          <w:ilvl w:val="0"/>
          <w:numId w:val="4"/>
        </w:numPr>
        <w:tabs>
          <w:tab w:val="clear" w:pos="1134"/>
          <w:tab w:val="left" w:pos="799" w:leader="none"/>
        </w:tabs>
        <w:bidi w:val="0"/>
        <w:spacing w:before="90" w:after="420"/>
        <w:ind w:hanging="283" w:left="799"/>
        <w:rPr/>
      </w:pPr>
      <w:r>
        <w:rPr/>
        <w:t xml:space="preserve">Integração do WhatsApp Business via Evolution API: pareamento do número, configuração de webhooks e testes de envio e recebimento </w:t>
      </w:r>
    </w:p>
    <w:p>
      <w:pPr>
        <w:pStyle w:val="BodyText"/>
        <w:keepLines/>
        <w:numPr>
          <w:ilvl w:val="0"/>
          <w:numId w:val="4"/>
        </w:numPr>
        <w:tabs>
          <w:tab w:val="clear" w:pos="1134"/>
          <w:tab w:val="left" w:pos="799" w:leader="none"/>
        </w:tabs>
        <w:bidi w:val="0"/>
        <w:spacing w:before="90" w:after="420"/>
        <w:ind w:hanging="283" w:left="799"/>
        <w:rPr/>
      </w:pPr>
      <w:r>
        <w:rPr/>
        <w:t xml:space="preserve">Integração do Instagram Direct à caixa de entrada do Chatwoot via API Meta </w:t>
      </w:r>
    </w:p>
    <w:p>
      <w:pPr>
        <w:pStyle w:val="BodyText"/>
        <w:keepLines/>
        <w:numPr>
          <w:ilvl w:val="0"/>
          <w:numId w:val="4"/>
        </w:numPr>
        <w:tabs>
          <w:tab w:val="clear" w:pos="1134"/>
          <w:tab w:val="left" w:pos="799" w:leader="none"/>
        </w:tabs>
        <w:bidi w:val="0"/>
        <w:spacing w:before="90" w:after="420"/>
        <w:ind w:hanging="283" w:left="799"/>
        <w:rPr/>
      </w:pPr>
      <w:r>
        <w:rPr/>
        <w:t xml:space="preserve">Configuração do Webchat e geração do script de instalação para o site da CONTRATANTE </w:t>
      </w:r>
    </w:p>
    <w:p>
      <w:pPr>
        <w:pStyle w:val="BodyText"/>
        <w:keepLines/>
        <w:numPr>
          <w:ilvl w:val="0"/>
          <w:numId w:val="4"/>
        </w:numPr>
        <w:tabs>
          <w:tab w:val="clear" w:pos="1134"/>
          <w:tab w:val="left" w:pos="799" w:leader="none"/>
        </w:tabs>
        <w:bidi w:val="0"/>
        <w:spacing w:before="90" w:after="420"/>
        <w:ind w:hanging="283" w:left="799"/>
        <w:rPr/>
      </w:pPr>
      <w:r>
        <w:rPr/>
        <w:t xml:space="preserve">Desenvolvimento da base de conhecimento da IA com os dados levantados na Fase 01 (cursos, pós-graduações, inscrições, prazos, perguntas frequentes) </w:t>
      </w:r>
    </w:p>
    <w:p>
      <w:pPr>
        <w:pStyle w:val="BodyText"/>
        <w:keepLines/>
        <w:numPr>
          <w:ilvl w:val="0"/>
          <w:numId w:val="4"/>
        </w:numPr>
        <w:tabs>
          <w:tab w:val="clear" w:pos="1134"/>
          <w:tab w:val="left" w:pos="799" w:leader="none"/>
        </w:tabs>
        <w:bidi w:val="0"/>
        <w:spacing w:before="90" w:after="420"/>
        <w:ind w:hanging="283" w:left="799"/>
        <w:rPr/>
      </w:pPr>
      <w:r>
        <w:rPr/>
        <w:t xml:space="preserve">Treinamento e ajuste fino do agente de IA (prompt engineering) para atendimento alinhado ao tom de voz definido </w:t>
      </w:r>
    </w:p>
    <w:p>
      <w:pPr>
        <w:pStyle w:val="BodyText"/>
        <w:keepLines/>
        <w:numPr>
          <w:ilvl w:val="0"/>
          <w:numId w:val="4"/>
        </w:numPr>
        <w:tabs>
          <w:tab w:val="clear" w:pos="1134"/>
          <w:tab w:val="left" w:pos="799" w:leader="none"/>
        </w:tabs>
        <w:bidi w:val="0"/>
        <w:spacing w:before="90" w:after="420"/>
        <w:ind w:hanging="283" w:left="799"/>
        <w:rPr/>
      </w:pPr>
      <w:r>
        <w:rPr/>
        <w:t xml:space="preserve">Configuração dos fluxos de triagem automática: classificação de intenção do usuário, respostas automáticas e roteamento por canal </w:t>
      </w:r>
    </w:p>
    <w:p>
      <w:pPr>
        <w:pStyle w:val="BodyText"/>
        <w:keepLines/>
        <w:numPr>
          <w:ilvl w:val="0"/>
          <w:numId w:val="4"/>
        </w:numPr>
        <w:tabs>
          <w:tab w:val="clear" w:pos="1134"/>
          <w:tab w:val="left" w:pos="799" w:leader="none"/>
        </w:tabs>
        <w:bidi w:val="0"/>
        <w:spacing w:before="90" w:after="420"/>
        <w:ind w:hanging="283" w:left="799"/>
        <w:rPr/>
      </w:pPr>
      <w:r>
        <w:rPr/>
        <w:t xml:space="preserve">Configuração das regras de escalonamento para atendimento humano: palavras-chave críticas, solicitação explícita do usuário e fallback por falha de resposta </w:t>
      </w:r>
    </w:p>
    <w:p>
      <w:pPr>
        <w:pStyle w:val="BodyText"/>
        <w:keepLines/>
        <w:numPr>
          <w:ilvl w:val="0"/>
          <w:numId w:val="4"/>
        </w:numPr>
        <w:tabs>
          <w:tab w:val="clear" w:pos="1134"/>
          <w:tab w:val="left" w:pos="799" w:leader="none"/>
        </w:tabs>
        <w:bidi w:val="0"/>
        <w:spacing w:before="90" w:after="420"/>
        <w:ind w:hanging="283" w:left="799"/>
        <w:rPr/>
      </w:pPr>
      <w:r>
        <w:rPr/>
        <w:t xml:space="preserve">Configuração de caixas de entrada, equipes e agentes humanos no Chatwoot </w:t>
      </w:r>
    </w:p>
    <w:p>
      <w:pPr>
        <w:pStyle w:val="BodyText"/>
        <w:keepLines/>
        <w:numPr>
          <w:ilvl w:val="0"/>
          <w:numId w:val="4"/>
        </w:numPr>
        <w:tabs>
          <w:tab w:val="clear" w:pos="1134"/>
          <w:tab w:val="left" w:pos="799" w:leader="none"/>
        </w:tabs>
        <w:bidi w:val="0"/>
        <w:spacing w:before="90" w:after="420"/>
        <w:ind w:hanging="283" w:left="799"/>
        <w:rPr/>
      </w:pPr>
      <w:r>
        <w:rPr/>
        <w:t xml:space="preserve">Configuração de perfis de acesso e permissões granulares por usuário e equipe no Chatwoot</w:t>
      </w:r>
    </w:p>
    <w:p>
      <w:pPr>
        <w:pStyle w:val="BodyText"/>
        <w:keepLines/>
        <w:numPr>
          <w:ilvl w:val="0"/>
          <w:numId w:val="4"/>
        </w:numPr>
        <w:tabs>
          <w:tab w:val="clear" w:pos="1134"/>
          <w:tab w:val="left" w:pos="799" w:leader="none"/>
        </w:tabs>
        <w:bidi w:val="0"/>
        <w:spacing w:before="90" w:after="420"/>
        <w:ind w:hanging="283" w:left="799"/>
        <w:rPr/>
      </w:pPr>
      <w:r>
        <w:rPr/>
        <w:t xml:space="preserve">Ativação da criptografia em repouso do histórico de conversas</w:t>
      </w:r>
    </w:p>
    <w:p>
      <w:pPr>
        <w:pStyle w:val="BodyText"/>
        <w:keepLines/>
        <w:numPr>
          <w:ilvl w:val="0"/>
          <w:numId w:val="4"/>
        </w:numPr>
        <w:tabs>
          <w:tab w:val="clear" w:pos="1134"/>
          <w:tab w:val="left" w:pos="799" w:leader="none"/>
        </w:tabs>
        <w:bidi w:val="0"/>
        <w:spacing w:before="90" w:after="420"/>
        <w:ind w:hanging="283" w:left="799"/>
        <w:rPr/>
      </w:pPr>
      <w:r>
        <w:rPr/>
        <w:t xml:space="preserve">Armazenamento dos tokens e credenciais de API em variáveis de ambiente, com procedimento de rotação documentado</w:t>
      </w:r>
    </w:p>
    <w:p>
      <w:pPr>
        <w:pStyle w:val="BodyText"/>
        <w:keepLines/>
        <w:numPr>
          <w:ilvl w:val="0"/>
          <w:numId w:val="4"/>
        </w:numPr>
        <w:tabs>
          <w:tab w:val="clear" w:pos="1134"/>
          <w:tab w:val="left" w:pos="799" w:leader="none"/>
        </w:tabs>
        <w:bidi w:val="0"/>
        <w:spacing w:before="90" w:after="420"/>
        <w:ind w:hanging="283" w:left="799"/>
        <w:rPr/>
      </w:pPr>
      <w:r>
        <w:rPr/>
        <w:t xml:space="preserve">Configuração da autenticação dos webhooks por chave secreta</w:t>
      </w:r>
    </w:p>
    <w:p>
      <w:pPr>
        <w:pStyle w:val="BodyText"/>
        <w:keepLines/>
        <w:numPr>
          <w:ilvl w:val="0"/>
          <w:numId w:val="4"/>
        </w:numPr>
        <w:tabs>
          <w:tab w:val="clear" w:pos="1134"/>
          <w:tab w:val="left" w:pos="799" w:leader="none"/>
        </w:tabs>
        <w:bidi w:val="0"/>
        <w:spacing w:before="90" w:after="420"/>
        <w:ind w:hanging="283" w:left="799"/>
        <w:rPr/>
      </w:pPr>
      <w:r>
        <w:rPr/>
        <w:t xml:space="preserve">Definição e aplicação da política de retenção dos logs da IA</w:t>
      </w:r>
    </w:p>
    <w:p>
      <w:pPr>
        <w:pStyle w:val="BodyText"/>
        <w:keepLines/>
        <w:numPr>
          <w:ilvl w:val="0"/>
          <w:numId w:val="4"/>
        </w:numPr>
        <w:tabs>
          <w:tab w:val="clear" w:pos="1134"/>
          <w:tab w:val="left" w:pos="799" w:leader="none"/>
        </w:tabs>
        <w:bidi w:val="0"/>
        <w:spacing w:before="90" w:after="420"/>
        <w:ind w:hanging="283" w:left="799"/>
        <w:rPr/>
      </w:pPr>
      <w:r>
        <w:rPr/>
        <w:t xml:space="preserve">Implantação da rotina de backup diário automatizado das conversas, base de conhecimento e configurações, com teste de restauração</w:t>
      </w:r>
    </w:p>
    <w:p>
      <w:pPr>
        <w:pStyle w:val="BodyText"/>
        <w:keepLines/>
        <w:numPr>
          <w:ilvl w:val="0"/>
          <w:numId w:val="4"/>
        </w:numPr>
        <w:tabs>
          <w:tab w:val="clear" w:pos="1134"/>
          <w:tab w:val="left" w:pos="799" w:leader="none"/>
        </w:tabs>
        <w:bidi w:val="0"/>
        <w:spacing w:before="90" w:after="420"/>
        <w:ind w:hanging="283" w:left="799"/>
        <w:rPr/>
      </w:pPr>
      <w:r>
        <w:rPr/>
        <w:t xml:space="preserve">Configuração do monitoramento de uptime dos canais integrados e dos alertas automáticos de falha</w:t>
      </w:r>
    </w:p>
    <w:p>
      <w:pPr>
        <w:pStyle w:val="BodyText"/>
        <w:keepLines/>
        <w:numPr>
          <w:ilvl w:val="0"/>
          <w:numId w:val="4"/>
        </w:numPr>
        <w:tabs>
          <w:tab w:val="clear" w:pos="1134"/>
          <w:tab w:val="left" w:pos="799" w:leader="none"/>
        </w:tabs>
        <w:bidi w:val="0"/>
        <w:spacing w:before="90" w:after="420"/>
        <w:ind w:hanging="283" w:left="799"/>
        <w:rPr/>
      </w:pPr>
      <w:r>
        <w:rPr/>
        <w:t xml:space="preserve">Testes funcionais por canal: WhatsApp, Instagram e Webchat </w:t>
      </w:r>
    </w:p>
    <w:p>
      <w:pPr>
        <w:pStyle w:val="BodyText"/>
        <w:keepLines/>
        <w:numPr>
          <w:ilvl w:val="0"/>
          <w:numId w:val="4"/>
        </w:numPr>
        <w:tabs>
          <w:tab w:val="clear" w:pos="1134"/>
          <w:tab w:val="left" w:pos="799" w:leader="none"/>
        </w:tabs>
        <w:bidi w:val="0"/>
        <w:spacing w:before="90" w:after="420"/>
        <w:ind w:hanging="283" w:left="799"/>
        <w:rPr/>
      </w:pPr>
      <w:r>
        <w:rPr/>
        <w:t xml:space="preserve">Correções e ajustes com base nos resultados dos testes </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Responsabilidades</w:t>
      </w:r>
    </w:p>
    <w:p>
      <w:pPr>
        <w:pStyle w:val="BodyText"/>
        <w:keepLines/>
        <w:numPr>
          <w:ilvl w:val="0"/>
          <w:numId w:val="5"/>
        </w:numPr>
        <w:tabs>
          <w:tab w:val="clear" w:pos="1134"/>
          <w:tab w:val="left" w:pos="709" w:leader="none"/>
        </w:tabs>
        <w:bidi w:val="0"/>
        <w:spacing w:before="90" w:after="420"/>
        <w:ind w:hanging="283" w:left="709" w:right="0"/>
        <w:rPr/>
      </w:pPr>
      <w:r>
        <w:rPr>
          <w:b/>
        </w:rPr>
        <w:t>CONTRATADA:</w:t>
      </w:r>
      <w:r>
        <w:rPr/>
        <w:t xml:space="preserve"> toda a execução técnica de instalação, integração e treinamento da IA </w:t>
      </w:r>
    </w:p>
    <w:p>
      <w:pPr>
        <w:pStyle w:val="BodyText"/>
        <w:keepLines/>
        <w:numPr>
          <w:ilvl w:val="0"/>
          <w:numId w:val="5"/>
        </w:numPr>
        <w:tabs>
          <w:tab w:val="clear" w:pos="1134"/>
          <w:tab w:val="left" w:pos="709" w:leader="none"/>
        </w:tabs>
        <w:bidi w:val="0"/>
        <w:spacing w:before="90" w:after="420"/>
        <w:ind w:hanging="283" w:left="709" w:right="0"/>
        <w:rPr/>
      </w:pPr>
      <w:r>
        <w:rPr>
          <w:b/>
        </w:rPr>
        <w:t>CONTRATANTE:</w:t>
      </w:r>
      <w:r>
        <w:rPr/>
        <w:t xml:space="preserve"> disponibilizar VPS provisionado, validar instalação do script de Webchat no site, participar dos testes por canal e aprovar a configuração dos fluxos </w:t>
      </w:r>
    </w:p>
    <w:p>
      <w:pPr>
        <w:pStyle w:val="BodyText"/>
        <w:keepLines/>
        <w:bidi w:val="0"/>
        <w:spacing w:before="90" w:after="420"/>
        <w:rPr/>
      </w:pPr>
      <w:r>
        <w:rPr/>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Stack Envolvida</w:t>
      </w:r>
    </w:p>
    <w:p>
      <w:pPr>
        <w:pStyle w:val="BodyText"/>
        <w:keepLines/>
        <w:numPr>
          <w:ilvl w:val="0"/>
          <w:numId w:val="6"/>
        </w:numPr>
        <w:tabs>
          <w:tab w:val="clear" w:pos="1134"/>
          <w:tab w:val="left" w:pos="799" w:leader="none"/>
        </w:tabs>
        <w:bidi w:val="0"/>
        <w:spacing w:before="90" w:after="420"/>
        <w:ind w:hanging="283" w:left="799"/>
        <w:rPr/>
      </w:pPr>
      <w:r>
        <w:rPr/>
        <w:t xml:space="preserve">Chatwoot (plataforma omnichannel) </w:t>
      </w:r>
    </w:p>
    <w:p>
      <w:pPr>
        <w:pStyle w:val="BodyText"/>
        <w:keepLines/>
        <w:numPr>
          <w:ilvl w:val="0"/>
          <w:numId w:val="6"/>
        </w:numPr>
        <w:tabs>
          <w:tab w:val="clear" w:pos="1134"/>
          <w:tab w:val="left" w:pos="799" w:leader="none"/>
        </w:tabs>
        <w:bidi w:val="0"/>
        <w:spacing w:before="90" w:after="420"/>
        <w:ind w:hanging="283" w:left="799"/>
        <w:rPr/>
      </w:pPr>
      <w:r>
        <w:rPr/>
        <w:t xml:space="preserve">Evolution API (integração WhatsApp) </w:t>
      </w:r>
    </w:p>
    <w:p>
      <w:pPr>
        <w:pStyle w:val="BodyText"/>
        <w:keepLines/>
        <w:numPr>
          <w:ilvl w:val="0"/>
          <w:numId w:val="6"/>
        </w:numPr>
        <w:tabs>
          <w:tab w:val="clear" w:pos="1134"/>
          <w:tab w:val="left" w:pos="799" w:leader="none"/>
        </w:tabs>
        <w:bidi w:val="0"/>
        <w:spacing w:before="90" w:after="420"/>
        <w:ind w:hanging="283" w:left="799"/>
        <w:rPr/>
      </w:pPr>
      <w:r>
        <w:rPr/>
        <w:t xml:space="preserve">Meta Graph API (Instagram Direct) </w:t>
      </w:r>
    </w:p>
    <w:p>
      <w:pPr>
        <w:pStyle w:val="BodyText"/>
        <w:keepLines/>
        <w:numPr>
          <w:ilvl w:val="0"/>
          <w:numId w:val="6"/>
        </w:numPr>
        <w:tabs>
          <w:tab w:val="clear" w:pos="1134"/>
          <w:tab w:val="left" w:pos="799" w:leader="none"/>
        </w:tabs>
        <w:bidi w:val="0"/>
        <w:spacing w:before="90" w:after="420"/>
        <w:ind w:hanging="283" w:left="799"/>
        <w:rPr/>
      </w:pPr>
      <w:r>
        <w:rPr/>
        <w:t xml:space="preserve">Claude / GPT (LLM para atendente IA) </w:t>
      </w:r>
    </w:p>
    <w:p>
      <w:pPr>
        <w:pStyle w:val="BodyText"/>
        <w:keepLines/>
        <w:numPr>
          <w:ilvl w:val="0"/>
          <w:numId w:val="6"/>
        </w:numPr>
        <w:tabs>
          <w:tab w:val="clear" w:pos="1134"/>
          <w:tab w:val="left" w:pos="799" w:leader="none"/>
        </w:tabs>
        <w:bidi w:val="0"/>
        <w:spacing w:before="90" w:after="420"/>
        <w:ind w:hanging="283" w:left="799"/>
        <w:rPr/>
      </w:pPr>
      <w:r>
        <w:rPr/>
        <w:t xml:space="preserve">Docker / VPS Linux </w:t>
      </w:r>
    </w:p>
    <w:p>
      <w:pPr>
        <w:pStyle w:val="BodyText"/>
        <w:keepLines/>
        <w:numPr>
          <w:ilvl w:val="0"/>
          <w:numId w:val="6"/>
        </w:numPr>
        <w:tabs>
          <w:tab w:val="clear" w:pos="1134"/>
          <w:tab w:val="left" w:pos="799" w:leader="none"/>
        </w:tabs>
        <w:bidi w:val="0"/>
        <w:spacing w:before="90" w:after="420"/>
        <w:ind w:hanging="283" w:left="799"/>
        <w:rPr/>
      </w:pPr>
      <w:r>
        <w:rPr/>
        <w:t xml:space="preserve">Nginx + SSL (Let's Encrypt) </w:t>
      </w:r>
    </w:p>
    <w:p>
      <w:pPr>
        <w:pStyle w:val="BodyText"/>
        <w:keepLines/>
        <w:numPr>
          <w:ilvl w:val="0"/>
          <w:numId w:val="6"/>
        </w:numPr>
        <w:tabs>
          <w:tab w:val="clear" w:pos="1134"/>
          <w:tab w:val="left" w:pos="799" w:leader="none"/>
        </w:tabs>
        <w:bidi w:val="0"/>
        <w:spacing w:before="90" w:after="420"/>
        <w:ind w:hanging="283" w:left="799"/>
        <w:rPr/>
      </w:pPr>
      <w:r>
        <w:rPr/>
        <w:t xml:space="preserve">Monitoramento de uptime e alertas automáticos</w:t>
      </w:r>
    </w:p>
    <w:p>
      <w:pPr>
        <w:pStyle w:val="BodyText"/>
        <w:keepLines/>
        <w:numPr>
          <w:ilvl w:val="0"/>
          <w:numId w:val="6"/>
        </w:numPr>
        <w:tabs>
          <w:tab w:val="clear" w:pos="1134"/>
          <w:tab w:val="left" w:pos="799" w:leader="none"/>
        </w:tabs>
        <w:bidi w:val="0"/>
        <w:spacing w:before="90" w:after="420"/>
        <w:ind w:hanging="283" w:left="799"/>
        <w:rPr/>
      </w:pPr>
      <w:r>
        <w:rPr/>
        <w:t xml:space="preserve">Rotina automatizada de backup e retenção</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Entregáveis</w:t>
      </w:r>
    </w:p>
    <w:p>
      <w:pPr>
        <w:pStyle w:val="BodyText"/>
        <w:keepLines/>
        <w:bidi w:val="0"/>
        <w:spacing w:before="90" w:after="60"/>
        <w:ind w:hanging="0" w:left="0" w:right="0"/>
        <w:rPr>
          <w:sz w:val="20"/>
        </w:rPr>
      </w:pPr>
      <w:r>
        <w:rPr>
          <w:sz w:val="20"/>
        </w:rPr>
        <w:t>Chatwoot instalado e acessível via domínio seguro</w:t>
      </w:r>
    </w:p>
    <w:p>
      <w:pPr>
        <w:pStyle w:val="BodyText"/>
        <w:keepLines/>
        <w:bidi w:val="0"/>
        <w:spacing w:before="90" w:after="60"/>
        <w:ind w:hanging="0" w:left="0" w:right="0"/>
        <w:rPr>
          <w:sz w:val="20"/>
        </w:rPr>
      </w:pPr>
      <w:r>
        <w:rPr>
          <w:sz w:val="20"/>
        </w:rPr>
        <w:t>WhatsApp Business integrado e operacional</w:t>
      </w:r>
    </w:p>
    <w:p>
      <w:pPr>
        <w:pStyle w:val="BodyText"/>
        <w:keepLines/>
        <w:bidi w:val="0"/>
        <w:spacing w:before="90" w:after="60"/>
        <w:ind w:hanging="0" w:left="0" w:right="0"/>
        <w:rPr>
          <w:sz w:val="20"/>
        </w:rPr>
      </w:pPr>
      <w:r>
        <w:rPr>
          <w:sz w:val="20"/>
        </w:rPr>
        <w:t>Instagram Direct integrado e operacional</w:t>
      </w:r>
    </w:p>
    <w:p>
      <w:pPr>
        <w:pStyle w:val="BodyText"/>
        <w:keepLines/>
        <w:bidi w:val="0"/>
        <w:spacing w:before="90" w:after="60"/>
        <w:ind w:hanging="0" w:left="0" w:right="0"/>
        <w:rPr>
          <w:sz w:val="20"/>
        </w:rPr>
      </w:pPr>
      <w:r>
        <w:rPr>
          <w:sz w:val="20"/>
        </w:rPr>
        <w:t>Webchat ativo no site da CONTRATANTE</w:t>
      </w:r>
    </w:p>
    <w:p>
      <w:pPr>
        <w:pStyle w:val="BodyText"/>
        <w:keepLines/>
        <w:bidi w:val="0"/>
        <w:spacing w:before="90" w:after="60"/>
        <w:ind w:hanging="0" w:left="0" w:right="0"/>
        <w:rPr>
          <w:sz w:val="20"/>
        </w:rPr>
      </w:pPr>
      <w:r>
        <w:rPr>
          <w:sz w:val="20"/>
        </w:rPr>
        <w:t>Agente de IA treinado e respondendo nos três canais</w:t>
      </w:r>
    </w:p>
    <w:p>
      <w:pPr>
        <w:pStyle w:val="BodyText"/>
        <w:keepLines/>
        <w:bidi w:val="0"/>
        <w:spacing w:before="90" w:after="60"/>
        <w:ind w:hanging="0" w:left="0" w:right="0"/>
        <w:rPr>
          <w:sz w:val="20"/>
        </w:rPr>
      </w:pPr>
      <w:r>
        <w:rPr>
          <w:sz w:val="20"/>
        </w:rPr>
        <w:t>Fluxo de triagem automática configurado e validado</w:t>
      </w:r>
    </w:p>
    <w:p>
      <w:pPr>
        <w:pStyle w:val="BodyText"/>
        <w:keepLines/>
        <w:bidi w:val="0"/>
        <w:spacing w:before="90" w:after="60"/>
        <w:ind w:hanging="0" w:left="0" w:right="0"/>
        <w:rPr>
          <w:sz w:val="20"/>
        </w:rPr>
      </w:pPr>
      <w:r>
        <w:rPr>
          <w:sz w:val="20"/>
        </w:rPr>
        <w:t>Escalonamento humano funcionando corretamente</w:t>
      </w:r>
    </w:p>
    <w:p>
      <w:pPr>
        <w:pStyle w:val="BodyText"/>
        <w:keepLines/>
        <w:bidi w:val="0"/>
        <w:spacing w:before="90" w:after="60"/>
        <w:ind w:hanging="0" w:left="0" w:right="0"/>
        <w:rPr>
          <w:sz w:val="20"/>
        </w:rPr>
      </w:pPr>
      <w:r>
        <w:rPr>
          <w:sz w:val="20"/>
        </w:rPr>
        <w:t xml:space="preserve">Perfis de acesso e permissões granulares configurados</w:t>
      </w:r>
    </w:p>
    <w:p>
      <w:pPr>
        <w:pStyle w:val="BodyText"/>
        <w:keepLines/>
        <w:bidi w:val="0"/>
        <w:spacing w:before="90" w:after="60"/>
        <w:ind w:hanging="0" w:left="0" w:right="0"/>
        <w:rPr>
          <w:sz w:val="20"/>
        </w:rPr>
      </w:pPr>
      <w:r>
        <w:rPr>
          <w:sz w:val="20"/>
        </w:rPr>
        <w:t xml:space="preserve">Histórico de conversas criptografado em repouso</w:t>
      </w:r>
    </w:p>
    <w:p>
      <w:pPr>
        <w:pStyle w:val="BodyText"/>
        <w:keepLines/>
        <w:bidi w:val="0"/>
        <w:spacing w:before="90" w:after="60"/>
        <w:ind w:hanging="0" w:left="0" w:right="0"/>
        <w:rPr>
          <w:sz w:val="20"/>
        </w:rPr>
      </w:pPr>
      <w:r>
        <w:rPr>
          <w:sz w:val="20"/>
        </w:rPr>
        <w:t xml:space="preserve">Tokens e webhooks protegidos, com procedimento de rotação documentado</w:t>
      </w:r>
    </w:p>
    <w:p>
      <w:pPr>
        <w:pStyle w:val="BodyText"/>
        <w:keepLines/>
        <w:bidi w:val="0"/>
        <w:spacing w:before="90" w:after="60"/>
        <w:ind w:hanging="0" w:left="0" w:right="0"/>
        <w:rPr>
          <w:sz w:val="20"/>
        </w:rPr>
      </w:pPr>
      <w:r>
        <w:rPr>
          <w:sz w:val="20"/>
        </w:rPr>
        <w:t xml:space="preserve">Backup diário automatizado ativo, com restauração testada</w:t>
      </w:r>
    </w:p>
    <w:p>
      <w:pPr>
        <w:pStyle w:val="BodyText"/>
        <w:keepLines/>
        <w:bidi w:val="0"/>
        <w:spacing w:before="90" w:after="60"/>
        <w:ind w:hanging="0" w:left="0" w:right="0"/>
        <w:rPr>
          <w:sz w:val="20"/>
        </w:rPr>
      </w:pPr>
      <w:r>
        <w:rPr>
          <w:sz w:val="20"/>
        </w:rPr>
        <w:t xml:space="preserve">Monitoramento de uptime e alertas automáticos operacionais</w:t>
      </w:r>
    </w:p>
    <w:p>
      <w:pPr>
        <w:pStyle w:val="BodyText"/>
        <w:keepLines/>
        <w:bidi w:val="0"/>
        <w:spacing w:before="90" w:after="60"/>
        <w:ind w:hanging="0" w:left="0" w:right="0"/>
        <w:rPr>
          <w:sz w:val="20"/>
        </w:rPr>
      </w:pPr>
      <w:r>
        <w:rPr>
          <w:sz w:val="20"/>
        </w:rPr>
        <w:t>Relatório de testes por canal (aprovação da CONTRATANTE)</w:t>
      </w:r>
    </w:p>
    <w:p>
      <w:pPr>
        <w:pStyle w:val="BodyTextfase-header-title"/>
        <w:keepLines/>
        <w:bidi w:val="0"/>
        <w:spacing w:before="90" w:after="420"/>
        <w:ind w:hanging="0" w:left="0" w:right="0"/>
        <w:rPr>
          <w:color w:val="FFFFFF"/>
          <w:shd w:fill="000000" w:val="clear"/>
        </w:rPr>
      </w:pPr>
      <w:r>
        <w:rPr>
          <w:color w:val="FFFFFF"/>
          <w:shd w:fill="000000" w:val="clear"/>
        </w:rPr>
        <w:t>Fase 03 — SDR IA + Go-live</w:t>
      </w:r>
    </w:p>
    <w:p>
      <w:pPr>
        <w:pStyle w:val="BodyTextfase-header-sub"/>
        <w:keepLines/>
        <w:bidi w:val="0"/>
        <w:spacing w:before="90" w:after="420"/>
        <w:rPr>
          <w:color w:val="FFFFFF"/>
          <w:shd w:fill="000000" w:val="clear"/>
        </w:rPr>
      </w:pPr>
      <w:r>
        <w:rPr>
          <w:color w:val="FFFFFF"/>
          <w:shd w:fill="000000" w:val="clear"/>
        </w:rPr>
        <w:t>Semanas 5 e 6 · Ativação do SDR por IA, testes integrados e entrega em produção</w:t>
      </w:r>
    </w:p>
    <w:p>
      <w:pPr>
        <w:pStyle w:val="BodyText"/>
        <w:keepLines/>
        <w:bidi w:val="0"/>
        <w:spacing w:before="90" w:after="420"/>
        <w:ind w:hanging="0" w:left="0" w:right="0"/>
        <w:rPr/>
      </w:pPr>
      <w:r>
        <w:rPr>
          <w:b/>
        </w:rPr>
        <w:t>Objetivo:</w:t>
      </w:r>
      <w:r>
        <w:rPr/>
        <w:t xml:space="preserve"> Configurar e ativar o agente SDR por inteligência artificial, desenvolver os fluxos de qualificação de leads e handoff para o time comercial, realizar testes integrados ponta a ponta, treinar formalmente a equipe da CONTRATANTE e entregar toda a operação em produção mediante assinatura do Termo de Homologação.</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Tarefas</w:t>
      </w:r>
    </w:p>
    <w:p>
      <w:pPr>
        <w:pStyle w:val="BodyText"/>
        <w:keepLines/>
        <w:numPr>
          <w:ilvl w:val="0"/>
          <w:numId w:val="7"/>
        </w:numPr>
        <w:tabs>
          <w:tab w:val="clear" w:pos="1134"/>
          <w:tab w:val="left" w:pos="799" w:leader="none"/>
        </w:tabs>
        <w:bidi w:val="0"/>
        <w:spacing w:before="90" w:after="420"/>
        <w:ind w:hanging="283" w:left="799"/>
        <w:rPr/>
      </w:pPr>
      <w:r>
        <w:rPr/>
        <w:t xml:space="preserve">Configuração do N8N como orquestrador dos fluxos de automação do SDR </w:t>
      </w:r>
    </w:p>
    <w:p>
      <w:pPr>
        <w:pStyle w:val="BodyText"/>
        <w:keepLines/>
        <w:numPr>
          <w:ilvl w:val="0"/>
          <w:numId w:val="7"/>
        </w:numPr>
        <w:tabs>
          <w:tab w:val="clear" w:pos="1134"/>
          <w:tab w:val="left" w:pos="799" w:leader="none"/>
        </w:tabs>
        <w:bidi w:val="0"/>
        <w:spacing w:before="90" w:after="420"/>
        <w:ind w:hanging="283" w:left="799"/>
        <w:rPr/>
      </w:pPr>
      <w:r>
        <w:rPr/>
        <w:t xml:space="preserve">Integração do N8N com o LLM selecionado (Claude / GPT) para processamento de linguagem natural nas etapas de qualificação </w:t>
      </w:r>
    </w:p>
    <w:p>
      <w:pPr>
        <w:pStyle w:val="BodyText"/>
        <w:keepLines/>
        <w:numPr>
          <w:ilvl w:val="0"/>
          <w:numId w:val="7"/>
        </w:numPr>
        <w:tabs>
          <w:tab w:val="clear" w:pos="1134"/>
          <w:tab w:val="left" w:pos="799" w:leader="none"/>
        </w:tabs>
        <w:bidi w:val="0"/>
        <w:spacing w:before="90" w:after="420"/>
        <w:ind w:hanging="283" w:left="799"/>
        <w:rPr/>
      </w:pPr>
      <w:r>
        <w:rPr/>
        <w:t xml:space="preserve">Criação dos fluxos de qualificação de leads: abordagem proativa, perguntas de qualificação (curso de interesse, modalidade, disponibilidade, urgência e perfil profissional), e coleta estruturada das respostas </w:t>
      </w:r>
    </w:p>
    <w:p>
      <w:pPr>
        <w:pStyle w:val="BodyText"/>
        <w:keepLines/>
        <w:numPr>
          <w:ilvl w:val="0"/>
          <w:numId w:val="7"/>
        </w:numPr>
        <w:tabs>
          <w:tab w:val="clear" w:pos="1134"/>
          <w:tab w:val="left" w:pos="799" w:leader="none"/>
        </w:tabs>
        <w:bidi w:val="0"/>
        <w:spacing w:before="90" w:after="420"/>
        <w:ind w:hanging="283" w:left="799"/>
        <w:rPr/>
      </w:pPr>
      <w:r>
        <w:rPr/>
        <w:t xml:space="preserve">Configuração da coleta automatizada de dados de intenção de matrícula: integração com planilha ou CRM designado pela CONTRATANTE para armazenamento dos dados qualificados </w:t>
      </w:r>
    </w:p>
    <w:p>
      <w:pPr>
        <w:pStyle w:val="BodyText"/>
        <w:keepLines/>
        <w:numPr>
          <w:ilvl w:val="0"/>
          <w:numId w:val="7"/>
        </w:numPr>
        <w:tabs>
          <w:tab w:val="clear" w:pos="1134"/>
          <w:tab w:val="left" w:pos="799" w:leader="none"/>
        </w:tabs>
        <w:bidi w:val="0"/>
        <w:spacing w:before="90" w:after="420"/>
        <w:ind w:hanging="283" w:left="799"/>
        <w:rPr/>
      </w:pPr>
      <w:r>
        <w:rPr/>
        <w:t xml:space="preserve">Configuração do handoff para o time comercial: notificação automática com resumo da conversa, dados do lead e intenção identificada, entregues via canal definido com a CONTRATANTE (WhatsApp, e-mail ou CRM) </w:t>
      </w:r>
    </w:p>
    <w:p>
      <w:pPr>
        <w:pStyle w:val="BodyText"/>
        <w:keepLines/>
        <w:numPr>
          <w:ilvl w:val="0"/>
          <w:numId w:val="7"/>
        </w:numPr>
        <w:tabs>
          <w:tab w:val="clear" w:pos="1134"/>
          <w:tab w:val="left" w:pos="799" w:leader="none"/>
        </w:tabs>
        <w:bidi w:val="0"/>
        <w:spacing w:before="90" w:after="420"/>
        <w:ind w:hanging="283" w:left="799"/>
        <w:rPr/>
      </w:pPr>
      <w:r>
        <w:rPr/>
        <w:t xml:space="preserve">Testes integrados ponta a ponta: simulação de jornadas completas do lead desde o primeiro contato até o handoff comercial </w:t>
      </w:r>
    </w:p>
    <w:p>
      <w:pPr>
        <w:pStyle w:val="BodyText"/>
        <w:keepLines/>
        <w:numPr>
          <w:ilvl w:val="0"/>
          <w:numId w:val="7"/>
        </w:numPr>
        <w:tabs>
          <w:tab w:val="clear" w:pos="1134"/>
          <w:tab w:val="left" w:pos="799" w:leader="none"/>
        </w:tabs>
        <w:bidi w:val="0"/>
        <w:spacing w:before="90" w:after="420"/>
        <w:ind w:hanging="283" w:left="799"/>
        <w:rPr/>
      </w:pPr>
      <w:r>
        <w:rPr/>
        <w:t xml:space="preserve">Ajustes e refinamentos nos fluxos com base nos resultados dos testes integrados </w:t>
      </w:r>
    </w:p>
    <w:p>
      <w:pPr>
        <w:pStyle w:val="BodyText"/>
        <w:keepLines/>
        <w:numPr>
          <w:ilvl w:val="0"/>
          <w:numId w:val="7"/>
        </w:numPr>
        <w:tabs>
          <w:tab w:val="clear" w:pos="1134"/>
          <w:tab w:val="left" w:pos="799" w:leader="none"/>
        </w:tabs>
        <w:bidi w:val="0"/>
        <w:spacing w:before="90" w:after="420"/>
        <w:ind w:hanging="283" w:left="799"/>
        <w:rPr/>
      </w:pPr>
      <w:r>
        <w:rPr/>
        <w:t xml:space="preserve">Treinamento formal da equipe da CONTRATANTE: uso do Chatwoot, gerenciamento da caixa de entrada, interpretação dos leads qualificados pelo SDR e operação básica das ferramentas </w:t>
      </w:r>
    </w:p>
    <w:p>
      <w:pPr>
        <w:pStyle w:val="BodyText"/>
        <w:keepLines/>
        <w:numPr>
          <w:ilvl w:val="0"/>
          <w:numId w:val="7"/>
        </w:numPr>
        <w:tabs>
          <w:tab w:val="clear" w:pos="1134"/>
          <w:tab w:val="left" w:pos="799" w:leader="none"/>
        </w:tabs>
        <w:bidi w:val="0"/>
        <w:spacing w:before="90" w:after="420"/>
        <w:ind w:hanging="283" w:left="799"/>
        <w:rPr/>
      </w:pPr>
      <w:r>
        <w:rPr/>
        <w:t xml:space="preserve">Validação do plano de recuperação: simulação de indisponibilidade total e teste de restabelecimento a partir do backup, dentro da meta de 4 (quatro) horas</w:t>
      </w:r>
    </w:p>
    <w:p>
      <w:pPr>
        <w:pStyle w:val="BodyText"/>
        <w:keepLines/>
        <w:numPr>
          <w:ilvl w:val="0"/>
          <w:numId w:val="7"/>
        </w:numPr>
        <w:tabs>
          <w:tab w:val="clear" w:pos="1134"/>
          <w:tab w:val="left" w:pos="799" w:leader="none"/>
        </w:tabs>
        <w:bidi w:val="0"/>
        <w:spacing w:before="90" w:after="420"/>
        <w:ind w:hanging="283" w:left="799"/>
        <w:rPr/>
      </w:pPr>
      <w:r>
        <w:rPr/>
        <w:t xml:space="preserve">Documentação do procedimento de atendimento a solicitações de titulares de dados (exclusão e anonimização — direito ao esquecimento), nos termos da LGPD</w:t>
      </w:r>
    </w:p>
    <w:p>
      <w:pPr>
        <w:pStyle w:val="BodyText"/>
        <w:keepLines/>
        <w:numPr>
          <w:ilvl w:val="0"/>
          <w:numId w:val="7"/>
        </w:numPr>
        <w:tabs>
          <w:tab w:val="clear" w:pos="1134"/>
          <w:tab w:val="left" w:pos="799" w:leader="none"/>
        </w:tabs>
        <w:bidi w:val="0"/>
        <w:spacing w:before="90" w:after="420"/>
        <w:ind w:hanging="283" w:left="799"/>
        <w:rPr/>
      </w:pPr>
      <w:r>
        <w:rPr/>
        <w:t xml:space="preserve">Documentação operacional: manual básico de uso e guia de perguntas frequentes para a equipe </w:t>
      </w:r>
    </w:p>
    <w:p>
      <w:pPr>
        <w:pStyle w:val="BodyText"/>
        <w:keepLines/>
        <w:numPr>
          <w:ilvl w:val="0"/>
          <w:numId w:val="7"/>
        </w:numPr>
        <w:tabs>
          <w:tab w:val="clear" w:pos="1134"/>
          <w:tab w:val="left" w:pos="799" w:leader="none"/>
        </w:tabs>
        <w:bidi w:val="0"/>
        <w:spacing w:before="90" w:after="420"/>
        <w:ind w:hanging="283" w:left="799"/>
        <w:rPr/>
      </w:pPr>
      <w:r>
        <w:rPr/>
        <w:t xml:space="preserve">Go-live: ativação completa da solução em ambiente de produção </w:t>
      </w:r>
    </w:p>
    <w:p>
      <w:pPr>
        <w:pStyle w:val="BodyText"/>
        <w:keepLines/>
        <w:numPr>
          <w:ilvl w:val="0"/>
          <w:numId w:val="7"/>
        </w:numPr>
        <w:tabs>
          <w:tab w:val="clear" w:pos="1134"/>
          <w:tab w:val="left" w:pos="799" w:leader="none"/>
        </w:tabs>
        <w:bidi w:val="0"/>
        <w:spacing w:before="90" w:after="420"/>
        <w:ind w:hanging="283" w:left="799"/>
        <w:rPr/>
      </w:pPr>
      <w:r>
        <w:rPr/>
        <w:t xml:space="preserve">Monitoramento assistido nas primeiras 48 horas após go-live </w:t>
      </w:r>
    </w:p>
    <w:p>
      <w:pPr>
        <w:pStyle w:val="BodyText"/>
        <w:keepLines/>
        <w:numPr>
          <w:ilvl w:val="0"/>
          <w:numId w:val="7"/>
        </w:numPr>
        <w:tabs>
          <w:tab w:val="clear" w:pos="1134"/>
          <w:tab w:val="left" w:pos="799" w:leader="none"/>
        </w:tabs>
        <w:bidi w:val="0"/>
        <w:spacing w:before="90" w:after="420"/>
        <w:ind w:hanging="283" w:left="799"/>
        <w:rPr/>
      </w:pPr>
      <w:r>
        <w:rPr/>
        <w:t xml:space="preserve">Assinatura do Termo de Homologação pelas Partes </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Responsabilidades</w:t>
      </w:r>
    </w:p>
    <w:p>
      <w:pPr>
        <w:pStyle w:val="BodyText"/>
        <w:keepLines/>
        <w:numPr>
          <w:ilvl w:val="0"/>
          <w:numId w:val="8"/>
        </w:numPr>
        <w:tabs>
          <w:tab w:val="clear" w:pos="1134"/>
          <w:tab w:val="left" w:pos="709" w:leader="none"/>
        </w:tabs>
        <w:bidi w:val="0"/>
        <w:spacing w:before="90" w:after="420"/>
        <w:ind w:hanging="283" w:left="709" w:right="0"/>
        <w:rPr/>
      </w:pPr>
      <w:r>
        <w:rPr>
          <w:b/>
        </w:rPr>
        <w:t>CONTRATADA:</w:t>
      </w:r>
      <w:r>
        <w:rPr/>
        <w:t xml:space="preserve"> configuração técnica completa do SDR, realização dos testes, condução do treinamento e elaboração da documentação </w:t>
      </w:r>
    </w:p>
    <w:p>
      <w:pPr>
        <w:pStyle w:val="BodyText"/>
        <w:keepLines/>
        <w:numPr>
          <w:ilvl w:val="0"/>
          <w:numId w:val="8"/>
        </w:numPr>
        <w:tabs>
          <w:tab w:val="clear" w:pos="1134"/>
          <w:tab w:val="left" w:pos="709" w:leader="none"/>
        </w:tabs>
        <w:bidi w:val="0"/>
        <w:spacing w:before="90" w:after="420"/>
        <w:ind w:hanging="283" w:left="709" w:right="0"/>
        <w:rPr/>
      </w:pPr>
      <w:r>
        <w:rPr>
          <w:b/>
        </w:rPr>
        <w:t>CONTRATANTE:</w:t>
      </w:r>
      <w:r>
        <w:rPr/>
        <w:t xml:space="preserve"> participar dos testes como usuário final, indicar o CRM ou planilha de destino dos leads, participar do treinamento, monitorar o go-live e assinar o Termo de Homologação </w:t>
      </w:r>
    </w:p>
    <w:p>
      <w:pPr>
        <w:pStyle w:val="BodyText"/>
        <w:keepLines/>
        <w:bidi w:val="0"/>
        <w:spacing w:before="90" w:after="420"/>
        <w:rPr/>
      </w:pPr>
      <w:r>
        <w:rPr/>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Stack Envolvida</w:t>
      </w:r>
    </w:p>
    <w:p>
      <w:pPr>
        <w:pStyle w:val="BodyText"/>
        <w:keepLines/>
        <w:numPr>
          <w:ilvl w:val="0"/>
          <w:numId w:val="9"/>
        </w:numPr>
        <w:tabs>
          <w:tab w:val="clear" w:pos="1134"/>
          <w:tab w:val="left" w:pos="799" w:leader="none"/>
        </w:tabs>
        <w:bidi w:val="0"/>
        <w:spacing w:before="90" w:after="420"/>
        <w:ind w:hanging="283" w:left="799"/>
        <w:rPr/>
      </w:pPr>
      <w:r>
        <w:rPr/>
        <w:t xml:space="preserve">N8N (orquestração de fluxos) </w:t>
      </w:r>
    </w:p>
    <w:p>
      <w:pPr>
        <w:pStyle w:val="BodyText"/>
        <w:keepLines/>
        <w:numPr>
          <w:ilvl w:val="0"/>
          <w:numId w:val="9"/>
        </w:numPr>
        <w:tabs>
          <w:tab w:val="clear" w:pos="1134"/>
          <w:tab w:val="left" w:pos="799" w:leader="none"/>
        </w:tabs>
        <w:bidi w:val="0"/>
        <w:spacing w:before="90" w:after="420"/>
        <w:ind w:hanging="283" w:left="799"/>
        <w:rPr/>
      </w:pPr>
      <w:r>
        <w:rPr/>
        <w:t xml:space="preserve">Claude / GPT via API (LLM do SDR) </w:t>
      </w:r>
    </w:p>
    <w:p>
      <w:pPr>
        <w:pStyle w:val="BodyText"/>
        <w:keepLines/>
        <w:numPr>
          <w:ilvl w:val="0"/>
          <w:numId w:val="9"/>
        </w:numPr>
        <w:tabs>
          <w:tab w:val="clear" w:pos="1134"/>
          <w:tab w:val="left" w:pos="799" w:leader="none"/>
        </w:tabs>
        <w:bidi w:val="0"/>
        <w:spacing w:before="90" w:after="420"/>
        <w:ind w:hanging="283" w:left="799"/>
        <w:rPr/>
      </w:pPr>
      <w:r>
        <w:rPr/>
        <w:t xml:space="preserve">Chatwoot (canal de entrada) </w:t>
      </w:r>
    </w:p>
    <w:p>
      <w:pPr>
        <w:pStyle w:val="BodyText"/>
        <w:keepLines/>
        <w:numPr>
          <w:ilvl w:val="0"/>
          <w:numId w:val="9"/>
        </w:numPr>
        <w:tabs>
          <w:tab w:val="clear" w:pos="1134"/>
          <w:tab w:val="left" w:pos="799" w:leader="none"/>
        </w:tabs>
        <w:bidi w:val="0"/>
        <w:spacing w:before="90" w:after="420"/>
        <w:ind w:hanging="283" w:left="799"/>
        <w:rPr/>
      </w:pPr>
      <w:r>
        <w:rPr/>
        <w:t xml:space="preserve">Evolution API (WhatsApp) </w:t>
      </w:r>
    </w:p>
    <w:p>
      <w:pPr>
        <w:pStyle w:val="BodyText"/>
        <w:keepLines/>
        <w:numPr>
          <w:ilvl w:val="0"/>
          <w:numId w:val="9"/>
        </w:numPr>
        <w:tabs>
          <w:tab w:val="clear" w:pos="1134"/>
          <w:tab w:val="left" w:pos="799" w:leader="none"/>
        </w:tabs>
        <w:bidi w:val="0"/>
        <w:spacing w:before="90" w:after="420"/>
        <w:ind w:hanging="283" w:left="799"/>
        <w:rPr/>
      </w:pPr>
      <w:r>
        <w:rPr/>
        <w:t xml:space="preserve">Google Sheets / CRM da CONTRATANTE </w:t>
      </w:r>
    </w:p>
    <w:p>
      <w:pPr>
        <w:pStyle w:val="BodyText"/>
        <w:keepLines/>
        <w:numPr>
          <w:ilvl w:val="0"/>
          <w:numId w:val="9"/>
        </w:numPr>
        <w:tabs>
          <w:tab w:val="clear" w:pos="1134"/>
          <w:tab w:val="left" w:pos="799" w:leader="none"/>
        </w:tabs>
        <w:bidi w:val="0"/>
        <w:spacing w:before="90" w:after="420"/>
        <w:ind w:hanging="283" w:left="799"/>
        <w:rPr/>
      </w:pPr>
      <w:r>
        <w:rPr/>
        <w:t xml:space="preserve">Docker / VPS Linux </w:t>
      </w:r>
    </w:p>
    <w:p>
      <w:pPr>
        <w:pStyle w:val="BodyText"/>
        <w:keepLines/>
        <w:bidi w:val="0"/>
        <w:spacing w:before="90" w:after="90"/>
        <w:ind w:hanging="0" w:left="0" w:right="0"/>
        <w:rPr>
          <w:b/>
          <w:caps/>
          <w:spacing w:val="0"/>
          <w:sz w:val="19"/>
          <w:bdr w:val="single" w:sz="2" w:space="2" w:color="000000"/>
        </w:rPr>
      </w:pPr>
      <w:r>
        <w:rPr>
          <w:b/>
          <w:caps/>
          <w:spacing w:val="0"/>
          <w:sz w:val="19"/>
          <w:bdr w:val="single" w:sz="2" w:space="2" w:color="000000"/>
        </w:rPr>
        <w:t>Entregáveis</w:t>
      </w:r>
    </w:p>
    <w:p>
      <w:pPr>
        <w:pStyle w:val="BodyText"/>
        <w:keepLines/>
        <w:bidi w:val="0"/>
        <w:spacing w:before="90" w:after="60"/>
        <w:ind w:hanging="0" w:left="0" w:right="0"/>
        <w:rPr>
          <w:sz w:val="20"/>
        </w:rPr>
      </w:pPr>
      <w:r>
        <w:rPr>
          <w:sz w:val="20"/>
        </w:rPr>
        <w:t>SDR por IA ativo e qualificando leads automaticamente</w:t>
      </w:r>
    </w:p>
    <w:p>
      <w:pPr>
        <w:pStyle w:val="BodyText"/>
        <w:keepLines/>
        <w:bidi w:val="0"/>
        <w:spacing w:before="90" w:after="60"/>
        <w:ind w:hanging="0" w:left="0" w:right="0"/>
        <w:rPr>
          <w:sz w:val="20"/>
        </w:rPr>
      </w:pPr>
      <w:r>
        <w:rPr>
          <w:sz w:val="20"/>
        </w:rPr>
        <w:t>Fluxo de coleta de dados de intenção de matrícula operacional</w:t>
      </w:r>
    </w:p>
    <w:p>
      <w:pPr>
        <w:pStyle w:val="BodyText"/>
        <w:keepLines/>
        <w:bidi w:val="0"/>
        <w:spacing w:before="90" w:after="60"/>
        <w:ind w:hanging="0" w:left="0" w:right="0"/>
        <w:rPr>
          <w:sz w:val="20"/>
        </w:rPr>
      </w:pPr>
      <w:r>
        <w:rPr>
          <w:sz w:val="20"/>
        </w:rPr>
        <w:t>Handoff para time comercial configurado e testado</w:t>
      </w:r>
    </w:p>
    <w:p>
      <w:pPr>
        <w:pStyle w:val="BodyText"/>
        <w:keepLines/>
        <w:bidi w:val="0"/>
        <w:spacing w:before="90" w:after="60"/>
        <w:ind w:hanging="0" w:left="0" w:right="0"/>
        <w:rPr>
          <w:sz w:val="20"/>
        </w:rPr>
      </w:pPr>
      <w:r>
        <w:rPr>
          <w:sz w:val="20"/>
        </w:rPr>
        <w:t>Relatório de testes ponta a ponta aprovado</w:t>
      </w:r>
    </w:p>
    <w:p>
      <w:pPr>
        <w:pStyle w:val="BodyText"/>
        <w:keepLines/>
        <w:bidi w:val="0"/>
        <w:spacing w:before="90" w:after="60"/>
        <w:ind w:hanging="0" w:left="0" w:right="0"/>
        <w:rPr>
          <w:sz w:val="20"/>
        </w:rPr>
      </w:pPr>
      <w:r>
        <w:rPr>
          <w:sz w:val="20"/>
        </w:rPr>
        <w:t>Equipe treinada e operando as ferramentas</w:t>
      </w:r>
    </w:p>
    <w:p>
      <w:pPr>
        <w:pStyle w:val="BodyText"/>
        <w:keepLines/>
        <w:bidi w:val="0"/>
        <w:spacing w:before="90" w:after="60"/>
        <w:ind w:hanging="0" w:left="0" w:right="0"/>
        <w:rPr>
          <w:sz w:val="20"/>
        </w:rPr>
      </w:pPr>
      <w:r>
        <w:rPr>
          <w:sz w:val="20"/>
        </w:rPr>
        <w:t xml:space="preserve">Plano de recuperação documentado e testado (meta de restabelecimento em até 4 horas)</w:t>
      </w:r>
    </w:p>
    <w:p>
      <w:pPr>
        <w:pStyle w:val="BodyText"/>
        <w:keepLines/>
        <w:bidi w:val="0"/>
        <w:spacing w:before="90" w:after="60"/>
        <w:ind w:hanging="0" w:left="0" w:right="0"/>
        <w:rPr>
          <w:sz w:val="20"/>
        </w:rPr>
      </w:pPr>
      <w:r>
        <w:rPr>
          <w:sz w:val="20"/>
        </w:rPr>
        <w:t xml:space="preserve">Procedimento de direito ao esquecimento documentado e operacional</w:t>
      </w:r>
    </w:p>
    <w:p>
      <w:pPr>
        <w:pStyle w:val="BodyText"/>
        <w:keepLines/>
        <w:bidi w:val="0"/>
        <w:spacing w:before="90" w:after="60"/>
        <w:ind w:hanging="0" w:left="0" w:right="0"/>
        <w:rPr>
          <w:sz w:val="20"/>
        </w:rPr>
      </w:pPr>
      <w:r>
        <w:rPr>
          <w:sz w:val="20"/>
        </w:rPr>
        <w:t>Manual operacional básico entregue</w:t>
      </w:r>
    </w:p>
    <w:p>
      <w:pPr>
        <w:pStyle w:val="BodyText"/>
        <w:keepLines/>
        <w:bidi w:val="0"/>
        <w:spacing w:before="90" w:after="60"/>
        <w:ind w:hanging="0" w:left="0" w:right="0"/>
        <w:rPr>
          <w:sz w:val="20"/>
        </w:rPr>
      </w:pPr>
      <w:r>
        <w:rPr>
          <w:sz w:val="20"/>
        </w:rPr>
        <w:t>Solução em produção (go-live)</w:t>
      </w:r>
    </w:p>
    <w:p>
      <w:pPr>
        <w:pStyle w:val="BodyText"/>
        <w:keepLines/>
        <w:bidi w:val="0"/>
        <w:spacing w:before="90" w:after="60"/>
        <w:ind w:hanging="0" w:left="0" w:right="0"/>
        <w:rPr>
          <w:sz w:val="20"/>
        </w:rPr>
      </w:pPr>
      <w:r>
        <w:rPr>
          <w:sz w:val="20"/>
        </w:rPr>
        <w:t>Termo de Homologação assinado pelas Partes</w:t>
      </w:r>
    </w:p>
    <w:p>
      <w:pPr>
        <w:pStyle w:val="Heading2secao"/>
        <w:bidi w:val="0"/>
        <w:jc w:val="left"/>
        <w:rPr/>
      </w:pPr>
      <w:r>
        <w:rPr/>
        <w:t>4. Pré-requisitos e Dependências Críticas</w:t>
      </w:r>
    </w:p>
    <w:p>
      <w:pPr>
        <w:pStyle w:val="BodyTextbox-nota-titulo"/>
        <w:bidi w:val="0"/>
        <w:spacing w:before="270" w:after="270"/>
        <w:ind w:hanging="0" w:left="360" w:right="360"/>
        <w:rPr>
          <w:sz w:val="21"/>
          <w:bdr w:val="single" w:sz="2" w:space="8" w:color="000000"/>
        </w:rPr>
      </w:pPr>
      <w:r>
        <w:rPr>
          <w:sz w:val="21"/>
          <w:bdr w:val="single" w:sz="2" w:space="8" w:color="000000"/>
        </w:rPr>
        <w:t>Condições necessárias para início do projeto (kickoff)</w:t>
      </w:r>
    </w:p>
    <w:p>
      <w:pPr>
        <w:pStyle w:val="BodyText"/>
        <w:numPr>
          <w:ilvl w:val="0"/>
          <w:numId w:val="10"/>
        </w:numPr>
        <w:tabs>
          <w:tab w:val="clear" w:pos="1134"/>
          <w:tab w:val="left" w:pos="979" w:leader="none"/>
        </w:tabs>
        <w:bidi w:val="0"/>
        <w:spacing w:before="270" w:after="270"/>
        <w:ind w:hanging="283" w:left="979" w:right="270"/>
        <w:rPr>
          <w:sz w:val="21"/>
          <w:bdr w:val="single" w:sz="2" w:space="8" w:color="000000"/>
        </w:rPr>
      </w:pPr>
      <w:r>
        <w:rPr>
          <w:b/>
          <w:sz w:val="21"/>
          <w:bdr w:val="single" w:sz="2" w:space="8" w:color="000000"/>
        </w:rPr>
        <w:t>Assinatura do contrato</w:t>
      </w:r>
      <w:r>
        <w:rPr>
          <w:sz w:val="21"/>
          <w:bdr w:val="single" w:sz="2" w:space="8" w:color="000000"/>
        </w:rPr>
        <w:t xml:space="preserve"> por ambas as Partes; </w:t>
      </w:r>
    </w:p>
    <w:p>
      <w:pPr>
        <w:pStyle w:val="BodyText"/>
        <w:numPr>
          <w:ilvl w:val="0"/>
          <w:numId w:val="10"/>
        </w:numPr>
        <w:tabs>
          <w:tab w:val="clear" w:pos="1134"/>
          <w:tab w:val="left" w:pos="979" w:leader="none"/>
        </w:tabs>
        <w:bidi w:val="0"/>
        <w:spacing w:before="270" w:after="270"/>
        <w:ind w:hanging="283" w:left="979" w:right="270"/>
        <w:rPr>
          <w:sz w:val="21"/>
          <w:bdr w:val="single" w:sz="2" w:space="8" w:color="000000"/>
        </w:rPr>
      </w:pPr>
      <w:r>
        <w:rPr>
          <w:b/>
          <w:sz w:val="21"/>
          <w:bdr w:val="single" w:sz="2" w:space="8" w:color="000000"/>
        </w:rPr>
        <w:t>Pagamento da primeira parcela</w:t>
      </w:r>
      <w:r>
        <w:rPr>
          <w:sz w:val="21"/>
          <w:bdr w:val="single" w:sz="2" w:space="8" w:color="000000"/>
        </w:rPr>
        <w:t xml:space="preserve"> do setup (R$ 3.400,00) confirmado via PIX; </w:t>
      </w:r>
    </w:p>
    <w:p>
      <w:pPr>
        <w:pStyle w:val="BodyText"/>
        <w:numPr>
          <w:ilvl w:val="0"/>
          <w:numId w:val="10"/>
        </w:numPr>
        <w:tabs>
          <w:tab w:val="clear" w:pos="1134"/>
          <w:tab w:val="left" w:pos="979" w:leader="none"/>
        </w:tabs>
        <w:bidi w:val="0"/>
        <w:spacing w:before="270" w:after="270"/>
        <w:ind w:hanging="283" w:left="979" w:right="270"/>
        <w:rPr>
          <w:sz w:val="21"/>
          <w:bdr w:val="single" w:sz="2" w:space="8" w:color="000000"/>
        </w:rPr>
      </w:pPr>
      <w:r>
        <w:rPr>
          <w:b/>
          <w:sz w:val="21"/>
          <w:bdr w:val="single" w:sz="2" w:space="8" w:color="000000"/>
        </w:rPr>
        <w:t>Entrega dos acessos e credenciais</w:t>
      </w:r>
      <w:r>
        <w:rPr>
          <w:sz w:val="21"/>
          <w:bdr w:val="single" w:sz="2" w:space="8" w:color="000000"/>
        </w:rPr>
        <w:t xml:space="preserve"> listados no checklist a ser fornecido pela CONTRATADA, incluindo no mínimo: acesso ao Meta Business Manager, número de WhatsApp Business elegível para API, acesso de administrador ao site (para instalação do Webchat), e servidor VPS provisionado conforme especificações. </w:t>
      </w:r>
    </w:p>
    <w:p>
      <w:pPr>
        <w:pStyle w:val="BodyTextbox-nota-titulo"/>
        <w:bidi w:val="0"/>
        <w:spacing w:before="270" w:after="270"/>
        <w:ind w:hanging="0" w:left="360" w:right="360"/>
        <w:rPr>
          <w:sz w:val="21"/>
          <w:bdr w:val="single" w:sz="2" w:space="8" w:color="000000"/>
        </w:rPr>
      </w:pPr>
      <w:r>
        <w:rPr>
          <w:sz w:val="21"/>
          <w:bdr w:val="single" w:sz="2" w:space="8" w:color="000000"/>
        </w:rPr>
        <w:t>Impactos em caso de atraso da CONTRATANTE</w:t>
      </w:r>
    </w:p>
    <w:p>
      <w:pPr>
        <w:pStyle w:val="BodyText"/>
        <w:numPr>
          <w:ilvl w:val="0"/>
          <w:numId w:val="11"/>
        </w:numPr>
        <w:tabs>
          <w:tab w:val="clear" w:pos="1134"/>
          <w:tab w:val="left" w:pos="979" w:leader="none"/>
        </w:tabs>
        <w:bidi w:val="0"/>
        <w:spacing w:before="270" w:after="270"/>
        <w:ind w:hanging="283" w:left="979" w:right="270"/>
        <w:rPr>
          <w:sz w:val="21"/>
          <w:bdr w:val="single" w:sz="2" w:space="8" w:color="000000"/>
        </w:rPr>
      </w:pPr>
      <w:r>
        <w:rPr>
          <w:sz w:val="21"/>
          <w:bdr w:val="single" w:sz="2" w:space="8" w:color="000000"/>
        </w:rPr>
        <w:t xml:space="preserve">Cada semana de atraso na entrega de acessos ou validações de responsabilidade da CONTRATANTE resultará em prorrogação proporcional do prazo de entrega, sem ônus para a CONTRATADA; </w:t>
      </w:r>
    </w:p>
    <w:p>
      <w:pPr>
        <w:pStyle w:val="BodyText"/>
        <w:numPr>
          <w:ilvl w:val="0"/>
          <w:numId w:val="11"/>
        </w:numPr>
        <w:tabs>
          <w:tab w:val="clear" w:pos="1134"/>
          <w:tab w:val="left" w:pos="979" w:leader="none"/>
        </w:tabs>
        <w:bidi w:val="0"/>
        <w:spacing w:before="270" w:after="270"/>
        <w:ind w:hanging="283" w:left="979" w:right="270"/>
        <w:rPr>
          <w:sz w:val="21"/>
          <w:bdr w:val="single" w:sz="2" w:space="8" w:color="000000"/>
        </w:rPr>
      </w:pPr>
      <w:r>
        <w:rPr>
          <w:sz w:val="21"/>
          <w:bdr w:val="single" w:sz="2" w:space="8" w:color="000000"/>
        </w:rPr>
        <w:t xml:space="preserve">Atrasos superiores a 2 (duas) semanas poderão impactar a disponibilidade da equipe técnica da CONTRATADA e demandar renegociação do cronograma; </w:t>
      </w:r>
    </w:p>
    <w:p>
      <w:pPr>
        <w:pStyle w:val="BodyText"/>
        <w:numPr>
          <w:ilvl w:val="0"/>
          <w:numId w:val="11"/>
        </w:numPr>
        <w:tabs>
          <w:tab w:val="clear" w:pos="1134"/>
          <w:tab w:val="left" w:pos="979" w:leader="none"/>
        </w:tabs>
        <w:bidi w:val="0"/>
        <w:spacing w:before="270" w:after="270"/>
        <w:ind w:hanging="283" w:left="979" w:right="270"/>
        <w:rPr>
          <w:sz w:val="21"/>
          <w:bdr w:val="single" w:sz="2" w:space="8" w:color="000000"/>
        </w:rPr>
      </w:pPr>
      <w:r>
        <w:rPr>
          <w:sz w:val="21"/>
          <w:bdr w:val="single" w:sz="2" w:space="8" w:color="000000"/>
        </w:rPr>
        <w:t xml:space="preserve">A mensalidade será devida a partir do 3.º mês de vigência contratual, independentemente de eventual atraso no go-live atribuível à CONTRATANTE. </w:t>
      </w:r>
    </w:p>
    <w:p>
      <w:pPr>
        <w:pStyle w:val="Heading2secao"/>
        <w:bidi w:val="0"/>
        <w:ind w:hanging="0"/>
        <w:jc w:val="left"/>
        <w:rPr/>
      </w:pPr>
      <w:r>
        <w:rPr/>
        <w:t>5. Suporte Pós Go-live</w:t>
      </w:r>
    </w:p>
    <w:p>
      <w:pPr>
        <w:pStyle w:val="BodyText"/>
        <w:bidi w:val="0"/>
        <w:rPr/>
      </w:pPr>
      <w:r>
        <w:rPr/>
        <w:t>Após a assinatura do Termo de Homologação e ativação do go-live, a CONTRATADA manterá os seguintes serviços continuados durante toda a vigência do contrato:</w:t>
      </w:r>
    </w:p>
    <w:tbl>
      <w:tblPr>
        <w:tblW w:w="5358" w:type="dxa"/>
        <w:jc w:val="left"/>
        <w:tblInd w:w="0" w:type="dxa"/>
        <w:tblLayout w:type="fixed"/>
        <w:tblCellMar>
          <w:top w:w="28" w:type="dxa"/>
          <w:left w:w="28" w:type="dxa"/>
          <w:bottom w:w="28" w:type="dxa"/>
          <w:right w:w="28" w:type="dxa"/>
        </w:tblCellMar>
      </w:tblPr>
      <w:tblGrid>
        <w:gridCol w:w="1771"/>
        <w:gridCol w:w="1876"/>
        <w:gridCol w:w="1711"/>
      </w:tblGrid>
      <w:tr>
        <w:trPr/>
        <w:tc>
          <w:tcPr>
            <w:tcW w:w="1771" w:type="dxa"/>
            <w:tcBorders/>
            <w:vAlign w:val="center"/>
          </w:tcPr>
          <w:p>
            <w:pPr>
              <w:pStyle w:val="TableHeading"/>
              <w:suppressLineNumbers/>
              <w:bidi w:val="0"/>
              <w:spacing w:before="90" w:after="150"/>
              <w:jc w:val="center"/>
              <w:rPr/>
            </w:pPr>
            <w:r>
              <w:rPr/>
              <w:t>Serviço</w:t>
            </w:r>
          </w:p>
        </w:tc>
        <w:tc>
          <w:tcPr>
            <w:tcW w:w="1876" w:type="dxa"/>
            <w:tcBorders/>
            <w:vAlign w:val="center"/>
          </w:tcPr>
          <w:p>
            <w:pPr>
              <w:pStyle w:val="TableHeading"/>
              <w:suppressLineNumbers/>
              <w:bidi w:val="0"/>
              <w:spacing w:before="90" w:after="150"/>
              <w:jc w:val="center"/>
              <w:rPr/>
            </w:pPr>
            <w:r>
              <w:rPr/>
              <w:t>Descrição</w:t>
            </w:r>
          </w:p>
        </w:tc>
        <w:tc>
          <w:tcPr>
            <w:tcW w:w="1711" w:type="dxa"/>
            <w:tcBorders/>
            <w:vAlign w:val="center"/>
          </w:tcPr>
          <w:p>
            <w:pPr>
              <w:pStyle w:val="TableHeading"/>
              <w:suppressLineNumbers/>
              <w:bidi w:val="0"/>
              <w:spacing w:before="90" w:after="150"/>
              <w:jc w:val="center"/>
              <w:rPr/>
            </w:pPr>
            <w:r>
              <w:rPr/>
              <w:t>Periodicidade / SLA</w:t>
            </w:r>
          </w:p>
        </w:tc>
      </w:tr>
      <w:tr>
        <w:trPr/>
        <w:tc>
          <w:tcPr>
            <w:tcW w:w="1771" w:type="dxa"/>
            <w:tcBorders/>
            <w:vAlign w:val="center"/>
          </w:tcPr>
          <w:p>
            <w:pPr>
              <w:pStyle w:val="TableContents"/>
              <w:bidi w:val="0"/>
              <w:spacing w:before="90" w:after="150"/>
              <w:rPr/>
            </w:pPr>
            <w:r>
              <w:rPr>
                <w:rStyle w:val="Strong"/>
              </w:rPr>
              <w:t>Manutenção do Atendente IA</w:t>
            </w:r>
          </w:p>
        </w:tc>
        <w:tc>
          <w:tcPr>
            <w:tcW w:w="1876" w:type="dxa"/>
            <w:tcBorders/>
            <w:vAlign w:val="center"/>
          </w:tcPr>
          <w:p>
            <w:pPr>
              <w:pStyle w:val="TableContents"/>
              <w:bidi w:val="0"/>
              <w:spacing w:before="90" w:after="150"/>
              <w:rPr/>
            </w:pPr>
            <w:r>
              <w:rPr/>
              <w:t>Monitoramento e ajustes no agente de IA com base em novas conversas, atualizações de portfólio e feedbacks da equipe</w:t>
            </w:r>
          </w:p>
        </w:tc>
        <w:tc>
          <w:tcPr>
            <w:tcW w:w="1711" w:type="dxa"/>
            <w:tcBorders/>
            <w:vAlign w:val="center"/>
          </w:tcPr>
          <w:p>
            <w:pPr>
              <w:pStyle w:val="TableContents"/>
              <w:bidi w:val="0"/>
              <w:spacing w:before="90" w:after="150"/>
              <w:rPr/>
            </w:pPr>
            <w:r>
              <w:rPr/>
              <w:t>Contínua, sob demanda (até 5 dias úteis para ajustes solicitados)</w:t>
            </w:r>
          </w:p>
        </w:tc>
      </w:tr>
      <w:tr>
        <w:trPr/>
        <w:tc>
          <w:tcPr>
            <w:tcW w:w="1771" w:type="dxa"/>
            <w:tcBorders/>
            <w:vAlign w:val="center"/>
          </w:tcPr>
          <w:p>
            <w:pPr>
              <w:pStyle w:val="TableContents"/>
              <w:bidi w:val="0"/>
              <w:spacing w:before="90" w:after="150"/>
              <w:rPr/>
            </w:pPr>
            <w:r>
              <w:rPr>
                <w:rStyle w:val="Strong"/>
              </w:rPr>
              <w:t>Refinamentos do SDR</w:t>
            </w:r>
          </w:p>
        </w:tc>
        <w:tc>
          <w:tcPr>
            <w:tcW w:w="1876" w:type="dxa"/>
            <w:tcBorders/>
            <w:vAlign w:val="center"/>
          </w:tcPr>
          <w:p>
            <w:pPr>
              <w:pStyle w:val="TableContents"/>
              <w:bidi w:val="0"/>
              <w:spacing w:before="90" w:after="150"/>
              <w:rPr/>
            </w:pPr>
            <w:r>
              <w:rPr/>
              <w:t>Otimização dos fluxos de qualificação e handoff com base em dados reais de atendimento e conversão</w:t>
            </w:r>
          </w:p>
        </w:tc>
        <w:tc>
          <w:tcPr>
            <w:tcW w:w="1711" w:type="dxa"/>
            <w:tcBorders/>
            <w:vAlign w:val="center"/>
          </w:tcPr>
          <w:p>
            <w:pPr>
              <w:pStyle w:val="TableContents"/>
              <w:bidi w:val="0"/>
              <w:spacing w:before="90" w:after="150"/>
              <w:rPr/>
            </w:pPr>
            <w:r>
              <w:rPr/>
              <w:t>Mensal ou sob demanda</w:t>
            </w:r>
          </w:p>
        </w:tc>
      </w:tr>
      <w:tr>
        <w:trPr/>
        <w:tc>
          <w:tcPr>
            <w:tcW w:w="1771" w:type="dxa"/>
            <w:tcBorders/>
            <w:vAlign w:val="center"/>
          </w:tcPr>
          <w:p>
            <w:pPr>
              <w:pStyle w:val="TableContents"/>
              <w:bidi w:val="0"/>
              <w:spacing w:before="90" w:after="150"/>
              <w:rPr/>
            </w:pPr>
            <w:r>
              <w:rPr>
                <w:rStyle w:val="Strong"/>
              </w:rPr>
              <w:t>Suporte Técnico aos Canais</w:t>
            </w:r>
          </w:p>
        </w:tc>
        <w:tc>
          <w:tcPr>
            <w:tcW w:w="1876" w:type="dxa"/>
            <w:tcBorders/>
            <w:vAlign w:val="center"/>
          </w:tcPr>
          <w:p>
            <w:pPr>
              <w:pStyle w:val="TableContents"/>
              <w:bidi w:val="0"/>
              <w:spacing w:before="90" w:after="150"/>
              <w:rPr/>
            </w:pPr>
            <w:r>
              <w:rPr/>
              <w:t>Atendimento a incidentes técnicos nos canais integrados (WhatsApp, Instagram, Webchat)</w:t>
            </w:r>
          </w:p>
        </w:tc>
        <w:tc>
          <w:tcPr>
            <w:tcW w:w="1711" w:type="dxa"/>
            <w:tcBorders/>
            <w:vAlign w:val="center"/>
          </w:tcPr>
          <w:p>
            <w:pPr>
              <w:pStyle w:val="TableContents"/>
              <w:bidi w:val="0"/>
              <w:spacing w:before="90" w:after="150"/>
              <w:rPr/>
            </w:pPr>
            <w:r>
              <w:rPr/>
              <w:t>Seg–Sex, 9h–18h; resposta em até 4h úteis (críticos) ou 24h úteis (demais)</w:t>
            </w:r>
          </w:p>
        </w:tc>
      </w:tr>
      <w:tr>
        <w:trPr/>
        <w:tc>
          <w:tcPr>
            <w:tcW w:w="1771" w:type="dxa"/>
            <w:tcBorders/>
            <w:vAlign w:val="center"/>
          </w:tcPr>
          <w:p>
            <w:pPr>
              <w:pStyle w:val="TableContents"/>
              <w:bidi w:val="0"/>
              <w:spacing w:before="90" w:after="150"/>
              <w:rPr/>
            </w:pPr>
            <w:r>
              <w:rPr>
                <w:rStyle w:val="Strong"/>
              </w:rPr>
              <w:t>Consultoria Estratégica</w:t>
            </w:r>
          </w:p>
        </w:tc>
        <w:tc>
          <w:tcPr>
            <w:tcW w:w="1876" w:type="dxa"/>
            <w:tcBorders/>
            <w:vAlign w:val="center"/>
          </w:tcPr>
          <w:p>
            <w:pPr>
              <w:pStyle w:val="TableContents"/>
              <w:bidi w:val="0"/>
              <w:spacing w:before="90" w:after="150"/>
              <w:rPr/>
            </w:pPr>
            <w:r>
              <w:rPr/>
              <w:t>Reuniões periódicas de análise de performance, sugestões de melhorias e alinhamento estratégico</w:t>
            </w:r>
          </w:p>
        </w:tc>
        <w:tc>
          <w:tcPr>
            <w:tcW w:w="1711" w:type="dxa"/>
            <w:tcBorders/>
            <w:vAlign w:val="center"/>
          </w:tcPr>
          <w:p>
            <w:pPr>
              <w:pStyle w:val="TableContents"/>
              <w:bidi w:val="0"/>
              <w:spacing w:before="90" w:after="150"/>
              <w:rPr/>
            </w:pPr>
            <w:r>
              <w:rPr/>
              <w:t>Mensal (1 reunião/mês, mediante agendamento)</w:t>
            </w:r>
          </w:p>
        </w:tc>
      </w:tr>
      <w:tr>
        <w:trPr/>
        <w:tc>
          <w:tcPr>
            <w:tcW w:w="1771" w:type="dxa"/>
            <w:tcBorders/>
            <w:vAlign w:val="center"/>
          </w:tcPr>
          <w:p>
            <w:pPr>
              <w:pStyle w:val="TableContents"/>
              <w:bidi w:val="0"/>
              <w:spacing w:before="90" w:after="150"/>
              <w:rPr/>
            </w:pPr>
            <w:r>
              <w:rPr>
                <w:rStyle w:val="Strong"/>
              </w:rPr>
              <w:t>Atualizações de Base de Conhecimento</w:t>
            </w:r>
          </w:p>
        </w:tc>
        <w:tc>
          <w:tcPr>
            <w:tcW w:w="1876" w:type="dxa"/>
            <w:tcBorders/>
            <w:vAlign w:val="center"/>
          </w:tcPr>
          <w:p>
            <w:pPr>
              <w:pStyle w:val="TableContents"/>
              <w:bidi w:val="0"/>
              <w:spacing w:before="90" w:after="150"/>
              <w:rPr/>
            </w:pPr>
            <w:r>
              <w:rPr/>
              <w:t>Atualização da base da IA com novos cursos, pós-graduações e informações de inscrição fornecidas pela CONTRATANTE</w:t>
            </w:r>
          </w:p>
        </w:tc>
        <w:tc>
          <w:tcPr>
            <w:tcW w:w="1711" w:type="dxa"/>
            <w:tcBorders/>
            <w:vAlign w:val="center"/>
          </w:tcPr>
          <w:p>
            <w:pPr>
              <w:pStyle w:val="TableContents"/>
              <w:bidi w:val="0"/>
              <w:spacing w:before="90" w:after="150"/>
              <w:rPr/>
            </w:pPr>
            <w:r>
              <w:rPr/>
              <w:t>Sob demanda (até 5 dias úteis após envio das informações)</w:t>
            </w:r>
          </w:p>
        </w:tc>
      </w:tr>
      <w:tr>
        <w:trPr/>
        <w:tc>
          <w:tcPr>
            <w:tcW w:w="1771" w:type="dxa"/>
            <w:tcBorders/>
            <w:vAlign w:val="center"/>
          </w:tcPr>
          <w:p>
            <w:pPr>
              <w:pStyle w:val="TableContents"/>
              <w:bidi w:val="0"/>
              <w:spacing w:before="90" w:after="150"/>
              <w:rPr/>
            </w:pPr>
            <w:r>
              <w:rPr>
                <w:rStyle w:val="Strong"/>
              </w:rPr>
              <w:t xml:space="preserve">Monitoramento de Uptime e Alertas</w:t>
            </w:r>
          </w:p>
        </w:tc>
        <w:tc>
          <w:tcPr>
            <w:tcW w:w="1876" w:type="dxa"/>
            <w:tcBorders/>
            <w:vAlign w:val="center"/>
          </w:tcPr>
          <w:p>
            <w:pPr>
              <w:pStyle w:val="TableContents"/>
              <w:bidi w:val="0"/>
              <w:spacing w:before="90" w:after="150"/>
              <w:rPr/>
            </w:pPr>
            <w:r>
              <w:rPr/>
              <w:t xml:space="preserve">Monitoramento ativo da disponibilidade dos canais integrados, com disparo de alertas automáticos à CONTRATADA em caso de falha</w:t>
            </w:r>
          </w:p>
        </w:tc>
        <w:tc>
          <w:tcPr>
            <w:tcW w:w="1711" w:type="dxa"/>
            <w:tcBorders/>
            <w:vAlign w:val="center"/>
          </w:tcPr>
          <w:p>
            <w:pPr>
              <w:pStyle w:val="TableContents"/>
              <w:bidi w:val="0"/>
              <w:spacing w:before="90" w:after="150"/>
              <w:rPr/>
            </w:pPr>
            <w:r>
              <w:rPr/>
              <w:t xml:space="preserve">Contínuo e automatizado (24×7)</w:t>
            </w:r>
          </w:p>
        </w:tc>
      </w:tr>
      <w:tr>
        <w:trPr/>
        <w:tc>
          <w:tcPr>
            <w:tcW w:w="1771" w:type="dxa"/>
            <w:tcBorders/>
            <w:vAlign w:val="center"/>
          </w:tcPr>
          <w:p>
            <w:pPr>
              <w:pStyle w:val="TableContents"/>
              <w:bidi w:val="0"/>
              <w:spacing w:before="90" w:after="150"/>
              <w:rPr/>
            </w:pPr>
            <w:r>
              <w:rPr>
                <w:rStyle w:val="Strong"/>
              </w:rPr>
              <w:t xml:space="preserve">Backup e Retenção</w:t>
            </w:r>
          </w:p>
        </w:tc>
        <w:tc>
          <w:tcPr>
            <w:tcW w:w="1876" w:type="dxa"/>
            <w:tcBorders/>
            <w:vAlign w:val="center"/>
          </w:tcPr>
          <w:p>
            <w:pPr>
              <w:pStyle w:val="TableContents"/>
              <w:bidi w:val="0"/>
              <w:spacing w:before="90" w:after="150"/>
              <w:rPr/>
            </w:pPr>
            <w:r>
              <w:rPr/>
              <w:t xml:space="preserve">Backup automatizado das conversas, base de conhecimento e configurações, com retenção mínima de 30 (trinta) dias e teste periódico de restauração</w:t>
            </w:r>
          </w:p>
        </w:tc>
        <w:tc>
          <w:tcPr>
            <w:tcW w:w="1711" w:type="dxa"/>
            <w:tcBorders/>
            <w:vAlign w:val="center"/>
          </w:tcPr>
          <w:p>
            <w:pPr>
              <w:pStyle w:val="TableContents"/>
              <w:bidi w:val="0"/>
              <w:spacing w:before="90" w:after="150"/>
              <w:rPr/>
            </w:pPr>
            <w:r>
              <w:rPr/>
              <w:t xml:space="preserve">Backup diário; teste de restauração trimestral</w:t>
            </w:r>
          </w:p>
        </w:tc>
      </w:tr>
      <w:tr>
        <w:trPr/>
        <w:tc>
          <w:tcPr>
            <w:tcW w:w="1771" w:type="dxa"/>
            <w:tcBorders/>
            <w:vAlign w:val="center"/>
          </w:tcPr>
          <w:p>
            <w:pPr>
              <w:pStyle w:val="TableContents"/>
              <w:bidi w:val="0"/>
              <w:spacing w:before="90" w:after="150"/>
              <w:rPr/>
            </w:pPr>
            <w:r>
              <w:rPr>
                <w:rStyle w:val="Strong"/>
              </w:rPr>
              <w:t xml:space="preserve">Plano de Recuperação</w:t>
            </w:r>
          </w:p>
        </w:tc>
        <w:tc>
          <w:tcPr>
            <w:tcW w:w="1876" w:type="dxa"/>
            <w:tcBorders/>
            <w:vAlign w:val="center"/>
          </w:tcPr>
          <w:p>
            <w:pPr>
              <w:pStyle w:val="TableContents"/>
              <w:bidi w:val="0"/>
              <w:spacing w:before="90" w:after="150"/>
              <w:rPr/>
            </w:pPr>
            <w:r>
              <w:rPr/>
              <w:t xml:space="preserve">Restabelecimento da operação em caso de indisponibilidade total, a partir dos backups e da infraestrutura disponibilizada pela CONTRATANTE</w:t>
            </w:r>
          </w:p>
        </w:tc>
        <w:tc>
          <w:tcPr>
            <w:tcW w:w="1711" w:type="dxa"/>
            <w:tcBorders/>
            <w:vAlign w:val="center"/>
          </w:tcPr>
          <w:p>
            <w:pPr>
              <w:pStyle w:val="TableContents"/>
              <w:bidi w:val="0"/>
              <w:spacing w:before="90" w:after="150"/>
              <w:rPr/>
            </w:pPr>
            <w:r>
              <w:rPr/>
              <w:t xml:space="preserve">Meta de restabelecimento em até 4 (quatro) horas do início do atendimento, ressalvadas dependências de terceiros</w:t>
            </w:r>
          </w:p>
        </w:tc>
      </w:tr>
      <w:tr>
        <w:trPr/>
        <w:tc>
          <w:tcPr>
            <w:tcW w:w="1771" w:type="dxa"/>
            <w:tcBorders/>
            <w:vAlign w:val="center"/>
          </w:tcPr>
          <w:p>
            <w:pPr>
              <w:pStyle w:val="TableContents"/>
              <w:bidi w:val="0"/>
              <w:spacing w:before="90" w:after="150"/>
              <w:rPr/>
            </w:pPr>
            <w:r>
              <w:rPr>
                <w:rStyle w:val="Strong"/>
              </w:rPr>
              <w:t xml:space="preserve">Gestão de Acessos e Segredos</w:t>
            </w:r>
          </w:p>
        </w:tc>
        <w:tc>
          <w:tcPr>
            <w:tcW w:w="1876" w:type="dxa"/>
            <w:tcBorders/>
            <w:vAlign w:val="center"/>
          </w:tcPr>
          <w:p>
            <w:pPr>
              <w:pStyle w:val="TableContents"/>
              <w:bidi w:val="0"/>
              <w:spacing w:before="90" w:after="150"/>
              <w:rPr/>
            </w:pPr>
            <w:r>
              <w:rPr/>
              <w:t xml:space="preserve">Manutenção dos perfis de permissão dos usuários, rotação dos tokens de API e das chaves secretas dos webhooks</w:t>
            </w:r>
          </w:p>
        </w:tc>
        <w:tc>
          <w:tcPr>
            <w:tcW w:w="1711" w:type="dxa"/>
            <w:tcBorders/>
            <w:vAlign w:val="center"/>
          </w:tcPr>
          <w:p>
            <w:pPr>
              <w:pStyle w:val="TableContents"/>
              <w:bidi w:val="0"/>
              <w:spacing w:before="90" w:after="150"/>
              <w:rPr/>
            </w:pPr>
            <w:r>
              <w:rPr/>
              <w:t xml:space="preserve">Rotação semestral ou imediata em caso de incidente de segurança</w:t>
            </w:r>
          </w:p>
        </w:tc>
      </w:tr>
      <w:tr>
        <w:trPr/>
        <w:tc>
          <w:tcPr>
            <w:tcW w:w="1771" w:type="dxa"/>
            <w:tcBorders/>
            <w:vAlign w:val="center"/>
          </w:tcPr>
          <w:p>
            <w:pPr>
              <w:pStyle w:val="TableContents"/>
              <w:bidi w:val="0"/>
              <w:spacing w:before="90" w:after="150"/>
              <w:rPr/>
            </w:pPr>
            <w:r>
              <w:rPr>
                <w:rStyle w:val="Strong"/>
              </w:rPr>
              <w:t xml:space="preserve">LGPD — Direitos do Titular</w:t>
            </w:r>
          </w:p>
        </w:tc>
        <w:tc>
          <w:tcPr>
            <w:tcW w:w="1876" w:type="dxa"/>
            <w:tcBorders/>
            <w:vAlign w:val="center"/>
          </w:tcPr>
          <w:p>
            <w:pPr>
              <w:pStyle w:val="TableContents"/>
              <w:bidi w:val="0"/>
              <w:spacing w:before="90" w:after="150"/>
              <w:rPr/>
            </w:pPr>
            <w:r>
              <w:rPr/>
              <w:t xml:space="preserve">Execução das solicitações de exclusão ou anonimização de dados de titulares (direito ao esquecimento) encaminhadas pela CONTRATANTE, na qualidade de Controladora</w:t>
            </w:r>
          </w:p>
        </w:tc>
        <w:tc>
          <w:tcPr>
            <w:tcW w:w="1711" w:type="dxa"/>
            <w:tcBorders/>
            <w:vAlign w:val="center"/>
          </w:tcPr>
          <w:p>
            <w:pPr>
              <w:pStyle w:val="TableContents"/>
              <w:bidi w:val="0"/>
              <w:spacing w:before="90" w:after="150"/>
              <w:rPr/>
            </w:pPr>
            <w:r>
              <w:rPr/>
              <w:t xml:space="preserve">Até 5 dias úteis após solicitação formal</w:t>
            </w:r>
          </w:p>
        </w:tc>
      </w:tr>
      <w:tr>
        <w:trPr/>
        <w:tc>
          <w:tcPr>
            <w:tcW w:w="1771" w:type="dxa"/>
            <w:tcBorders/>
            <w:vAlign w:val="center"/>
          </w:tcPr>
          <w:p>
            <w:pPr>
              <w:pStyle w:val="TableContents"/>
              <w:bidi w:val="0"/>
              <w:spacing w:before="90" w:after="150"/>
              <w:rPr/>
            </w:pPr>
            <w:r>
              <w:rPr>
                <w:rStyle w:val="Strong"/>
              </w:rPr>
              <w:t xml:space="preserve">Relatórios de Desempenho</w:t>
            </w:r>
          </w:p>
        </w:tc>
        <w:tc>
          <w:tcPr>
            <w:tcW w:w="1876" w:type="dxa"/>
            <w:tcBorders/>
            <w:vAlign w:val="center"/>
          </w:tcPr>
          <w:p>
            <w:pPr>
              <w:pStyle w:val="TableContents"/>
              <w:bidi w:val="0"/>
              <w:spacing w:before="90" w:after="150"/>
              <w:rPr/>
            </w:pPr>
            <w:r>
              <w:rPr/>
              <w:t xml:space="preserve">Relatório de desempenho do atendente IA e do SDR: volume de conversas, taxa de triagem automática, escalonamentos e leads qualificados (Cláusula 5 do contrato principal)</w:t>
            </w:r>
          </w:p>
        </w:tc>
        <w:tc>
          <w:tcPr>
            <w:tcW w:w="1711" w:type="dxa"/>
            <w:tcBorders/>
            <w:vAlign w:val="center"/>
          </w:tcPr>
          <w:p>
            <w:pPr>
              <w:pStyle w:val="TableContents"/>
              <w:bidi w:val="0"/>
              <w:spacing w:before="90" w:after="150"/>
              <w:rPr/>
            </w:pPr>
            <w:r>
              <w:rPr/>
              <w:t xml:space="preserve">Mensal ou sob demanda (até 5 dias úteis após solicitação)</w:t>
            </w:r>
          </w:p>
        </w:tc>
      </w:tr>
    </w:tbl>
    <w:p>
      <w:pPr>
        <w:pStyle w:val="BodyText"/>
        <w:bidi w:val="0"/>
        <w:rPr/>
      </w:pPr>
      <w:r>
        <w:rPr/>
        <w:t>Os serviços listados acima estão incluídos na mensalidade contratada, observados os limites de uso razoável definidos na Cláusula 12 do contrato principal. Demandas fora do escopo ou em volume extraordinário serão orçadas separadamente.</w:t>
      </w:r>
    </w:p>
    <w:p>
      <w:pPr>
        <w:pStyle w:val="BodyTextbox-nota-titulo"/>
        <w:bidi w:val="0"/>
        <w:spacing w:before="270" w:after="270"/>
        <w:ind w:hanging="0" w:left="360" w:right="360"/>
        <w:rPr>
          <w:sz w:val="21"/>
          <w:bdr w:val="single" w:sz="2" w:space="8" w:color="000000"/>
        </w:rPr>
      </w:pPr>
      <w:r>
        <w:rPr>
          <w:sz w:val="21"/>
          <w:bdr w:val="single" w:sz="2" w:space="8" w:color="000000"/>
        </w:rPr>
        <w:t xml:space="preserve">Observação sobre a meta de restabelecimento em 4 horas</w:t>
      </w:r>
    </w:p>
    <w:p>
      <w:pPr>
        <w:pStyle w:val="BodyText"/>
        <w:bidi w:val="0"/>
        <w:rPr/>
      </w:pPr>
      <w:r>
        <w:rPr/>
        <w:t xml:space="preserve">A meta de restabelecimento em até 4 (quatro) horas prevista na linha Plano de Recuperação pressupõe janela de acionamento mais ampla do que a estabelecida na Cláusula 7.1 do contrato principal (segunda a sexta-feira, das 9h às 18h). Para que a meta seja exigível fora do horário comercial, as Partes deverão ajustar a Cláusula 7.1 por meio de aditivo, definindo o regime de sobreaviso aplicável. Enquanto não houver tal ajuste, a meta de 4 horas é contada dentro da janela de suporte vigente.</w:t>
      </w:r>
    </w:p>
    <w:p>
      <w:pPr>
        <w:pStyle w:val="Heading2secao"/>
        <w:bidi w:val="0"/>
        <w:ind w:hanging="0"/>
        <w:jc w:val="left"/>
        <w:rPr/>
      </w:pPr>
      <w:r>
        <w:rPr/>
        <w:t xml:space="preserve">6. Matriz de Rastreabilidade — Proposta 003/2026</w:t>
      </w:r>
    </w:p>
    <w:p>
      <w:pPr>
        <w:pStyle w:val="BodyText"/>
        <w:bidi w:val="0"/>
        <w:rPr/>
      </w:pPr>
      <w:r>
        <w:rPr/>
        <w:t xml:space="preserve">A tabela abaixo relaciona cada compromisso assumido na Proposta Comercial 003/2026 ao instrumento que o formaliza, de modo a assegurar que o escopo apresentado à CONTRATANTE esteja integralmente refletido no contrato e neste Anexo.</w:t>
      </w:r>
    </w:p>
    <w:tbl>
      <w:tblPr>
        <w:tblW w:w="5358" w:type="dxa"/>
        <w:jc w:val="left"/>
        <w:tblInd w:w="0" w:type="dxa"/>
        <w:tblLayout w:type="fixed"/>
        <w:tblCellMar>
          <w:top w:w="28" w:type="dxa"/>
          <w:left w:w="28" w:type="dxa"/>
          <w:bottom w:w="28" w:type="dxa"/>
          <w:right w:w="28" w:type="dxa"/>
        </w:tblCellMar>
      </w:tblPr>
      <w:tblGrid>
        <w:gridCol w:w="2679"/>
        <w:gridCol w:w="2679"/>
      </w:tblGrid>
      <w:tr>
        <w:trPr/>
        <w:tc>
          <w:tcPr>
            <w:tcW w:w="2679" w:type="dxa"/>
            <w:tcBorders/>
            <w:vAlign w:val="center"/>
          </w:tcPr>
          <w:p>
            <w:pPr>
              <w:pStyle w:val="TableHeading"/>
              <w:suppressLineNumbers/>
              <w:bidi w:val="0"/>
              <w:spacing w:before="90" w:after="150"/>
              <w:jc w:val="center"/>
              <w:rPr/>
            </w:pPr>
            <w:r>
              <w:rPr/>
              <w:t xml:space="preserve">Compromisso da Proposta 003/2026</w:t>
            </w:r>
          </w:p>
        </w:tc>
        <w:tc>
          <w:tcPr>
            <w:tcW w:w="2679" w:type="dxa"/>
            <w:tcBorders/>
            <w:vAlign w:val="center"/>
          </w:tcPr>
          <w:p>
            <w:pPr>
              <w:pStyle w:val="TableHeading"/>
              <w:suppressLineNumbers/>
              <w:bidi w:val="0"/>
              <w:spacing w:before="90" w:after="150"/>
              <w:jc w:val="center"/>
              <w:rPr/>
            </w:pPr>
            <w:r>
              <w:rPr/>
              <w:t xml:space="preserve">Onde está formalizado</w:t>
            </w:r>
          </w:p>
        </w:tc>
      </w:tr>
      <w:tr>
        <w:trPr/>
        <w:tc>
          <w:tcPr>
            <w:tcW w:w="2679" w:type="dxa"/>
            <w:tcBorders/>
            <w:vAlign w:val="center"/>
          </w:tcPr>
          <w:p>
            <w:pPr>
              <w:pStyle w:val="TableContents"/>
              <w:bidi w:val="0"/>
              <w:spacing w:before="90" w:after="150"/>
              <w:rPr/>
            </w:pPr>
            <w:r>
              <w:rPr>
                <w:rStyle w:val="Strong"/>
              </w:rPr>
              <w:t xml:space="preserve">Chatwoot omnichannel unificando WhatsApp Business, Instagram Direct e Webchat</w:t>
            </w:r>
          </w:p>
        </w:tc>
        <w:tc>
          <w:tcPr>
            <w:tcW w:w="2679" w:type="dxa"/>
            <w:tcBorders/>
            <w:vAlign w:val="center"/>
          </w:tcPr>
          <w:p>
            <w:pPr>
              <w:pStyle w:val="TableContents"/>
              <w:bidi w:val="0"/>
              <w:spacing w:before="90" w:after="150"/>
              <w:rPr/>
            </w:pPr>
            <w:r>
              <w:rPr/>
              <w:t xml:space="preserve">Contrato, Cláusula 1.1 (Frente 01) · Anexo I, Fase 02</w:t>
            </w:r>
          </w:p>
        </w:tc>
      </w:tr>
      <w:tr>
        <w:trPr/>
        <w:tc>
          <w:tcPr>
            <w:tcW w:w="2679" w:type="dxa"/>
            <w:tcBorders/>
            <w:vAlign w:val="center"/>
          </w:tcPr>
          <w:p>
            <w:pPr>
              <w:pStyle w:val="TableContents"/>
              <w:bidi w:val="0"/>
              <w:spacing w:before="90" w:after="150"/>
              <w:rPr/>
            </w:pPr>
            <w:r>
              <w:rPr>
                <w:rStyle w:val="Strong"/>
              </w:rPr>
              <w:t xml:space="preserve">IA com base de conhecimento dos cursos e pós-graduações; triagem automática, escalonamento humano, histórico por cliente e atendimento 24×7</w:t>
            </w:r>
          </w:p>
        </w:tc>
        <w:tc>
          <w:tcPr>
            <w:tcW w:w="2679" w:type="dxa"/>
            <w:tcBorders/>
            <w:vAlign w:val="center"/>
          </w:tcPr>
          <w:p>
            <w:pPr>
              <w:pStyle w:val="TableContents"/>
              <w:bidi w:val="0"/>
              <w:spacing w:before="90" w:after="150"/>
              <w:rPr/>
            </w:pPr>
            <w:r>
              <w:rPr/>
              <w:t xml:space="preserve">Contrato, Cláusula 1.1 (Frente 01) · Anexo I, Fases 01 e 02</w:t>
            </w:r>
          </w:p>
        </w:tc>
      </w:tr>
      <w:tr>
        <w:trPr/>
        <w:tc>
          <w:tcPr>
            <w:tcW w:w="2679" w:type="dxa"/>
            <w:tcBorders/>
            <w:vAlign w:val="center"/>
          </w:tcPr>
          <w:p>
            <w:pPr>
              <w:pStyle w:val="TableContents"/>
              <w:bidi w:val="0"/>
              <w:spacing w:before="90" w:after="150"/>
              <w:rPr/>
            </w:pPr>
            <w:r>
              <w:rPr>
                <w:rStyle w:val="Strong"/>
              </w:rPr>
              <w:t xml:space="preserve">Discovery &amp; Modelagem, SDR por IA, coleta de intenção de matrícula e handoff com contexto completo</w:t>
            </w:r>
          </w:p>
        </w:tc>
        <w:tc>
          <w:tcPr>
            <w:tcW w:w="2679" w:type="dxa"/>
            <w:tcBorders/>
            <w:vAlign w:val="center"/>
          </w:tcPr>
          <w:p>
            <w:pPr>
              <w:pStyle w:val="TableContents"/>
              <w:bidi w:val="0"/>
              <w:spacing w:before="90" w:after="150"/>
              <w:rPr/>
            </w:pPr>
            <w:r>
              <w:rPr/>
              <w:t xml:space="preserve">Contrato, Cláusula 1.1 (Frente 02) · Anexo I, Fases 01 e 03</w:t>
            </w:r>
          </w:p>
        </w:tc>
      </w:tr>
      <w:tr>
        <w:trPr/>
        <w:tc>
          <w:tcPr>
            <w:tcW w:w="2679" w:type="dxa"/>
            <w:tcBorders/>
            <w:vAlign w:val="center"/>
          </w:tcPr>
          <w:p>
            <w:pPr>
              <w:pStyle w:val="TableContents"/>
              <w:bidi w:val="0"/>
              <w:spacing w:before="90" w:after="150"/>
              <w:rPr/>
            </w:pPr>
            <w:r>
              <w:rPr>
                <w:rStyle w:val="Strong"/>
              </w:rPr>
              <w:t xml:space="preserve">Treinamento formal da equipe e consultoria estratégica por todo o período</w:t>
            </w:r>
          </w:p>
        </w:tc>
        <w:tc>
          <w:tcPr>
            <w:tcW w:w="2679" w:type="dxa"/>
            <w:tcBorders/>
            <w:vAlign w:val="center"/>
          </w:tcPr>
          <w:p>
            <w:pPr>
              <w:pStyle w:val="TableContents"/>
              <w:bidi w:val="0"/>
              <w:spacing w:before="90" w:after="150"/>
              <w:rPr/>
            </w:pPr>
            <w:r>
              <w:rPr/>
              <w:t xml:space="preserve">Contrato, Cláusula 1.2 · Anexo I, Fase 03 e Seção 5</w:t>
            </w:r>
          </w:p>
        </w:tc>
      </w:tr>
      <w:tr>
        <w:trPr/>
        <w:tc>
          <w:tcPr>
            <w:tcW w:w="2679" w:type="dxa"/>
            <w:tcBorders/>
            <w:vAlign w:val="center"/>
          </w:tcPr>
          <w:p>
            <w:pPr>
              <w:pStyle w:val="TableContents"/>
              <w:bidi w:val="0"/>
              <w:spacing w:before="90" w:after="150"/>
              <w:rPr/>
            </w:pPr>
            <w:r>
              <w:rPr>
                <w:rStyle w:val="Strong"/>
              </w:rPr>
              <w:t xml:space="preserve">Manutenção do atendente IA, refinamento com base em conversas reais e suporte técnico aos canais</w:t>
            </w:r>
          </w:p>
        </w:tc>
        <w:tc>
          <w:tcPr>
            <w:tcW w:w="2679" w:type="dxa"/>
            <w:tcBorders/>
            <w:vAlign w:val="center"/>
          </w:tcPr>
          <w:p>
            <w:pPr>
              <w:pStyle w:val="TableContents"/>
              <w:bidi w:val="0"/>
              <w:spacing w:before="90" w:after="150"/>
              <w:rPr/>
            </w:pPr>
            <w:r>
              <w:rPr/>
              <w:t xml:space="preserve">Contrato, Cláusulas 1.2 e 5 · Anexo I, Seção 5</w:t>
            </w:r>
          </w:p>
        </w:tc>
      </w:tr>
      <w:tr>
        <w:trPr/>
        <w:tc>
          <w:tcPr>
            <w:tcW w:w="2679" w:type="dxa"/>
            <w:tcBorders/>
            <w:vAlign w:val="center"/>
          </w:tcPr>
          <w:p>
            <w:pPr>
              <w:pStyle w:val="TableContents"/>
              <w:bidi w:val="0"/>
              <w:spacing w:before="90" w:after="150"/>
              <w:rPr/>
            </w:pPr>
            <w:r>
              <w:rPr>
                <w:rStyle w:val="Strong"/>
              </w:rPr>
              <w:t xml:space="preserve">Monitoramento de uptime e melhorias contínuas; alertas automáticos em caso de falha</w:t>
            </w:r>
          </w:p>
        </w:tc>
        <w:tc>
          <w:tcPr>
            <w:tcW w:w="2679" w:type="dxa"/>
            <w:tcBorders/>
            <w:vAlign w:val="center"/>
          </w:tcPr>
          <w:p>
            <w:pPr>
              <w:pStyle w:val="TableContents"/>
              <w:bidi w:val="0"/>
              <w:spacing w:before="90" w:after="150"/>
              <w:rPr/>
            </w:pPr>
            <w:r>
              <w:rPr/>
              <w:t xml:space="preserve">Anexo I, Fase 02 e Seção 5</w:t>
            </w:r>
          </w:p>
        </w:tc>
      </w:tr>
      <w:tr>
        <w:trPr/>
        <w:tc>
          <w:tcPr>
            <w:tcW w:w="2679" w:type="dxa"/>
            <w:tcBorders/>
            <w:vAlign w:val="center"/>
          </w:tcPr>
          <w:p>
            <w:pPr>
              <w:pStyle w:val="TableContents"/>
              <w:bidi w:val="0"/>
              <w:spacing w:before="90" w:after="150"/>
              <w:rPr/>
            </w:pPr>
            <w:r>
              <w:rPr>
                <w:rStyle w:val="Strong"/>
              </w:rPr>
              <w:t xml:space="preserve">Backup diário das conversas e configurações</w:t>
            </w:r>
          </w:p>
        </w:tc>
        <w:tc>
          <w:tcPr>
            <w:tcW w:w="2679" w:type="dxa"/>
            <w:tcBorders/>
            <w:vAlign w:val="center"/>
          </w:tcPr>
          <w:p>
            <w:pPr>
              <w:pStyle w:val="TableContents"/>
              <w:bidi w:val="0"/>
              <w:spacing w:before="90" w:after="150"/>
              <w:rPr/>
            </w:pPr>
            <w:r>
              <w:rPr/>
              <w:t xml:space="preserve">Anexo I, Fase 02 e Seção 5</w:t>
            </w:r>
          </w:p>
        </w:tc>
      </w:tr>
      <w:tr>
        <w:trPr/>
        <w:tc>
          <w:tcPr>
            <w:tcW w:w="2679" w:type="dxa"/>
            <w:tcBorders/>
            <w:vAlign w:val="center"/>
          </w:tcPr>
          <w:p>
            <w:pPr>
              <w:pStyle w:val="TableContents"/>
              <w:bidi w:val="0"/>
              <w:spacing w:before="90" w:after="150"/>
              <w:rPr/>
            </w:pPr>
            <w:r>
              <w:rPr>
                <w:rStyle w:val="Strong"/>
              </w:rPr>
              <w:t xml:space="preserve">Plano de recuperação em caso de indisponibilidade</w:t>
            </w:r>
          </w:p>
        </w:tc>
        <w:tc>
          <w:tcPr>
            <w:tcW w:w="2679" w:type="dxa"/>
            <w:tcBorders/>
            <w:vAlign w:val="center"/>
          </w:tcPr>
          <w:p>
            <w:pPr>
              <w:pStyle w:val="TableContents"/>
              <w:bidi w:val="0"/>
              <w:spacing w:before="90" w:after="150"/>
              <w:rPr/>
            </w:pPr>
            <w:r>
              <w:rPr/>
              <w:t xml:space="preserve">Anexo I, Fase 03 e Seção 5 (observada a ressalva quanto à janela de suporte)</w:t>
            </w:r>
          </w:p>
        </w:tc>
      </w:tr>
      <w:tr>
        <w:trPr/>
        <w:tc>
          <w:tcPr>
            <w:tcW w:w="2679" w:type="dxa"/>
            <w:tcBorders/>
            <w:vAlign w:val="center"/>
          </w:tcPr>
          <w:p>
            <w:pPr>
              <w:pStyle w:val="TableContents"/>
              <w:bidi w:val="0"/>
              <w:spacing w:before="90" w:after="150"/>
              <w:rPr/>
            </w:pPr>
            <w:r>
              <w:rPr>
                <w:rStyle w:val="Strong"/>
              </w:rPr>
              <w:t xml:space="preserve">Histórico de conversa criptografado em repouso; acesso por usuário com permissões granulares</w:t>
            </w:r>
          </w:p>
        </w:tc>
        <w:tc>
          <w:tcPr>
            <w:tcW w:w="2679" w:type="dxa"/>
            <w:tcBorders/>
            <w:vAlign w:val="center"/>
          </w:tcPr>
          <w:p>
            <w:pPr>
              <w:pStyle w:val="TableContents"/>
              <w:bidi w:val="0"/>
              <w:spacing w:before="90" w:after="150"/>
              <w:rPr/>
            </w:pPr>
            <w:r>
              <w:rPr/>
              <w:t xml:space="preserve">Anexo I, Fase 02</w:t>
            </w:r>
          </w:p>
        </w:tc>
      </w:tr>
      <w:tr>
        <w:trPr/>
        <w:tc>
          <w:tcPr>
            <w:tcW w:w="2679" w:type="dxa"/>
            <w:tcBorders/>
            <w:vAlign w:val="center"/>
          </w:tcPr>
          <w:p>
            <w:pPr>
              <w:pStyle w:val="TableContents"/>
              <w:bidi w:val="0"/>
              <w:spacing w:before="90" w:after="150"/>
              <w:rPr/>
            </w:pPr>
            <w:r>
              <w:rPr>
                <w:rStyle w:val="Strong"/>
              </w:rPr>
              <w:t xml:space="preserve">Tokens de API rotacionáveis via variável de ambiente; webhooks autenticados com chave secreta</w:t>
            </w:r>
          </w:p>
        </w:tc>
        <w:tc>
          <w:tcPr>
            <w:tcW w:w="2679" w:type="dxa"/>
            <w:tcBorders/>
            <w:vAlign w:val="center"/>
          </w:tcPr>
          <w:p>
            <w:pPr>
              <w:pStyle w:val="TableContents"/>
              <w:bidi w:val="0"/>
              <w:spacing w:before="90" w:after="150"/>
              <w:rPr/>
            </w:pPr>
            <w:r>
              <w:rPr/>
              <w:t xml:space="preserve">Anexo I, Fase 02 e Seção 5</w:t>
            </w:r>
          </w:p>
        </w:tc>
      </w:tr>
      <w:tr>
        <w:trPr/>
        <w:tc>
          <w:tcPr>
            <w:tcW w:w="2679" w:type="dxa"/>
            <w:tcBorders/>
            <w:vAlign w:val="center"/>
          </w:tcPr>
          <w:p>
            <w:pPr>
              <w:pStyle w:val="TableContents"/>
              <w:bidi w:val="0"/>
              <w:spacing w:before="90" w:after="150"/>
              <w:rPr/>
            </w:pPr>
            <w:r>
              <w:rPr>
                <w:rStyle w:val="Strong"/>
              </w:rPr>
              <w:t xml:space="preserve">Logs de IA com retenção controlada; direito ao esquecimento implementável sob demanda</w:t>
            </w:r>
          </w:p>
        </w:tc>
        <w:tc>
          <w:tcPr>
            <w:tcW w:w="2679" w:type="dxa"/>
            <w:tcBorders/>
            <w:vAlign w:val="center"/>
          </w:tcPr>
          <w:p>
            <w:pPr>
              <w:pStyle w:val="TableContents"/>
              <w:bidi w:val="0"/>
              <w:spacing w:before="90" w:after="150"/>
              <w:rPr/>
            </w:pPr>
            <w:r>
              <w:rPr/>
              <w:t xml:space="preserve">Anexo I, Fase 02, Fase 03 e Seção 5 · Contrato, Cláusula 10</w:t>
            </w:r>
          </w:p>
        </w:tc>
      </w:tr>
      <w:tr>
        <w:trPr/>
        <w:tc>
          <w:tcPr>
            <w:tcW w:w="2679" w:type="dxa"/>
            <w:tcBorders/>
            <w:vAlign w:val="center"/>
          </w:tcPr>
          <w:p>
            <w:pPr>
              <w:pStyle w:val="TableContents"/>
              <w:bidi w:val="0"/>
              <w:spacing w:before="90" w:after="150"/>
              <w:rPr/>
            </w:pPr>
            <w:r>
              <w:rPr>
                <w:rStyle w:val="Strong"/>
              </w:rPr>
              <w:t xml:space="preserve">Evolution API em ambiente isolado; comunicação 100% HTTPS (SSL Let's Encrypt); Chatwoot self-hosted em VPS</w:t>
            </w:r>
          </w:p>
        </w:tc>
        <w:tc>
          <w:tcPr>
            <w:tcW w:w="2679" w:type="dxa"/>
            <w:tcBorders/>
            <w:vAlign w:val="center"/>
          </w:tcPr>
          <w:p>
            <w:pPr>
              <w:pStyle w:val="TableContents"/>
              <w:bidi w:val="0"/>
              <w:spacing w:before="90" w:after="150"/>
              <w:rPr/>
            </w:pPr>
            <w:r>
              <w:rPr/>
              <w:t xml:space="preserve">Anexo I, Fase 02 · Contrato, Cláusulas 4 e 6</w:t>
            </w:r>
          </w:p>
        </w:tc>
      </w:tr>
      <w:tr>
        <w:trPr/>
        <w:tc>
          <w:tcPr>
            <w:tcW w:w="2679" w:type="dxa"/>
            <w:tcBorders/>
            <w:vAlign w:val="center"/>
          </w:tcPr>
          <w:p>
            <w:pPr>
              <w:pStyle w:val="TableContents"/>
              <w:bidi w:val="0"/>
              <w:spacing w:before="90" w:after="150"/>
              <w:rPr/>
            </w:pPr>
            <w:r>
              <w:rPr>
                <w:rStyle w:val="Strong"/>
              </w:rPr>
              <w:t xml:space="preserve">Dados de cliente nunca compartilhados com terceiros; conformidade com a LGPD</w:t>
            </w:r>
          </w:p>
        </w:tc>
        <w:tc>
          <w:tcPr>
            <w:tcW w:w="2679" w:type="dxa"/>
            <w:tcBorders/>
            <w:vAlign w:val="center"/>
          </w:tcPr>
          <w:p>
            <w:pPr>
              <w:pStyle w:val="TableContents"/>
              <w:bidi w:val="0"/>
              <w:spacing w:before="90" w:after="150"/>
              <w:rPr/>
            </w:pPr>
            <w:r>
              <w:rPr/>
              <w:t xml:space="preserve">Contrato, Cláusula 10 (10.4 e 10.5)</w:t>
            </w:r>
          </w:p>
        </w:tc>
      </w:tr>
    </w:tbl>
    <w:p>
      <w:pPr>
        <w:pStyle w:val="BodyTextbox-nota-titulo"/>
        <w:bidi w:val="0"/>
        <w:spacing w:before="270" w:after="270"/>
        <w:ind w:hanging="0" w:left="360" w:right="360"/>
        <w:rPr>
          <w:sz w:val="21"/>
          <w:bdr w:val="single" w:sz="2" w:space="8" w:color="000000"/>
        </w:rPr>
      </w:pPr>
      <w:r>
        <w:rPr>
          <w:sz w:val="21"/>
          <w:bdr w:val="single" w:sz="2" w:space="8" w:color="000000"/>
        </w:rPr>
        <w:t xml:space="preserve">Escopo não incluído, conforme a Proposta 003/2026</w:t>
      </w:r>
    </w:p>
    <w:p>
      <w:pPr>
        <w:pStyle w:val="BodyText"/>
        <w:bidi w:val="0"/>
        <w:rPr/>
      </w:pPr>
      <w:r>
        <w:rPr/>
        <w:t xml:space="preserve">Permanecem fora do escopo, devendo ser orçados separadamente: criação de conteúdo, copywriting e landing pages; integrações com plataformas além de Chatwoot, WhatsApp, Instagram e Webchat — inclusive plataforma de e-commerce, ainda que citada a título ilustrativo no diagrama de arquitetura da proposta; custos de infraestrutura (VPS, domínio e certificado SSL); custos de APIs de inteligência artificial e Evolution API; e novas frentes ou módulos não previstos no escopo contratado.</w:t>
      </w:r>
    </w:p>
    <w:p>
      <w:pPr>
        <w:pStyle w:val="BodyText"/>
        <w:bidi w:val="0"/>
        <w:spacing w:before="450" w:after="150"/>
        <w:ind w:hanging="0" w:left="0" w:right="0"/>
        <w:jc w:val="center"/>
        <w:rPr/>
      </w:pPr>
      <w:r>
        <w:rPr/>
        <w:t>Osasco/SP, _____ de ________________ de 2026.</w:t>
      </w:r>
    </w:p>
    <w:p>
      <w:pPr>
        <w:pStyle w:val="BodyText"/>
        <w:bidi w:val="0"/>
        <w:spacing w:before="450" w:after="150"/>
        <w:ind w:hanging="0" w:left="0" w:right="0"/>
        <w:jc w:val="center"/>
        <w:rPr>
          <w:color w:val="333333"/>
          <w:sz w:val="20"/>
        </w:rPr>
      </w:pPr>
      <w:r>
        <w:rPr>
          <w:color w:val="333333"/>
          <w:sz w:val="20"/>
        </w:rPr>
        <w:t>Este Anexo I integra o Contrato de Prestação de Serviços de Tecnologia, IA e Automação — Proposta 003/2026.</w:t>
      </w:r>
    </w:p>
    <w:p>
      <w:pPr>
        <w:pStyle w:val="BodyText"/>
        <w:keepLines/>
        <w:bidi w:val="0"/>
        <w:spacing w:before="750" w:after="150"/>
        <w:ind w:hanging="0" w:left="0" w:right="0"/>
        <w:rPr/>
      </w:pPr>
      <w:r>
        <w:rPr>
          <w:rStyle w:val="Strong"/>
          <w:sz w:val="20"/>
          <w:bdr w:val="single" w:sz="2" w:space="5" w:color="000000"/>
        </w:rPr>
        <w:t>CONTRATANTE</w:t>
      </w:r>
      <w:r>
        <w:rPr>
          <w:sz w:val="20"/>
          <w:bdr w:val="single" w:sz="2" w:space="5" w:color="000000"/>
        </w:rPr>
        <w:br/>
        <w:t>Med Cine Editora e Filmagem Ltda (Medicine)</w:t>
        <w:br/>
        <w:t>CNPJ: 07.050.619/0001-50</w:t>
        <w:br/>
        <w:t>Nome: ________________________________</w:t>
        <w:br/>
        <w:t xml:space="preserve">Cargo: ________________________________ </w:t>
      </w:r>
    </w:p>
    <w:p>
      <w:pPr>
        <w:pStyle w:val="BodyText"/>
        <w:keepLines/>
        <w:bidi w:val="0"/>
        <w:spacing w:before="750" w:after="150"/>
        <w:ind w:hanging="0" w:left="0" w:right="0"/>
        <w:rPr/>
      </w:pPr>
      <w:r>
        <w:rPr>
          <w:rStyle w:val="Strong"/>
          <w:sz w:val="20"/>
          <w:bdr w:val="single" w:sz="2" w:space="5" w:color="000000"/>
        </w:rPr>
        <w:t>CONTRATADA</w:t>
      </w:r>
      <w:r>
        <w:rPr>
          <w:sz w:val="20"/>
          <w:bdr w:val="single" w:sz="2" w:space="5" w:color="000000"/>
        </w:rPr>
        <w:br/>
        <w:t>Tudo Mudou Marketing e Consultoria LTDA</w:t>
        <w:br/>
        <w:t>CNPJ: 40.790.711/0001-21</w:t>
        <w:br/>
        <w:t>Nome: ________________________________</w:t>
        <w:br/>
        <w:t xml:space="preserve">Cargo: ________________________________ </w:t>
      </w:r>
    </w:p>
    <w:p>
      <w:pPr>
        <w:pStyle w:val="BodyText"/>
        <w:bidi w:val="0"/>
        <w:spacing w:before="750" w:after="150"/>
        <w:ind w:hanging="0" w:left="0" w:right="0"/>
        <w:jc w:val="center"/>
        <w:rPr>
          <w:color w:val="333333"/>
          <w:sz w:val="18"/>
          <w:bdr w:val="single" w:sz="2" w:space="6" w:color="000000"/>
        </w:rPr>
      </w:pPr>
      <w:r>
        <w:rPr>
          <w:color w:val="333333"/>
          <w:sz w:val="18"/>
          <w:bdr w:val="single" w:sz="2" w:space="6" w:color="000000"/>
        </w:rPr>
        <w:t xml:space="preserve">Anexo I — Roadmap de Implantação  |  Proposta 003/2026  |  Medicine × Tudo Mudou Marketing e Consultoria LTDA  |  CNPJ Contratada: 40.790.711/0001-21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altName w:val="Helvetica"/>
    <w:charset w:val="00"/>
    <w:family w:val="auto"/>
    <w:pitch w:val="default"/>
  </w:font>
  <w:font w:name="Noto Sans">
    <w:charset w:val="00"/>
    <w:family w:val="auto"/>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Helvetica;sans-serif" w:hAnsi="Arial;Helvetica;sans-serif" w:eastAsia="Arial;Helvetica;sans-serif" w:cs="Arial;Helvetica;sans-serif"/>
      <w:color w:val="000000"/>
      <w:sz w:val="22"/>
      <w:szCs w:val="22"/>
      <w:lang w:val="en-US" w:eastAsia="zh-CN" w:bidi="hi-IN"/>
    </w:rPr>
  </w:style>
  <w:style w:type="paragraph" w:styleId="Heading1">
    <w:name w:val="Heading 1"/>
    <w:basedOn w:val="Heading"/>
    <w:next w:val="BodyText"/>
    <w:qFormat/>
    <w:pPr/>
    <w:rPr>
      <w:rFonts w:ascii="Noto Sans" w:hAnsi="Noto Sans"/>
      <w:b/>
      <w:bCs/>
      <w:sz w:val="48"/>
      <w:szCs w:val="44"/>
    </w:rPr>
  </w:style>
  <w:style w:type="paragraph" w:styleId="Heading2">
    <w:name w:val="Heading 2"/>
    <w:basedOn w:val="Heading"/>
    <w:next w:val="BodyText"/>
    <w:qFormat/>
    <w:pPr>
      <w:spacing w:before="200" w:after="120"/>
      <w:outlineLvl w:val="1"/>
    </w:pPr>
    <w:rPr>
      <w:rFonts w:ascii="Liberation Serif" w:hAnsi="Liberation Serif" w:eastAsia="WenQuanYi Zen Hei" w:cs="FreeSans"/>
      <w:b/>
      <w:bCs/>
      <w:sz w:val="36"/>
      <w:szCs w:val="3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90" w:after="150"/>
      <w:ind w:left="90" w:right="9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titulo-principal">
    <w:name w:val="Heading 1.titulo-principal"/>
    <w:basedOn w:val="Heading1"/>
    <w:qFormat/>
    <w:pPr>
      <w:spacing w:before="240" w:after="60"/>
      <w:jc w:val="center"/>
    </w:pPr>
    <w:rPr>
      <w:caps/>
      <w:spacing w:val="0"/>
      <w:sz w:val="26"/>
      <w:szCs w:val="26"/>
    </w:rPr>
  </w:style>
  <w:style w:type="paragraph" w:styleId="Heading1subtitulo">
    <w:name w:val="Heading 1.subtitulo"/>
    <w:basedOn w:val="Heading1"/>
    <w:qFormat/>
    <w:pPr>
      <w:spacing w:before="240" w:after="60"/>
      <w:jc w:val="center"/>
    </w:pPr>
    <w:rPr>
      <w:sz w:val="22"/>
      <w:szCs w:val="22"/>
    </w:rPr>
  </w:style>
  <w:style w:type="paragraph" w:styleId="Heading2secao">
    <w:name w:val="Heading 2.secao"/>
    <w:basedOn w:val="Heading2"/>
    <w:qFormat/>
    <w:pPr>
      <w:keepNext w:val="true"/>
      <w:spacing w:before="390" w:after="120"/>
      <w:ind w:hanging="0" w:left="0"/>
      <w:outlineLvl w:val="9"/>
    </w:pPr>
    <w:rPr>
      <w:caps/>
      <w:sz w:val="22"/>
      <w:szCs w:val="22"/>
    </w:rPr>
  </w:style>
  <w:style w:type="paragraph" w:styleId="BodyTextref-line">
    <w:name w:val="Body Text.ref-line"/>
    <w:basedOn w:val="BodyText"/>
    <w:qFormat/>
    <w:pPr>
      <w:spacing w:before="90" w:after="90"/>
      <w:jc w:val="center"/>
    </w:pPr>
    <w:rPr>
      <w:color w:val="333333"/>
      <w:sz w:val="20"/>
      <w:szCs w:val="20"/>
    </w:rPr>
  </w:style>
  <w:style w:type="paragraph" w:styleId="BodyTextfase-header-title">
    <w:name w:val="Body Text.fase-header-title"/>
    <w:basedOn w:val="BodyText"/>
    <w:qFormat/>
    <w:pPr/>
    <w:rPr>
      <w:b/>
      <w:bCs/>
      <w:sz w:val="24"/>
      <w:szCs w:val="24"/>
    </w:rPr>
  </w:style>
  <w:style w:type="paragraph" w:styleId="BodyTextfase-header-sub">
    <w:name w:val="Body Text.fase-header-sub"/>
    <w:basedOn w:val="BodyText"/>
    <w:qFormat/>
    <w:pPr/>
    <w:rPr>
      <w:b w:val="false"/>
      <w:bCs w:val="false"/>
      <w:sz w:val="20"/>
      <w:szCs w:val="20"/>
    </w:rPr>
  </w:style>
  <w:style w:type="paragraph" w:styleId="BodyTextbox-nota-titulo">
    <w:name w:val="Body Text.box-nota-titulo"/>
    <w:basedOn w:val="BodyText"/>
    <w:qFormat/>
    <w:pPr>
      <w:spacing w:before="90" w:after="60"/>
    </w:pPr>
    <w:rPr>
      <w:b/>
      <w:bCs/>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Anexo I — Roadmap de Implantação — Medicine × Tudo Mudou!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