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titulo-principal"/>
        <w:bidi w:val="0"/>
        <w:spacing w:before="240" w:after="90"/>
        <w:ind w:hanging="0" w:left="0" w:right="0"/>
        <w:rPr/>
      </w:pPr>
      <w:r>
        <w:rPr/>
        <w:t>Contrato de Prestação de Serviços</w:t>
        <w:br/>
        <w:t>de Tecnologia, IA e Automação</w:t>
      </w:r>
    </w:p>
    <w:p>
      <w:pPr>
        <w:pStyle w:val="BodyTextref-line"/>
        <w:bidi w:val="0"/>
        <w:rPr/>
      </w:pPr>
      <w:r>
        <w:rPr/>
        <w:t>Proposta Comercial 003/2026  |  Medicina Cursos × Tudo Mudou!  |  14.05.2026</w:t>
      </w:r>
    </w:p>
    <w:p>
      <w:pPr>
        <w:pStyle w:val="HorizontalLine"/>
        <w:bidi w:val="0"/>
        <w:jc w:val="left"/>
        <w:rPr/>
      </w:pPr>
      <w:r>
        <w:rPr/>
      </w:r>
    </w:p>
    <w:p>
      <w:pPr>
        <w:pStyle w:val="BodyText"/>
        <w:bidi w:val="0"/>
        <w:spacing w:before="360" w:after="360"/>
        <w:ind w:hanging="0" w:left="360" w:right="360"/>
        <w:rPr/>
      </w:pPr>
      <w:r>
        <w:rPr/>
        <w:t xml:space="preserve">Pelo presente instrumento particular de </w:t>
      </w:r>
      <w:r>
        <w:rPr>
          <w:b/>
        </w:rPr>
        <w:t>Contrato de Prestação de Serviços de Tecnologia, Inteligência Artificial e Automação</w:t>
      </w:r>
      <w:r>
        <w:rPr/>
        <w:t>, as partes a seguir qualificadas têm entre si justo e contratado o que segue:</w:t>
      </w:r>
    </w:p>
    <w:p>
      <w:pPr>
        <w:pStyle w:val="BodyTextparte-titulo"/>
        <w:bidi w:val="0"/>
        <w:spacing w:before="360" w:after="360"/>
        <w:ind w:hanging="0" w:left="450" w:right="450"/>
        <w:rPr/>
      </w:pPr>
      <w:r>
        <w:rPr/>
        <w:t>Contratante</w:t>
      </w:r>
    </w:p>
    <w:p>
      <w:pPr>
        <w:pStyle w:val="BodyText"/>
        <w:bidi w:val="0"/>
        <w:spacing w:before="360" w:after="360"/>
        <w:ind w:hanging="0" w:left="360" w:right="360"/>
        <w:rPr/>
      </w:pPr>
      <w:r>
        <w:rPr>
          <w:b/>
        </w:rPr>
        <w:t>Medicina Cursos</w:t>
      </w:r>
      <w:r>
        <w:rPr/>
        <w:t xml:space="preserve">, pessoa jurídica de direito privado, inscrita no CNPJ sob o n.º </w:t>
      </w:r>
      <w:r>
        <w:rPr>
          <w:b/>
        </w:rPr>
        <w:t>[CNPJ DA CONTRATANTE]</w:t>
      </w:r>
      <w:r>
        <w:rPr/>
        <w:t xml:space="preserve">, doravante denominada simplesmente </w:t>
      </w:r>
      <w:r>
        <w:rPr>
          <w:b/>
        </w:rPr>
        <w:t>CONTRATANTE</w:t>
      </w:r>
      <w:r>
        <w:rPr/>
        <w:t xml:space="preserve">. </w:t>
      </w:r>
    </w:p>
    <w:p>
      <w:pPr>
        <w:pStyle w:val="BodyTextparte-titulo"/>
        <w:bidi w:val="0"/>
        <w:spacing w:before="360" w:after="360"/>
        <w:ind w:hanging="0" w:left="450" w:right="450"/>
        <w:rPr/>
      </w:pPr>
      <w:r>
        <w:rPr/>
        <w:t>Contratada</w:t>
      </w:r>
    </w:p>
    <w:p>
      <w:pPr>
        <w:pStyle w:val="BodyText"/>
        <w:bidi w:val="0"/>
        <w:spacing w:before="360" w:after="360"/>
        <w:ind w:hanging="0" w:left="360" w:right="360"/>
        <w:rPr/>
      </w:pPr>
      <w:r>
        <w:rPr>
          <w:b/>
        </w:rPr>
        <w:t>Tudo Mudou Marketing e Consultoria LTDA</w:t>
      </w:r>
      <w:r>
        <w:rPr/>
        <w:t xml:space="preserve">, pessoa jurídica de direito privado, inscrita no CNPJ sob o n.º </w:t>
      </w:r>
      <w:r>
        <w:rPr>
          <w:b/>
        </w:rPr>
        <w:t>40.790.711/0001-21</w:t>
      </w:r>
      <w:r>
        <w:rPr/>
        <w:t xml:space="preserve">, com sede à Av. Santo Antônio, 1453, Vila Osasco, CEP 06083-210, Osasco/SP, doravante denominada simplesmente </w:t>
      </w:r>
      <w:r>
        <w:rPr>
          <w:b/>
        </w:rPr>
        <w:t>CONTRATADA</w:t>
      </w:r>
      <w:r>
        <w:rPr/>
        <w:t xml:space="preserve">. </w:t>
      </w:r>
    </w:p>
    <w:p>
      <w:pPr>
        <w:pStyle w:val="BodyText"/>
        <w:bidi w:val="0"/>
        <w:spacing w:before="360" w:after="360"/>
        <w:ind w:hanging="0" w:left="360" w:right="360"/>
        <w:rPr/>
      </w:pPr>
      <w:r>
        <w:rPr/>
        <w:t xml:space="preserve">A CONTRATANTE e a CONTRATADA são, quando referidas em conjunto, denominadas neste instrumento </w:t>
      </w:r>
      <w:r>
        <w:rPr>
          <w:b/>
        </w:rPr>
        <w:t>"Partes"</w:t>
      </w:r>
      <w:r>
        <w:rPr/>
        <w:t>.</w:t>
      </w:r>
    </w:p>
    <w:p>
      <w:pPr>
        <w:pStyle w:val="HorizontalLine"/>
        <w:bidi w:val="0"/>
        <w:jc w:val="left"/>
        <w:rPr/>
      </w:pPr>
      <w:r>
        <w:rPr/>
      </w:r>
    </w:p>
    <w:p>
      <w:pPr>
        <w:pStyle w:val="BodyText"/>
        <w:bidi w:val="0"/>
        <w:spacing w:before="270" w:after="270"/>
        <w:ind w:hanging="0" w:left="270" w:right="270"/>
        <w:rPr/>
      </w:pPr>
      <w:r>
        <w:rPr>
          <w:b/>
        </w:rPr>
        <w:t>CONSIDERANDO</w:t>
      </w:r>
      <w:r>
        <w:rPr/>
        <w:t xml:space="preserve"> que a CONTRATANTE atua no segmento de educação médica e pós-graduação, sendo titular de portfólio de cursos e programas voltados a profissionais de saúde;</w:t>
      </w:r>
    </w:p>
    <w:p>
      <w:pPr>
        <w:pStyle w:val="BodyText"/>
        <w:bidi w:val="0"/>
        <w:spacing w:before="270" w:after="270"/>
        <w:ind w:hanging="0" w:left="270" w:right="270"/>
        <w:rPr/>
      </w:pPr>
      <w:r>
        <w:rPr>
          <w:b/>
        </w:rPr>
        <w:t>CONSIDERANDO</w:t>
      </w:r>
      <w:r>
        <w:rPr/>
        <w:t xml:space="preserve"> que a CONTRATADA detém expertise em soluções de automação, inteligência artificial aplicada a vendas e atendimento, e implementação de plataformas omnichannel;</w:t>
      </w:r>
    </w:p>
    <w:p>
      <w:pPr>
        <w:pStyle w:val="BodyText"/>
        <w:bidi w:val="0"/>
        <w:spacing w:before="270" w:after="270"/>
        <w:ind w:hanging="0" w:left="270" w:right="270"/>
        <w:rPr/>
      </w:pPr>
      <w:r>
        <w:rPr>
          <w:b/>
        </w:rPr>
        <w:t>CONSIDERANDO</w:t>
      </w:r>
      <w:r>
        <w:rPr/>
        <w:t xml:space="preserve"> que as Partes desejam formalizar a prestação dos serviços descritos neste instrumento nas condições aqui estipuladas;</w:t>
      </w:r>
    </w:p>
    <w:p>
      <w:pPr>
        <w:pStyle w:val="BodyText"/>
        <w:bidi w:val="0"/>
        <w:spacing w:before="270" w:after="270"/>
        <w:ind w:hanging="0" w:left="270" w:right="270"/>
        <w:rPr/>
      </w:pPr>
      <w:r>
        <w:rPr/>
        <w:t>As Partes celebram o presente contrato mediante as cláusulas e condições seguintes:</w:t>
      </w:r>
    </w:p>
    <w:p>
      <w:pPr>
        <w:pStyle w:val="HorizontalLine"/>
        <w:bidi w:val="0"/>
        <w:jc w:val="left"/>
        <w:rPr/>
      </w:pPr>
      <w:r>
        <w:rPr/>
      </w:r>
    </w:p>
    <w:p>
      <w:pPr>
        <w:pStyle w:val="Heading2clausula"/>
        <w:bidi w:val="0"/>
        <w:jc w:val="left"/>
        <w:rPr/>
      </w:pPr>
      <w:r>
        <w:rPr/>
        <w:t>Cláusula 1 — Objeto</w:t>
      </w:r>
    </w:p>
    <w:p>
      <w:pPr>
        <w:pStyle w:val="BodyText"/>
        <w:bidi w:val="0"/>
        <w:ind w:hanging="0" w:left="0" w:right="0"/>
        <w:rPr/>
      </w:pPr>
      <w:r>
        <w:rPr/>
        <w:t xml:space="preserve">1.1. O presente contrato tem por objeto a prestação, pela CONTRATADA, de serviços especializados de tecnologia, inteligência artificial e automação, estruturados em duas frentes de trabalho, conforme descrito nos subitens abaixo e detalhado no </w:t>
      </w:r>
      <w:r>
        <w:rPr>
          <w:b/>
        </w:rPr>
        <w:t>Anexo I — Roadmap de Implantação</w:t>
      </w:r>
      <w:r>
        <w:rPr/>
        <w:t>, parte integrante deste instrumento:</w:t>
      </w:r>
    </w:p>
    <w:p>
      <w:pPr>
        <w:pStyle w:val="BodyText"/>
        <w:numPr>
          <w:ilvl w:val="0"/>
          <w:numId w:val="1"/>
        </w:numPr>
        <w:tabs>
          <w:tab w:val="clear" w:pos="1134"/>
          <w:tab w:val="left" w:pos="709" w:leader="none"/>
        </w:tabs>
        <w:bidi w:val="0"/>
        <w:spacing w:before="90" w:after="0"/>
        <w:ind w:hanging="283" w:left="709" w:right="0"/>
        <w:rPr/>
      </w:pPr>
      <w:r>
        <w:rPr>
          <w:b/>
        </w:rPr>
        <w:t>Frente 01 — Atendente IA + Omnichannel via Chatwoot:</w:t>
      </w:r>
      <w:r>
        <w:rPr/>
        <w:t xml:space="preserve"> implementação e configuração de plataforma de atendimento omnichannel unificando WhatsApp Business, Instagram Direct e Webchat; desenvolvimento e treinamento de agente de inteligência artificial com base de conhecimento dos cursos e pós-graduações da CONTRATANTE; configuração de triagem automática de conversas, escalonamento para atendimento humano, manutenção de histórico de conversas e disponibilidade de atendimento 24 horas por dia, 7 dias por semana. </w:t>
      </w:r>
    </w:p>
    <w:p>
      <w:pPr>
        <w:pStyle w:val="BodyText"/>
        <w:numPr>
          <w:ilvl w:val="0"/>
          <w:numId w:val="1"/>
        </w:numPr>
        <w:tabs>
          <w:tab w:val="clear" w:pos="1134"/>
          <w:tab w:val="left" w:pos="709" w:leader="none"/>
        </w:tabs>
        <w:bidi w:val="0"/>
        <w:ind w:hanging="283" w:left="709" w:right="0"/>
        <w:rPr/>
      </w:pPr>
      <w:r>
        <w:rPr>
          <w:b/>
        </w:rPr>
        <w:t>Frente 02 — Discovery &amp; Modelagem + SDR por IA:</w:t>
      </w:r>
      <w:r>
        <w:rPr/>
        <w:t xml:space="preserve"> realização de mapeamento dos canais de comunicação ativos e do portfólio de cursos da CONTRATANTE; configuração de agente de SDR (Sales Development Representative) baseado em inteligência artificial para qualificação automática de leads, coleta de dados e intenção de matrícula, e handoff com contexto completo para o time comercial da CONTRATANTE. </w:t>
      </w:r>
    </w:p>
    <w:p>
      <w:pPr>
        <w:pStyle w:val="BodyText"/>
        <w:bidi w:val="0"/>
        <w:rPr/>
      </w:pPr>
      <w:r>
        <w:rPr/>
        <w:t>1.2. Integram o escopo contratado, sem custo adicional:</w:t>
      </w:r>
    </w:p>
    <w:p>
      <w:pPr>
        <w:pStyle w:val="BodyText"/>
        <w:numPr>
          <w:ilvl w:val="0"/>
          <w:numId w:val="2"/>
        </w:numPr>
        <w:tabs>
          <w:tab w:val="clear" w:pos="1134"/>
          <w:tab w:val="left" w:pos="799" w:leader="none"/>
        </w:tabs>
        <w:bidi w:val="0"/>
        <w:spacing w:before="90" w:after="0"/>
        <w:ind w:hanging="283" w:left="799"/>
        <w:rPr/>
      </w:pPr>
      <w:r>
        <w:rPr/>
        <w:t xml:space="preserve">Setup completo das duas frentes descritas no item 1.1; </w:t>
      </w:r>
    </w:p>
    <w:p>
      <w:pPr>
        <w:pStyle w:val="BodyText"/>
        <w:numPr>
          <w:ilvl w:val="0"/>
          <w:numId w:val="2"/>
        </w:numPr>
        <w:tabs>
          <w:tab w:val="clear" w:pos="1134"/>
          <w:tab w:val="left" w:pos="799" w:leader="none"/>
        </w:tabs>
        <w:bidi w:val="0"/>
        <w:spacing w:before="90" w:after="0"/>
        <w:ind w:hanging="283" w:left="799"/>
        <w:rPr/>
      </w:pPr>
      <w:r>
        <w:rPr/>
        <w:t xml:space="preserve">Configuração da plataforma Chatwoot e integração dos canais de comunicação; </w:t>
      </w:r>
    </w:p>
    <w:p>
      <w:pPr>
        <w:pStyle w:val="BodyText"/>
        <w:numPr>
          <w:ilvl w:val="0"/>
          <w:numId w:val="2"/>
        </w:numPr>
        <w:tabs>
          <w:tab w:val="clear" w:pos="1134"/>
          <w:tab w:val="left" w:pos="799" w:leader="none"/>
        </w:tabs>
        <w:bidi w:val="0"/>
        <w:spacing w:before="90" w:after="0"/>
        <w:ind w:hanging="283" w:left="799"/>
        <w:rPr/>
      </w:pPr>
      <w:r>
        <w:rPr/>
        <w:t xml:space="preserve">Treinamento da IA com base no portfólio de cursos e pós-graduações da CONTRATANTE; </w:t>
      </w:r>
    </w:p>
    <w:p>
      <w:pPr>
        <w:pStyle w:val="BodyText"/>
        <w:numPr>
          <w:ilvl w:val="0"/>
          <w:numId w:val="2"/>
        </w:numPr>
        <w:tabs>
          <w:tab w:val="clear" w:pos="1134"/>
          <w:tab w:val="left" w:pos="799" w:leader="none"/>
        </w:tabs>
        <w:bidi w:val="0"/>
        <w:spacing w:before="90" w:after="0"/>
        <w:ind w:hanging="283" w:left="799"/>
        <w:rPr/>
      </w:pPr>
      <w:r>
        <w:rPr/>
        <w:t xml:space="preserve">Manutenção contínua do agente de atendimento IA durante a vigência contratual; </w:t>
      </w:r>
    </w:p>
    <w:p>
      <w:pPr>
        <w:pStyle w:val="BodyText"/>
        <w:numPr>
          <w:ilvl w:val="0"/>
          <w:numId w:val="2"/>
        </w:numPr>
        <w:tabs>
          <w:tab w:val="clear" w:pos="1134"/>
          <w:tab w:val="left" w:pos="799" w:leader="none"/>
        </w:tabs>
        <w:bidi w:val="0"/>
        <w:spacing w:before="90" w:after="0"/>
        <w:ind w:hanging="283" w:left="799"/>
        <w:rPr/>
      </w:pPr>
      <w:r>
        <w:rPr/>
        <w:t xml:space="preserve">Ajustes e refinamentos no fluxo do SDR com base em conversas reais; </w:t>
      </w:r>
    </w:p>
    <w:p>
      <w:pPr>
        <w:pStyle w:val="BodyText"/>
        <w:numPr>
          <w:ilvl w:val="0"/>
          <w:numId w:val="2"/>
        </w:numPr>
        <w:tabs>
          <w:tab w:val="clear" w:pos="1134"/>
          <w:tab w:val="left" w:pos="799" w:leader="none"/>
        </w:tabs>
        <w:bidi w:val="0"/>
        <w:spacing w:before="90" w:after="0"/>
        <w:ind w:hanging="283" w:left="799"/>
        <w:rPr/>
      </w:pPr>
      <w:r>
        <w:rPr/>
        <w:t xml:space="preserve">Suporte técnico aos canais integrados; </w:t>
      </w:r>
    </w:p>
    <w:p>
      <w:pPr>
        <w:pStyle w:val="BodyText"/>
        <w:numPr>
          <w:ilvl w:val="0"/>
          <w:numId w:val="2"/>
        </w:numPr>
        <w:tabs>
          <w:tab w:val="clear" w:pos="1134"/>
          <w:tab w:val="left" w:pos="799" w:leader="none"/>
        </w:tabs>
        <w:bidi w:val="0"/>
        <w:spacing w:before="90" w:after="0"/>
        <w:ind w:hanging="283" w:left="799"/>
        <w:rPr/>
      </w:pPr>
      <w:r>
        <w:rPr/>
        <w:t xml:space="preserve">Treinamento formal da equipe da CONTRATANTE para operação das ferramentas; </w:t>
      </w:r>
    </w:p>
    <w:p>
      <w:pPr>
        <w:pStyle w:val="BodyText"/>
        <w:numPr>
          <w:ilvl w:val="0"/>
          <w:numId w:val="2"/>
        </w:numPr>
        <w:tabs>
          <w:tab w:val="clear" w:pos="1134"/>
          <w:tab w:val="left" w:pos="799" w:leader="none"/>
        </w:tabs>
        <w:bidi w:val="0"/>
        <w:ind w:hanging="283" w:left="799"/>
        <w:rPr/>
      </w:pPr>
      <w:r>
        <w:rPr/>
        <w:t xml:space="preserve">Consultoria estratégica relacionada ao escopo contratado. </w:t>
      </w:r>
    </w:p>
    <w:p>
      <w:pPr>
        <w:pStyle w:val="BodyText"/>
        <w:bidi w:val="0"/>
        <w:ind w:hanging="0" w:left="0" w:right="0"/>
        <w:rPr/>
      </w:pPr>
      <w:r>
        <w:rPr/>
        <w:t xml:space="preserve">1.3. </w:t>
      </w:r>
      <w:r>
        <w:rPr>
          <w:b/>
        </w:rPr>
        <w:t>Não integram</w:t>
      </w:r>
      <w:r>
        <w:rPr/>
        <w:t xml:space="preserve"> o escopo deste contrato, devendo ser contratados separadamente caso necessários:</w:t>
      </w:r>
    </w:p>
    <w:p>
      <w:pPr>
        <w:pStyle w:val="BodyText"/>
        <w:numPr>
          <w:ilvl w:val="0"/>
          <w:numId w:val="3"/>
        </w:numPr>
        <w:tabs>
          <w:tab w:val="clear" w:pos="1134"/>
          <w:tab w:val="left" w:pos="799" w:leader="none"/>
        </w:tabs>
        <w:bidi w:val="0"/>
        <w:spacing w:before="90" w:after="0"/>
        <w:ind w:hanging="283" w:left="799"/>
        <w:rPr/>
      </w:pPr>
      <w:r>
        <w:rPr/>
        <w:t xml:space="preserve">Criação de conteúdo, copywriting e produção de materiais de marketing; </w:t>
      </w:r>
    </w:p>
    <w:p>
      <w:pPr>
        <w:pStyle w:val="BodyText"/>
        <w:numPr>
          <w:ilvl w:val="0"/>
          <w:numId w:val="3"/>
        </w:numPr>
        <w:tabs>
          <w:tab w:val="clear" w:pos="1134"/>
          <w:tab w:val="left" w:pos="799" w:leader="none"/>
        </w:tabs>
        <w:bidi w:val="0"/>
        <w:spacing w:before="90" w:after="0"/>
        <w:ind w:hanging="283" w:left="799"/>
        <w:rPr/>
      </w:pPr>
      <w:r>
        <w:rPr/>
        <w:t xml:space="preserve">Integrações com sistemas, plataformas ou ferramentas não listadas neste instrumento; </w:t>
      </w:r>
    </w:p>
    <w:p>
      <w:pPr>
        <w:pStyle w:val="BodyText"/>
        <w:numPr>
          <w:ilvl w:val="0"/>
          <w:numId w:val="3"/>
        </w:numPr>
        <w:tabs>
          <w:tab w:val="clear" w:pos="1134"/>
          <w:tab w:val="left" w:pos="799" w:leader="none"/>
        </w:tabs>
        <w:bidi w:val="0"/>
        <w:spacing w:before="90" w:after="0"/>
        <w:ind w:hanging="283" w:left="799"/>
        <w:rPr/>
      </w:pPr>
      <w:r>
        <w:rPr/>
        <w:t xml:space="preserve">Custos de infraestrutura de terceiros, incluindo VPS, domínio, certificado SSL e similares; </w:t>
      </w:r>
    </w:p>
    <w:p>
      <w:pPr>
        <w:pStyle w:val="BodyText"/>
        <w:numPr>
          <w:ilvl w:val="0"/>
          <w:numId w:val="3"/>
        </w:numPr>
        <w:tabs>
          <w:tab w:val="clear" w:pos="1134"/>
          <w:tab w:val="left" w:pos="799" w:leader="none"/>
        </w:tabs>
        <w:bidi w:val="0"/>
        <w:spacing w:before="90" w:after="0"/>
        <w:ind w:hanging="283" w:left="799"/>
        <w:rPr/>
      </w:pPr>
      <w:r>
        <w:rPr/>
        <w:t xml:space="preserve">Custos de APIs de inteligência artificial de terceiros (OpenAI, Anthropic/Claude, Evolution API e equivalentes); </w:t>
      </w:r>
    </w:p>
    <w:p>
      <w:pPr>
        <w:pStyle w:val="BodyText"/>
        <w:numPr>
          <w:ilvl w:val="0"/>
          <w:numId w:val="3"/>
        </w:numPr>
        <w:tabs>
          <w:tab w:val="clear" w:pos="1134"/>
          <w:tab w:val="left" w:pos="799" w:leader="none"/>
        </w:tabs>
        <w:bidi w:val="0"/>
        <w:ind w:hanging="283" w:left="799"/>
        <w:rPr/>
      </w:pPr>
      <w:r>
        <w:rPr/>
        <w:t xml:space="preserve">Desenvolvimento de novas frentes, módulos ou funcionalidades não previstas neste contrato. </w:t>
      </w:r>
    </w:p>
    <w:p>
      <w:pPr>
        <w:pStyle w:val="Heading2clausula"/>
        <w:bidi w:val="0"/>
        <w:jc w:val="left"/>
        <w:rPr/>
      </w:pPr>
      <w:r>
        <w:rPr/>
        <w:t>Cláusula 2 — Prazo e Vigência</w:t>
      </w:r>
    </w:p>
    <w:p>
      <w:pPr>
        <w:pStyle w:val="BodyText"/>
        <w:bidi w:val="0"/>
        <w:ind w:hanging="0" w:left="0" w:right="0"/>
        <w:rPr/>
      </w:pPr>
      <w:r>
        <w:rPr/>
        <w:t xml:space="preserve">2.1. O presente contrato entra em vigor na data de sua assinatura e vigorará pelo prazo de </w:t>
      </w:r>
      <w:r>
        <w:rPr>
          <w:b/>
        </w:rPr>
        <w:t>12 (doze) meses</w:t>
      </w:r>
      <w:r>
        <w:rPr/>
        <w:t xml:space="preserve"> contados da data de go-live da solução, renovando-se automaticamente por períodos iguais e sucessivos, salvo manifestação contrária de qualquer das Partes com antecedência mínima de 30 (trinta) dias.</w:t>
      </w:r>
    </w:p>
    <w:p>
      <w:pPr>
        <w:pStyle w:val="BodyText"/>
        <w:bidi w:val="0"/>
        <w:ind w:hanging="0" w:left="0" w:right="0"/>
        <w:rPr/>
      </w:pPr>
      <w:r>
        <w:rPr/>
        <w:t xml:space="preserve">2.2. O </w:t>
      </w:r>
      <w:r>
        <w:rPr>
          <w:b/>
        </w:rPr>
        <w:t>go-live</w:t>
      </w:r>
      <w:r>
        <w:rPr/>
        <w:t xml:space="preserve"> ocorrerá em até </w:t>
      </w:r>
      <w:r>
        <w:rPr>
          <w:b/>
        </w:rPr>
        <w:t>6 (seis) semanas</w:t>
      </w:r>
      <w:r>
        <w:rPr/>
        <w:t xml:space="preserve"> contadas do aceite formal deste contrato e da entrega, pela CONTRATANTE, de todos os acessos e credenciais necessários à implantação, conforme relação a ser fornecida pela CONTRATADA no kickoff do projeto.</w:t>
      </w:r>
    </w:p>
    <w:p>
      <w:pPr>
        <w:pStyle w:val="BodyText"/>
        <w:bidi w:val="0"/>
        <w:rPr/>
      </w:pPr>
      <w:r>
        <w:rPr/>
        <w:t>2.3. O prazo de implantação previsto no item 2.2 está condicionado ao cumprimento tempestivo das obrigações da CONTRATANTE previstas na Cláusula 6 deste instrumento, especialmente no que diz respeito à entrega de acessos, validações e aprovações nos prazos acordados.</w:t>
      </w:r>
    </w:p>
    <w:p>
      <w:pPr>
        <w:pStyle w:val="BodyText"/>
        <w:bidi w:val="0"/>
        <w:rPr/>
      </w:pPr>
      <w:r>
        <w:rPr/>
        <w:t>2.4. A contagem do prazo de vigência de 12 meses será iniciada a partir da data do termo de homologação assinado pelas Partes por ocasião do go-live.</w:t>
      </w:r>
    </w:p>
    <w:p>
      <w:pPr>
        <w:pStyle w:val="Heading2clausula"/>
        <w:bidi w:val="0"/>
        <w:jc w:val="left"/>
        <w:rPr/>
      </w:pPr>
      <w:r>
        <w:rPr/>
        <w:t>Cláusula 3 — Valores e Condições de Pagamento</w:t>
      </w:r>
    </w:p>
    <w:p>
      <w:pPr>
        <w:pStyle w:val="BodyText"/>
        <w:bidi w:val="0"/>
        <w:rPr/>
      </w:pPr>
      <w:r>
        <w:rPr/>
        <w:t>3.1. Pela prestação dos serviços contratados, a CONTRATANTE pagará à CONTRATADA os seguintes valores:</w:t>
      </w:r>
    </w:p>
    <w:p>
      <w:pPr>
        <w:pStyle w:val="BodyText"/>
        <w:numPr>
          <w:ilvl w:val="0"/>
          <w:numId w:val="4"/>
        </w:numPr>
        <w:tabs>
          <w:tab w:val="clear" w:pos="1134"/>
          <w:tab w:val="left" w:pos="709" w:leader="none"/>
        </w:tabs>
        <w:bidi w:val="0"/>
        <w:spacing w:before="90" w:after="0"/>
        <w:ind w:hanging="283" w:left="709" w:right="0"/>
        <w:rPr/>
      </w:pPr>
      <w:r>
        <w:rPr>
          <w:b/>
        </w:rPr>
        <w:t>Taxa de Setup (implantação):</w:t>
      </w:r>
      <w:r>
        <w:rPr/>
        <w:t xml:space="preserve"> R$ 6.800,00 (seis mil e oitocentos reais), devidos em 2 (duas) parcelas: (i) 50% — R$ 3.400,00 — na assinatura do presente contrato; (ii) 50% — R$ 3.400,00 — em 30 (trinta) dias após a assinatura. </w:t>
      </w:r>
    </w:p>
    <w:p>
      <w:pPr>
        <w:pStyle w:val="BodyText"/>
        <w:numPr>
          <w:ilvl w:val="0"/>
          <w:numId w:val="4"/>
        </w:numPr>
        <w:tabs>
          <w:tab w:val="clear" w:pos="1134"/>
          <w:tab w:val="left" w:pos="709" w:leader="none"/>
        </w:tabs>
        <w:bidi w:val="0"/>
        <w:ind w:hanging="283" w:left="709" w:right="0"/>
        <w:rPr/>
      </w:pPr>
      <w:r>
        <w:rPr>
          <w:b/>
        </w:rPr>
        <w:t>Mensalidade de manutenção e suporte:</w:t>
      </w:r>
      <w:r>
        <w:rPr/>
        <w:t xml:space="preserve"> R$ 2.000,00 (dois mil reais) por mês, devida a partir do </w:t>
      </w:r>
      <w:r>
        <w:rPr>
          <w:b/>
        </w:rPr>
        <w:t>3.º (terceiro) mês de vigência contratual</w:t>
      </w:r>
      <w:r>
        <w:rPr/>
        <w:t xml:space="preserve">, com vencimento todo dia </w:t>
      </w:r>
      <w:r>
        <w:rPr>
          <w:b/>
        </w:rPr>
        <w:t>15</w:t>
      </w:r>
      <w:r>
        <w:rPr/>
        <w:t xml:space="preserve"> do mês de competência. </w:t>
      </w:r>
    </w:p>
    <w:p>
      <w:pPr>
        <w:pStyle w:val="BodyText"/>
        <w:bidi w:val="0"/>
        <w:ind w:hanging="0" w:left="0" w:right="0"/>
        <w:rPr/>
      </w:pPr>
      <w:r>
        <w:rPr/>
        <w:t xml:space="preserve">3.2. Os pagamentos serão realizados exclusivamente via </w:t>
      </w:r>
      <w:r>
        <w:rPr>
          <w:b/>
        </w:rPr>
        <w:t>PIX</w:t>
      </w:r>
      <w:r>
        <w:rPr/>
        <w:t xml:space="preserve">, utilizando a chave CNPJ da CONTRATADA: </w:t>
      </w:r>
      <w:r>
        <w:rPr>
          <w:b/>
        </w:rPr>
        <w:t>40.790.711/0001-21</w:t>
      </w:r>
      <w:r>
        <w:rPr/>
        <w:t>.</w:t>
      </w:r>
    </w:p>
    <w:p>
      <w:pPr>
        <w:pStyle w:val="BodyText"/>
        <w:bidi w:val="0"/>
        <w:rPr/>
      </w:pPr>
      <w:r>
        <w:rPr/>
        <w:t>3.3. O não pagamento de qualquer parcela no vencimento sujeitará a CONTRATANTE à incidência de multa de 2% (dois por cento) sobre o valor em atraso, acrescida de juros moratórios de 1% (um por cento) ao mês e correção monetária pelo IPCA, sem prejuízo da faculdade de rescisão contratual por parte da CONTRATADA.</w:t>
      </w:r>
    </w:p>
    <w:p>
      <w:pPr>
        <w:pStyle w:val="BodyText"/>
        <w:bidi w:val="0"/>
        <w:rPr/>
      </w:pPr>
      <w:r>
        <w:rPr/>
        <w:t>3.4. Em caso de inadimplência superior a 15 (quinze) dias, a CONTRATADA poderá suspender a prestação dos serviços até a regularização do débito, sem que tal suspensão configure mora ou descumprimento contratual por parte da CONTRATADA.</w:t>
      </w:r>
    </w:p>
    <w:p>
      <w:pPr>
        <w:pStyle w:val="BodyText"/>
        <w:bidi w:val="0"/>
        <w:rPr/>
      </w:pPr>
      <w:r>
        <w:rPr/>
        <w:t>3.5. Os valores da mensalidade poderão ser reajustados anualmente, a partir do segundo ano de vigência, pelo índice acumulado do IPCA (IBGE) ou pelo IGP-M (FGV), o que for maior, mediante comunicação prévia de 30 (trinta) dias.</w:t>
      </w:r>
    </w:p>
    <w:p>
      <w:pPr>
        <w:pStyle w:val="Heading2clausula"/>
        <w:bidi w:val="0"/>
        <w:jc w:val="left"/>
        <w:rPr/>
      </w:pPr>
      <w:r>
        <w:rPr/>
        <w:t>Cláusula 4 — Infraestrutura e Titularidade</w:t>
      </w:r>
    </w:p>
    <w:p>
      <w:pPr>
        <w:pStyle w:val="BodyText"/>
        <w:bidi w:val="0"/>
        <w:ind w:hanging="0" w:left="0" w:right="0"/>
        <w:rPr/>
      </w:pPr>
      <w:r>
        <w:rPr/>
        <w:t xml:space="preserve">4.1. A infraestrutura tecnológica necessária à operação das soluções implantadas — incluindo, sem limitação, servidor VPS, domínio, certificado SSL e contas junto a provedores de APIs de inteligência artificial (OpenAI, Anthropic/Claude, Evolution API e equivalentes) — </w:t>
      </w:r>
      <w:r>
        <w:rPr>
          <w:b/>
        </w:rPr>
        <w:t>não está incluída</w:t>
      </w:r>
      <w:r>
        <w:rPr/>
        <w:t xml:space="preserve"> nos valores deste contrato e é de responsabilidade exclusiva da CONTRATANTE quanto à contratação e custeio.</w:t>
      </w:r>
    </w:p>
    <w:p>
      <w:pPr>
        <w:pStyle w:val="BodyText"/>
        <w:bidi w:val="0"/>
        <w:rPr/>
      </w:pPr>
      <w:r>
        <w:rPr/>
        <w:t>4.2. A CONTRATADA poderá, a pedido da CONTRATANTE, auxiliar na orientação e indicação de fornecedores adequados, sem que isso implique qualquer responsabilidade sobre os contratos celebrados entre a CONTRATANTE e terceiros.</w:t>
      </w:r>
    </w:p>
    <w:p>
      <w:pPr>
        <w:pStyle w:val="BodyText"/>
        <w:bidi w:val="0"/>
        <w:rPr/>
      </w:pPr>
      <w:r>
        <w:rPr/>
        <w:t>4.3. Todo o conteúdo, dados, base de conhecimento e informações inseridas no sistema pela CONTRATANTE permanecem de titularidade exclusiva da CONTRATANTE, sendo a CONTRATADA mera processadora de dados para fins dos serviços prestados.</w:t>
      </w:r>
    </w:p>
    <w:p>
      <w:pPr>
        <w:pStyle w:val="BodyText"/>
        <w:bidi w:val="0"/>
        <w:rPr/>
      </w:pPr>
      <w:r>
        <w:rPr/>
        <w:t>4.4. As configurações, fluxos, prompts e automações desenvolvidos especificamente para a CONTRATANTE no âmbito deste contrato são de uso exclusivo da CONTRATANTE durante a vigência, observado o disposto na Cláusula 9.</w:t>
      </w:r>
    </w:p>
    <w:p>
      <w:pPr>
        <w:pStyle w:val="Heading2clausula"/>
        <w:bidi w:val="0"/>
        <w:jc w:val="left"/>
        <w:rPr/>
      </w:pPr>
      <w:r>
        <w:rPr/>
        <w:t>Cláusula 5 — Obrigações da Contratada</w:t>
      </w:r>
    </w:p>
    <w:p>
      <w:pPr>
        <w:pStyle w:val="BodyText"/>
        <w:bidi w:val="0"/>
        <w:rPr/>
      </w:pPr>
      <w:r>
        <w:rPr/>
        <w:t>São obrigações da CONTRATADA:</w:t>
      </w:r>
    </w:p>
    <w:p>
      <w:pPr>
        <w:pStyle w:val="BodyText"/>
        <w:numPr>
          <w:ilvl w:val="0"/>
          <w:numId w:val="5"/>
        </w:numPr>
        <w:tabs>
          <w:tab w:val="clear" w:pos="1134"/>
          <w:tab w:val="left" w:pos="799" w:leader="none"/>
        </w:tabs>
        <w:bidi w:val="0"/>
        <w:spacing w:before="90" w:after="0"/>
        <w:ind w:hanging="283" w:left="799"/>
        <w:rPr/>
      </w:pPr>
      <w:r>
        <w:rPr/>
        <w:t xml:space="preserve">Executar os serviços descritos na Cláusula 1 com diligência, técnica e profissionalismo, respeitando o cronograma estabelecido no Anexo I; </w:t>
      </w:r>
    </w:p>
    <w:p>
      <w:pPr>
        <w:pStyle w:val="BodyText"/>
        <w:numPr>
          <w:ilvl w:val="0"/>
          <w:numId w:val="5"/>
        </w:numPr>
        <w:tabs>
          <w:tab w:val="clear" w:pos="1134"/>
          <w:tab w:val="left" w:pos="799" w:leader="none"/>
        </w:tabs>
        <w:bidi w:val="0"/>
        <w:spacing w:before="90" w:after="0"/>
        <w:ind w:hanging="283" w:left="799"/>
        <w:rPr/>
      </w:pPr>
      <w:r>
        <w:rPr/>
        <w:t xml:space="preserve">Manter equipe técnica qualificada e com experiência adequada para execução dos serviços contratados; </w:t>
      </w:r>
    </w:p>
    <w:p>
      <w:pPr>
        <w:pStyle w:val="BodyText"/>
        <w:numPr>
          <w:ilvl w:val="0"/>
          <w:numId w:val="5"/>
        </w:numPr>
        <w:tabs>
          <w:tab w:val="clear" w:pos="1134"/>
          <w:tab w:val="left" w:pos="799" w:leader="none"/>
        </w:tabs>
        <w:bidi w:val="0"/>
        <w:spacing w:before="90" w:after="0"/>
        <w:ind w:hanging="283" w:left="799"/>
        <w:rPr/>
      </w:pPr>
      <w:r>
        <w:rPr/>
        <w:t xml:space="preserve">Comunicar à CONTRATANTE, com antecedência razoável, qualquer evento que possa impactar o prazo de implantação ou a disponibilidade dos serviços; </w:t>
      </w:r>
    </w:p>
    <w:p>
      <w:pPr>
        <w:pStyle w:val="BodyText"/>
        <w:numPr>
          <w:ilvl w:val="0"/>
          <w:numId w:val="5"/>
        </w:numPr>
        <w:tabs>
          <w:tab w:val="clear" w:pos="1134"/>
          <w:tab w:val="left" w:pos="799" w:leader="none"/>
        </w:tabs>
        <w:bidi w:val="0"/>
        <w:spacing w:before="90" w:after="0"/>
        <w:ind w:hanging="283" w:left="799"/>
        <w:rPr/>
      </w:pPr>
      <w:r>
        <w:rPr/>
        <w:t xml:space="preserve">Realizar o treinamento formal da equipe da CONTRATANTE para operação das ferramentas implantadas; </w:t>
      </w:r>
    </w:p>
    <w:p>
      <w:pPr>
        <w:pStyle w:val="BodyText"/>
        <w:numPr>
          <w:ilvl w:val="0"/>
          <w:numId w:val="5"/>
        </w:numPr>
        <w:tabs>
          <w:tab w:val="clear" w:pos="1134"/>
          <w:tab w:val="left" w:pos="799" w:leader="none"/>
        </w:tabs>
        <w:bidi w:val="0"/>
        <w:spacing w:before="90" w:after="0"/>
        <w:ind w:hanging="283" w:left="799"/>
        <w:rPr/>
      </w:pPr>
      <w:r>
        <w:rPr/>
        <w:t xml:space="preserve">Prestar suporte técnico nos canais e nas formas definidas na Cláusula 7; </w:t>
      </w:r>
    </w:p>
    <w:p>
      <w:pPr>
        <w:pStyle w:val="BodyText"/>
        <w:numPr>
          <w:ilvl w:val="0"/>
          <w:numId w:val="5"/>
        </w:numPr>
        <w:tabs>
          <w:tab w:val="clear" w:pos="1134"/>
          <w:tab w:val="left" w:pos="799" w:leader="none"/>
        </w:tabs>
        <w:bidi w:val="0"/>
        <w:spacing w:before="90" w:after="0"/>
        <w:ind w:hanging="283" w:left="799"/>
        <w:rPr/>
      </w:pPr>
      <w:r>
        <w:rPr/>
        <w:t xml:space="preserve">Manter sigilo absoluto sobre todas as informações confidenciais da CONTRATANTE, nos termos da Cláusula 10; </w:t>
      </w:r>
    </w:p>
    <w:p>
      <w:pPr>
        <w:pStyle w:val="BodyText"/>
        <w:numPr>
          <w:ilvl w:val="0"/>
          <w:numId w:val="5"/>
        </w:numPr>
        <w:tabs>
          <w:tab w:val="clear" w:pos="1134"/>
          <w:tab w:val="left" w:pos="799" w:leader="none"/>
        </w:tabs>
        <w:bidi w:val="0"/>
        <w:spacing w:before="90" w:after="0"/>
        <w:ind w:hanging="283" w:left="799"/>
        <w:rPr/>
      </w:pPr>
      <w:r>
        <w:rPr/>
        <w:t xml:space="preserve">Tratar dados pessoais eventualmente acessados em razão dos serviços em estrita conformidade com a Lei n.º 13.709/2018 (LGPD) e demais normas aplicáveis; </w:t>
      </w:r>
    </w:p>
    <w:p>
      <w:pPr>
        <w:pStyle w:val="BodyText"/>
        <w:numPr>
          <w:ilvl w:val="0"/>
          <w:numId w:val="5"/>
        </w:numPr>
        <w:tabs>
          <w:tab w:val="clear" w:pos="1134"/>
          <w:tab w:val="left" w:pos="799" w:leader="none"/>
        </w:tabs>
        <w:bidi w:val="0"/>
        <w:spacing w:before="90" w:after="0"/>
        <w:ind w:hanging="283" w:left="799"/>
        <w:rPr/>
      </w:pPr>
      <w:r>
        <w:rPr/>
        <w:t xml:space="preserve">Emitir os documentos fiscais cabíveis (Nota Fiscal de Serviços) para cada cobrança efetuada; </w:t>
      </w:r>
    </w:p>
    <w:p>
      <w:pPr>
        <w:pStyle w:val="BodyText"/>
        <w:numPr>
          <w:ilvl w:val="0"/>
          <w:numId w:val="5"/>
        </w:numPr>
        <w:tabs>
          <w:tab w:val="clear" w:pos="1134"/>
          <w:tab w:val="left" w:pos="799" w:leader="none"/>
        </w:tabs>
        <w:bidi w:val="0"/>
        <w:spacing w:before="90" w:after="0"/>
        <w:ind w:hanging="283" w:left="799"/>
        <w:rPr/>
      </w:pPr>
      <w:r>
        <w:rPr/>
        <w:t xml:space="preserve">Realizar ajustes e refinamentos na IA com base em conversas reais, durante a vigência contratual, sem custo adicional, desde que dentro do escopo original contratado; </w:t>
      </w:r>
    </w:p>
    <w:p>
      <w:pPr>
        <w:pStyle w:val="BodyText"/>
        <w:numPr>
          <w:ilvl w:val="0"/>
          <w:numId w:val="5"/>
        </w:numPr>
        <w:tabs>
          <w:tab w:val="clear" w:pos="1134"/>
          <w:tab w:val="left" w:pos="799" w:leader="none"/>
        </w:tabs>
        <w:bidi w:val="0"/>
        <w:ind w:hanging="283" w:left="799"/>
        <w:rPr/>
      </w:pPr>
      <w:r>
        <w:rPr/>
        <w:t xml:space="preserve">Fornecer relatórios periódicos de desempenho do atendente IA e do SDR, quando solicitado pela CONTRATANTE. </w:t>
      </w:r>
    </w:p>
    <w:p>
      <w:pPr>
        <w:pStyle w:val="Heading2clausula"/>
        <w:bidi w:val="0"/>
        <w:jc w:val="left"/>
        <w:rPr/>
      </w:pPr>
      <w:r>
        <w:rPr/>
        <w:t>Cláusula 6 — Obrigações da Contratante</w:t>
      </w:r>
    </w:p>
    <w:p>
      <w:pPr>
        <w:pStyle w:val="BodyText"/>
        <w:bidi w:val="0"/>
        <w:rPr/>
      </w:pPr>
      <w:r>
        <w:rPr/>
        <w:t>São obrigações da CONTRATANTE:</w:t>
      </w:r>
    </w:p>
    <w:p>
      <w:pPr>
        <w:pStyle w:val="BodyText"/>
        <w:numPr>
          <w:ilvl w:val="0"/>
          <w:numId w:val="6"/>
        </w:numPr>
        <w:tabs>
          <w:tab w:val="clear" w:pos="1134"/>
          <w:tab w:val="left" w:pos="799" w:leader="none"/>
        </w:tabs>
        <w:bidi w:val="0"/>
        <w:spacing w:before="90" w:after="0"/>
        <w:ind w:hanging="283" w:left="799"/>
        <w:rPr/>
      </w:pPr>
      <w:r>
        <w:rPr/>
        <w:t xml:space="preserve">Efetuar os pagamentos nas datas e condições estabelecidas na Cláusula 3; </w:t>
      </w:r>
    </w:p>
    <w:p>
      <w:pPr>
        <w:pStyle w:val="BodyText"/>
        <w:numPr>
          <w:ilvl w:val="0"/>
          <w:numId w:val="6"/>
        </w:numPr>
        <w:tabs>
          <w:tab w:val="clear" w:pos="1134"/>
          <w:tab w:val="left" w:pos="799" w:leader="none"/>
        </w:tabs>
        <w:bidi w:val="0"/>
        <w:spacing w:before="90" w:after="0"/>
        <w:ind w:hanging="283" w:left="799"/>
        <w:rPr/>
      </w:pPr>
      <w:r>
        <w:rPr/>
        <w:t xml:space="preserve">Fornecer, dentro dos prazos acordados no kickoff do projeto, todos os acessos, credenciais, APIs e informações necessárias à implantação, incluindo acesso ao WhatsApp Business, conta Meta Business, site para inserção do Webchat e demais plataformas envolvidas; </w:t>
      </w:r>
    </w:p>
    <w:p>
      <w:pPr>
        <w:pStyle w:val="BodyText"/>
        <w:numPr>
          <w:ilvl w:val="0"/>
          <w:numId w:val="6"/>
        </w:numPr>
        <w:tabs>
          <w:tab w:val="clear" w:pos="1134"/>
          <w:tab w:val="left" w:pos="799" w:leader="none"/>
        </w:tabs>
        <w:bidi w:val="0"/>
        <w:spacing w:before="90" w:after="0"/>
        <w:ind w:hanging="283" w:left="799"/>
        <w:rPr/>
      </w:pPr>
      <w:r>
        <w:rPr/>
        <w:t xml:space="preserve">Disponibilizar servidor VPS ou infraestrutura equivalente, devidamente provisionado conforme especificações mínimas a serem informadas pela CONTRATADA; </w:t>
      </w:r>
    </w:p>
    <w:p>
      <w:pPr>
        <w:pStyle w:val="BodyText"/>
        <w:numPr>
          <w:ilvl w:val="0"/>
          <w:numId w:val="6"/>
        </w:numPr>
        <w:tabs>
          <w:tab w:val="clear" w:pos="1134"/>
          <w:tab w:val="left" w:pos="799" w:leader="none"/>
        </w:tabs>
        <w:bidi w:val="0"/>
        <w:spacing w:before="90" w:after="0"/>
        <w:ind w:hanging="283" w:left="799"/>
        <w:rPr/>
      </w:pPr>
      <w:r>
        <w:rPr/>
        <w:t xml:space="preserve">Designar um responsável (ponto focal) para acompanhar o projeto, validar entregas, responder a dúvidas e aprovar etapas em tempo hábil; </w:t>
      </w:r>
    </w:p>
    <w:p>
      <w:pPr>
        <w:pStyle w:val="BodyText"/>
        <w:numPr>
          <w:ilvl w:val="0"/>
          <w:numId w:val="6"/>
        </w:numPr>
        <w:tabs>
          <w:tab w:val="clear" w:pos="1134"/>
          <w:tab w:val="left" w:pos="799" w:leader="none"/>
        </w:tabs>
        <w:bidi w:val="0"/>
        <w:spacing w:before="90" w:after="0"/>
        <w:ind w:hanging="283" w:left="799"/>
        <w:rPr/>
      </w:pPr>
      <w:r>
        <w:rPr/>
        <w:t xml:space="preserve">Fornecer à CONTRATADA o portfólio completo de cursos, pós-graduações, informações de inscrições, prazos e demais conteúdos necessários ao treinamento da IA; </w:t>
      </w:r>
    </w:p>
    <w:p>
      <w:pPr>
        <w:pStyle w:val="BodyText"/>
        <w:numPr>
          <w:ilvl w:val="0"/>
          <w:numId w:val="6"/>
        </w:numPr>
        <w:tabs>
          <w:tab w:val="clear" w:pos="1134"/>
          <w:tab w:val="left" w:pos="799" w:leader="none"/>
        </w:tabs>
        <w:bidi w:val="0"/>
        <w:spacing w:before="90" w:after="0"/>
        <w:ind w:hanging="283" w:left="799"/>
        <w:rPr/>
      </w:pPr>
      <w:r>
        <w:rPr/>
        <w:t xml:space="preserve">Participar das reuniões de kickoff, validação e treinamento agendadas pela CONTRATADA; </w:t>
      </w:r>
    </w:p>
    <w:p>
      <w:pPr>
        <w:pStyle w:val="BodyText"/>
        <w:numPr>
          <w:ilvl w:val="0"/>
          <w:numId w:val="6"/>
        </w:numPr>
        <w:tabs>
          <w:tab w:val="clear" w:pos="1134"/>
          <w:tab w:val="left" w:pos="799" w:leader="none"/>
        </w:tabs>
        <w:bidi w:val="0"/>
        <w:spacing w:before="90" w:after="0"/>
        <w:ind w:hanging="283" w:left="799"/>
        <w:rPr/>
      </w:pPr>
      <w:r>
        <w:rPr/>
        <w:t xml:space="preserve">Assinar o termo de homologação por ocasião do go-live, após validação e aprovação da solução implantada; </w:t>
      </w:r>
    </w:p>
    <w:p>
      <w:pPr>
        <w:pStyle w:val="BodyText"/>
        <w:numPr>
          <w:ilvl w:val="0"/>
          <w:numId w:val="6"/>
        </w:numPr>
        <w:tabs>
          <w:tab w:val="clear" w:pos="1134"/>
          <w:tab w:val="left" w:pos="799" w:leader="none"/>
        </w:tabs>
        <w:bidi w:val="0"/>
        <w:spacing w:before="90" w:after="0"/>
        <w:ind w:hanging="283" w:left="799"/>
        <w:rPr/>
      </w:pPr>
      <w:r>
        <w:rPr/>
        <w:t xml:space="preserve">Informar à CONTRATADA, com antecedência mínima de 10 (dez) dias úteis, qualquer alteração relevante em cursos, prazos, processos comerciais ou canais de atendimento que possa exigir ajuste na solução; </w:t>
      </w:r>
    </w:p>
    <w:p>
      <w:pPr>
        <w:pStyle w:val="BodyText"/>
        <w:numPr>
          <w:ilvl w:val="0"/>
          <w:numId w:val="6"/>
        </w:numPr>
        <w:tabs>
          <w:tab w:val="clear" w:pos="1134"/>
          <w:tab w:val="left" w:pos="799" w:leader="none"/>
        </w:tabs>
        <w:bidi w:val="0"/>
        <w:spacing w:before="90" w:after="0"/>
        <w:ind w:hanging="283" w:left="799"/>
        <w:rPr/>
      </w:pPr>
      <w:r>
        <w:rPr/>
        <w:t xml:space="preserve">Não utilizar as soluções implantadas para finalidades ilícitas ou contrárias às políticas dos provedores de serviço (Meta, OpenAI, Anthropic, etc.); </w:t>
      </w:r>
    </w:p>
    <w:p>
      <w:pPr>
        <w:pStyle w:val="BodyText"/>
        <w:numPr>
          <w:ilvl w:val="0"/>
          <w:numId w:val="6"/>
        </w:numPr>
        <w:tabs>
          <w:tab w:val="clear" w:pos="1134"/>
          <w:tab w:val="left" w:pos="799" w:leader="none"/>
        </w:tabs>
        <w:bidi w:val="0"/>
        <w:ind w:hanging="283" w:left="799"/>
        <w:rPr/>
      </w:pPr>
      <w:r>
        <w:rPr/>
        <w:t xml:space="preserve">Arcar com todos os custos de infraestrutura e APIs de terceiros, conforme Cláusula 4. </w:t>
      </w:r>
    </w:p>
    <w:p>
      <w:pPr>
        <w:pStyle w:val="Heading2clausula"/>
        <w:bidi w:val="0"/>
        <w:jc w:val="left"/>
        <w:rPr/>
      </w:pPr>
      <w:r>
        <w:rPr/>
        <w:t>Cláusula 7 — SLA e Suporte Técnico</w:t>
      </w:r>
    </w:p>
    <w:p>
      <w:pPr>
        <w:pStyle w:val="BodyText"/>
        <w:bidi w:val="0"/>
        <w:rPr/>
      </w:pPr>
      <w:r>
        <w:rPr/>
        <w:t>7.1. A CONTRATADA prestará suporte técnico à CONTRATANTE nas seguintes condições:</w:t>
      </w:r>
    </w:p>
    <w:p>
      <w:pPr>
        <w:pStyle w:val="BodyText"/>
        <w:numPr>
          <w:ilvl w:val="0"/>
          <w:numId w:val="7"/>
        </w:numPr>
        <w:tabs>
          <w:tab w:val="clear" w:pos="1134"/>
          <w:tab w:val="left" w:pos="709" w:leader="none"/>
        </w:tabs>
        <w:bidi w:val="0"/>
        <w:spacing w:before="90" w:after="0"/>
        <w:ind w:hanging="283" w:left="709" w:right="0"/>
        <w:rPr/>
      </w:pPr>
      <w:r>
        <w:rPr>
          <w:b/>
        </w:rPr>
        <w:t>Canal de suporte:</w:t>
      </w:r>
      <w:r>
        <w:rPr/>
        <w:t xml:space="preserve"> via WhatsApp ou e-mail dedicado, a ser informado no kickoff do projeto; </w:t>
      </w:r>
    </w:p>
    <w:p>
      <w:pPr>
        <w:pStyle w:val="BodyText"/>
        <w:numPr>
          <w:ilvl w:val="0"/>
          <w:numId w:val="7"/>
        </w:numPr>
        <w:tabs>
          <w:tab w:val="clear" w:pos="1134"/>
          <w:tab w:val="left" w:pos="709" w:leader="none"/>
        </w:tabs>
        <w:bidi w:val="0"/>
        <w:spacing w:before="90" w:after="0"/>
        <w:ind w:hanging="283" w:left="709" w:right="0"/>
        <w:rPr/>
      </w:pPr>
      <w:r>
        <w:rPr>
          <w:b/>
        </w:rPr>
        <w:t>Horário de atendimento:</w:t>
      </w:r>
      <w:r>
        <w:rPr/>
        <w:t xml:space="preserve"> segunda a sexta-feira, das 9h às 18h, horário de Brasília, exceto feriados nacionais; </w:t>
      </w:r>
    </w:p>
    <w:p>
      <w:pPr>
        <w:pStyle w:val="BodyText"/>
        <w:numPr>
          <w:ilvl w:val="0"/>
          <w:numId w:val="7"/>
        </w:numPr>
        <w:tabs>
          <w:tab w:val="clear" w:pos="1134"/>
          <w:tab w:val="left" w:pos="709" w:leader="none"/>
        </w:tabs>
        <w:bidi w:val="0"/>
        <w:spacing w:before="90" w:after="0"/>
        <w:ind w:hanging="283" w:left="709" w:right="0"/>
        <w:rPr/>
      </w:pPr>
      <w:r>
        <w:rPr>
          <w:b/>
        </w:rPr>
        <w:t>Tempo de resposta inicial:</w:t>
      </w:r>
      <w:r>
        <w:rPr/>
        <w:t xml:space="preserve"> até 4 (quatro) horas úteis para problemas classificados como críticos (indisponibilidade total do atendente IA ou dos canais integrados); até 24 (vinte e quatro) horas úteis para demais chamados; </w:t>
      </w:r>
    </w:p>
    <w:p>
      <w:pPr>
        <w:pStyle w:val="BodyText"/>
        <w:numPr>
          <w:ilvl w:val="0"/>
          <w:numId w:val="7"/>
        </w:numPr>
        <w:tabs>
          <w:tab w:val="clear" w:pos="1134"/>
          <w:tab w:val="left" w:pos="709" w:leader="none"/>
        </w:tabs>
        <w:bidi w:val="0"/>
        <w:ind w:hanging="283" w:left="709" w:right="0"/>
        <w:rPr/>
      </w:pPr>
      <w:r>
        <w:rPr>
          <w:b/>
        </w:rPr>
        <w:t>Tempo de resolução:</w:t>
      </w:r>
      <w:r>
        <w:rPr/>
        <w:t xml:space="preserve"> até 48 (quarenta e oito) horas úteis para incidentes críticos, observadas as dependências de terceiros (provedores de API, Meta, etc.). </w:t>
      </w:r>
    </w:p>
    <w:p>
      <w:pPr>
        <w:pStyle w:val="BodyText"/>
        <w:bidi w:val="0"/>
        <w:rPr/>
      </w:pPr>
      <w:r>
        <w:rPr/>
        <w:t>7.2. Não são considerados incidentes de responsabilidade da CONTRATADA, para fins de SLA, as indisponibilidades decorrentes de: (i) falhas em infraestrutura da CONTRATANTE; (ii) interrupções por parte dos provedores de APIs ou plataformas de terceiros (Meta, OpenAI, Anthropic, etc.); (iii) alterações realizadas pela CONTRATANTE sem ciência prévia da CONTRATADA; (iv) inadimplência da CONTRATANTE perante a CONTRATADA ou perante provedores de infraestrutura.</w:t>
      </w:r>
    </w:p>
    <w:p>
      <w:pPr>
        <w:pStyle w:val="BodyText"/>
        <w:bidi w:val="0"/>
        <w:rPr/>
      </w:pPr>
      <w:r>
        <w:rPr/>
        <w:t>7.3. Solicitações de novas funcionalidades ou expansões de escopo serão avaliadas e orçadas separadamente, não se confundindo com suporte técnico.</w:t>
      </w:r>
    </w:p>
    <w:p>
      <w:pPr>
        <w:pStyle w:val="Heading2clausula"/>
        <w:bidi w:val="0"/>
        <w:jc w:val="left"/>
        <w:rPr/>
      </w:pPr>
      <w:r>
        <w:rPr/>
        <w:t>Cláusula 8 — Homologação e Aceitação</w:t>
      </w:r>
    </w:p>
    <w:p>
      <w:pPr>
        <w:pStyle w:val="BodyText"/>
        <w:bidi w:val="0"/>
        <w:rPr/>
      </w:pPr>
      <w:r>
        <w:rPr/>
        <w:t>8.1. Concluída a implantação, a CONTRATADA convocará a CONTRATANTE para realização de testes de aceitação do sistema, conforme cronograma estabelecido no Anexo I.</w:t>
      </w:r>
    </w:p>
    <w:p>
      <w:pPr>
        <w:pStyle w:val="BodyText"/>
        <w:bidi w:val="0"/>
        <w:ind w:hanging="0" w:left="0" w:right="0"/>
        <w:rPr/>
      </w:pPr>
      <w:r>
        <w:rPr/>
        <w:t xml:space="preserve">8.2. A CONTRATANTE deverá, no prazo de </w:t>
      </w:r>
      <w:r>
        <w:rPr>
          <w:b/>
        </w:rPr>
        <w:t>5 (cinco) dias úteis</w:t>
      </w:r>
      <w:r>
        <w:rPr/>
        <w:t xml:space="preserve"> contados da convocação, homologar o sistema mediante assinatura do </w:t>
      </w:r>
      <w:r>
        <w:rPr>
          <w:b/>
        </w:rPr>
        <w:t>Termo de Homologação</w:t>
      </w:r>
      <w:r>
        <w:rPr/>
        <w:t xml:space="preserve"> ou, alternativamente, apresentar lista formal e fundamentada de não conformidades a serem corrigidas.</w:t>
      </w:r>
    </w:p>
    <w:p>
      <w:pPr>
        <w:pStyle w:val="BodyText"/>
        <w:bidi w:val="0"/>
        <w:rPr/>
      </w:pPr>
      <w:r>
        <w:rPr/>
        <w:t>8.3. Identificadas não conformidades dentro do escopo contratado, a CONTRATADA realizará as correções necessárias e submeterá o sistema novamente à homologação no prazo de até 5 (cinco) dias úteis.</w:t>
      </w:r>
    </w:p>
    <w:p>
      <w:pPr>
        <w:pStyle w:val="BodyText"/>
        <w:bidi w:val="0"/>
        <w:rPr/>
      </w:pPr>
      <w:r>
        <w:rPr/>
        <w:t>8.4. O silêncio da CONTRATANTE por prazo superior a 5 (cinco) dias úteis após a convocação, sem apresentação de não conformidades formais, implicará homologação tácita do sistema, autorizando o início da contagem do prazo de vigência de 12 meses previsto na Cláusula 2.</w:t>
      </w:r>
    </w:p>
    <w:p>
      <w:pPr>
        <w:pStyle w:val="BodyText"/>
        <w:bidi w:val="0"/>
        <w:rPr/>
      </w:pPr>
      <w:r>
        <w:rPr/>
        <w:t>8.5. Solicitações de alteração de escopo durante o período de implantação serão avaliadas quanto ao impacto em prazo e custo, sendo formalizadas por meio de aditivo contratual.</w:t>
      </w:r>
    </w:p>
    <w:p>
      <w:pPr>
        <w:pStyle w:val="Heading2clausula"/>
        <w:bidi w:val="0"/>
        <w:jc w:val="left"/>
        <w:rPr/>
      </w:pPr>
      <w:r>
        <w:rPr/>
        <w:t>Cláusula 9 — Licença de Uso e Propriedade Intelectual</w:t>
      </w:r>
    </w:p>
    <w:p>
      <w:pPr>
        <w:pStyle w:val="BodyText"/>
        <w:bidi w:val="0"/>
        <w:ind w:hanging="0" w:left="0" w:right="0"/>
        <w:rPr/>
      </w:pPr>
      <w:r>
        <w:rPr/>
        <w:t xml:space="preserve">9.1. As metodologias, frameworks, modelos de fluxo, arquiteturas de automação e demais ativos intelectuais genéricos da CONTRATADA utilizados na execução dos serviços permanecem de titularidade exclusiva da CONTRATADA, que concede à CONTRATANTE, durante a vigência deste contrato, </w:t>
      </w:r>
      <w:r>
        <w:rPr>
          <w:b/>
        </w:rPr>
        <w:t>licença de uso não exclusiva, intransferível e limitada</w:t>
      </w:r>
      <w:r>
        <w:rPr/>
        <w:t xml:space="preserve"> ao escopo dos serviços contratados.</w:t>
      </w:r>
    </w:p>
    <w:p>
      <w:pPr>
        <w:pStyle w:val="BodyText"/>
        <w:bidi w:val="0"/>
        <w:rPr/>
      </w:pPr>
      <w:r>
        <w:rPr/>
        <w:t>9.2. As personalizações, fluxos, prompts e configurações desenvolvidos especificamente para a CONTRATANTE, com base no conteúdo, dados e contexto fornecidos pela CONTRATANTE, são de propriedade da CONTRATANTE, ficando a CONTRATADA autorizada a utilizá-los exclusivamente para fins de prestação dos serviços deste contrato.</w:t>
      </w:r>
    </w:p>
    <w:p>
      <w:pPr>
        <w:pStyle w:val="BodyText"/>
        <w:bidi w:val="0"/>
        <w:rPr/>
      </w:pPr>
      <w:r>
        <w:rPr/>
        <w:t>9.3. Encerrado o contrato por qualquer motivo, a CONTRATADA fornecerá à CONTRATANTE, no prazo de 15 (quinze) dias, cópia de todos os fluxos, configurações e documentações produzidas especificamente para o projeto, para que a CONTRATANTE possa dar continuidade às operações.</w:t>
      </w:r>
    </w:p>
    <w:p>
      <w:pPr>
        <w:pStyle w:val="BodyText"/>
        <w:bidi w:val="0"/>
        <w:rPr/>
      </w:pPr>
      <w:r>
        <w:rPr/>
        <w:t>9.4. É vedada à CONTRATADA a utilização de dados, base de conhecimento, conversas ou informações da CONTRATANTE para fins de desenvolvimento de produtos ou serviços direcionados a terceiros concorrentes da CONTRATANTE no segmento de cursos médicos e pós-graduações na área da saúde.</w:t>
      </w:r>
    </w:p>
    <w:p>
      <w:pPr>
        <w:pStyle w:val="Heading2clausula"/>
        <w:bidi w:val="0"/>
        <w:jc w:val="left"/>
        <w:rPr/>
      </w:pPr>
      <w:r>
        <w:rPr/>
        <w:t>Cláusula 10 — Confidencialidade e LGPD</w:t>
      </w:r>
    </w:p>
    <w:p>
      <w:pPr>
        <w:pStyle w:val="BodyText"/>
        <w:bidi w:val="0"/>
        <w:rPr/>
      </w:pPr>
      <w:r>
        <w:rPr/>
        <w:t>10.1. As Partes obrigam-se a manter em estrito sigilo todas as informações confidenciais obtidas em razão deste contrato, incluindo, sem limitação, dados de clientes, estratégias comerciais, base de leads, portfólio de cursos, processos internos e tecnologia aplicada.</w:t>
      </w:r>
    </w:p>
    <w:p>
      <w:pPr>
        <w:pStyle w:val="BodyText"/>
        <w:bidi w:val="0"/>
        <w:ind w:hanging="0" w:left="0" w:right="0"/>
        <w:rPr/>
      </w:pPr>
      <w:r>
        <w:rPr/>
        <w:t xml:space="preserve">10.2. A obrigação de confidencialidade perdurará por </w:t>
      </w:r>
      <w:r>
        <w:rPr>
          <w:b/>
        </w:rPr>
        <w:t>2 (dois) anos</w:t>
      </w:r>
      <w:r>
        <w:rPr/>
        <w:t xml:space="preserve"> após o término deste contrato, independentemente do motivo que lhe deu causa.</w:t>
      </w:r>
    </w:p>
    <w:p>
      <w:pPr>
        <w:pStyle w:val="BodyText"/>
        <w:bidi w:val="0"/>
        <w:rPr/>
      </w:pPr>
      <w:r>
        <w:rPr/>
        <w:t>10.3. A obrigação de confidencialidade não se aplica a informações: (i) que já sejam de domínio público por razão alheia à vontade das Partes; (ii) que precisem ser divulgadas por ordem judicial ou determinação legal; ou (iii) que sejam fornecidas por terceiros não sujeitos a obrigação de sigilo.</w:t>
      </w:r>
    </w:p>
    <w:p>
      <w:pPr>
        <w:pStyle w:val="BodyText"/>
        <w:bidi w:val="0"/>
        <w:ind w:hanging="0" w:left="0" w:right="0"/>
        <w:rPr/>
      </w:pPr>
      <w:r>
        <w:rPr/>
        <w:t xml:space="preserve">10.4. No que concerne ao tratamento de dados pessoais, as Partes reconhecem e concordam com os seguintes papéis, para os fins da </w:t>
      </w:r>
      <w:r>
        <w:rPr>
          <w:b/>
        </w:rPr>
        <w:t>Lei n.º 13.709/2018 — LGPD</w:t>
      </w:r>
      <w:r>
        <w:rPr/>
        <w:t>:</w:t>
      </w:r>
    </w:p>
    <w:p>
      <w:pPr>
        <w:pStyle w:val="BodyText"/>
        <w:numPr>
          <w:ilvl w:val="0"/>
          <w:numId w:val="8"/>
        </w:numPr>
        <w:tabs>
          <w:tab w:val="clear" w:pos="1134"/>
          <w:tab w:val="left" w:pos="709" w:leader="none"/>
        </w:tabs>
        <w:bidi w:val="0"/>
        <w:spacing w:before="90" w:after="0"/>
        <w:ind w:hanging="283" w:left="709" w:right="0"/>
        <w:rPr/>
      </w:pPr>
      <w:r>
        <w:rPr/>
        <w:t xml:space="preserve">A CONTRATANTE é a </w:t>
      </w:r>
      <w:r>
        <w:rPr>
          <w:b/>
        </w:rPr>
        <w:t>Controladora</w:t>
      </w:r>
      <w:r>
        <w:rPr/>
        <w:t xml:space="preserve"> dos dados pessoais de seus alunos, leads e clientes, sendo responsável pelas bases legais de tratamento; </w:t>
      </w:r>
    </w:p>
    <w:p>
      <w:pPr>
        <w:pStyle w:val="BodyText"/>
        <w:numPr>
          <w:ilvl w:val="0"/>
          <w:numId w:val="8"/>
        </w:numPr>
        <w:tabs>
          <w:tab w:val="clear" w:pos="1134"/>
          <w:tab w:val="left" w:pos="709" w:leader="none"/>
        </w:tabs>
        <w:bidi w:val="0"/>
        <w:ind w:hanging="283" w:left="709" w:right="0"/>
        <w:rPr/>
      </w:pPr>
      <w:r>
        <w:rPr/>
        <w:t xml:space="preserve">A CONTRATADA atua como </w:t>
      </w:r>
      <w:r>
        <w:rPr>
          <w:b/>
        </w:rPr>
        <w:t>Operadora</w:t>
      </w:r>
      <w:r>
        <w:rPr/>
        <w:t xml:space="preserve">, processando os dados pessoais estritamente de acordo com as instruções da CONTRATANTE e para os fins da prestação dos serviços contratados. </w:t>
      </w:r>
    </w:p>
    <w:p>
      <w:pPr>
        <w:pStyle w:val="BodyText"/>
        <w:bidi w:val="0"/>
        <w:rPr/>
      </w:pPr>
      <w:r>
        <w:rPr/>
        <w:t>10.5. A CONTRATADA compromete-se a: (i) tratar os dados pessoais acessados exclusivamente para as finalidades do contrato; (ii) adotar medidas técnicas e organizacionais adequadas à segurança dos dados; (iii) não transferir dados pessoais a terceiros não autorizados; (iv) comunicar à CONTRATANTE, no prazo de 72 (setenta e duas) horas, qualquer incidente de segurança que envolva dados pessoais.</w:t>
      </w:r>
    </w:p>
    <w:p>
      <w:pPr>
        <w:pStyle w:val="BodyText"/>
        <w:bidi w:val="0"/>
        <w:rPr/>
      </w:pPr>
      <w:r>
        <w:rPr/>
        <w:t>10.6. A CONTRATANTE é responsável por assegurar que os titulares de dados pessoais sejam informados sobre o uso de sistemas de IA e automação no atendimento, incluindo, quando aplicável, a existência de bot e a possibilidade de acesso a atendimento humano.</w:t>
      </w:r>
    </w:p>
    <w:p>
      <w:pPr>
        <w:pStyle w:val="Heading2clausula"/>
        <w:bidi w:val="0"/>
        <w:jc w:val="left"/>
        <w:rPr/>
      </w:pPr>
      <w:r>
        <w:rPr/>
        <w:t>Cláusula 11 — Limitação de Responsabilidade</w:t>
      </w:r>
    </w:p>
    <w:p>
      <w:pPr>
        <w:pStyle w:val="BodyText"/>
        <w:bidi w:val="0"/>
        <w:rPr/>
      </w:pPr>
      <w:r>
        <w:rPr/>
        <w:t>11.1. A CONTRATADA não responde por danos indiretos, lucros cessantes, perda de receita ou danos reputacionais decorrentes de: (i) falhas em plataformas ou APIs de terceiros (Meta, OpenAI, Anthropic, Evolution API, etc.); (ii) indisponibilidade de infraestrutura não gerenciada pela CONTRATADA; (iii) uso inadequado das ferramentas por parte da CONTRATANTE ou de terceiros autorizados pela CONTRATANTE.</w:t>
      </w:r>
    </w:p>
    <w:p>
      <w:pPr>
        <w:pStyle w:val="BodyText"/>
        <w:bidi w:val="0"/>
        <w:ind w:hanging="0" w:left="0" w:right="0"/>
        <w:rPr/>
      </w:pPr>
      <w:r>
        <w:rPr/>
        <w:t xml:space="preserve">11.2. A responsabilidade total da CONTRATADA perante a CONTRATANTE, em qualquer hipótese, fica limitada ao valor correspondente a </w:t>
      </w:r>
      <w:r>
        <w:rPr>
          <w:b/>
        </w:rPr>
        <w:t>3 (três) mensalidades</w:t>
      </w:r>
      <w:r>
        <w:rPr/>
        <w:t xml:space="preserve"> vigentes à época do evento danoso.</w:t>
      </w:r>
    </w:p>
    <w:p>
      <w:pPr>
        <w:pStyle w:val="BodyText"/>
        <w:bidi w:val="0"/>
        <w:rPr/>
      </w:pPr>
      <w:r>
        <w:rPr/>
        <w:t>11.3. A CONTRATADA não garante que a solução de IA alcançará resultados comerciais específicos (número de leads qualificados, taxa de conversão, volume de matrículas), uma vez que tais resultados dependem de fatores externos ao controle da CONTRATADA, como qualidade do tráfego, oferta dos cursos e capacidade de resposta do time comercial da CONTRATANTE.</w:t>
      </w:r>
    </w:p>
    <w:p>
      <w:pPr>
        <w:pStyle w:val="Heading2clausula"/>
        <w:bidi w:val="0"/>
        <w:jc w:val="left"/>
        <w:rPr/>
      </w:pPr>
      <w:r>
        <w:rPr/>
        <w:t>Cláusula 12 — Uso Razoável</w:t>
      </w:r>
    </w:p>
    <w:p>
      <w:pPr>
        <w:pStyle w:val="BodyText"/>
        <w:bidi w:val="0"/>
        <w:rPr/>
      </w:pPr>
      <w:r>
        <w:rPr/>
        <w:t>12.1. A mensalidade contratada pressupõe uso razoável dos serviços, entendido como o volume de interações e ajustes compatível com a operação regular de uma instituição de médio porte no segmento de cursos e pós-graduações médicas.</w:t>
      </w:r>
    </w:p>
    <w:p>
      <w:pPr>
        <w:pStyle w:val="BodyText"/>
        <w:bidi w:val="0"/>
        <w:rPr/>
      </w:pPr>
      <w:r>
        <w:rPr/>
        <w:t>12.2. Em caso de crescimento expressivo do volume de interações que demande expansão significativa de infraestrutura, prompts ou automações — a critério técnico da CONTRATADA — as Partes negociarão de boa-fé um ajuste nos valores contratuais.</w:t>
      </w:r>
    </w:p>
    <w:p>
      <w:pPr>
        <w:pStyle w:val="BodyText"/>
        <w:bidi w:val="0"/>
        <w:rPr/>
      </w:pPr>
      <w:r>
        <w:rPr/>
        <w:t>12.3. Entende-se por uso fora do escopo razoável, a título exemplificativo: volume de conversas 5x (cinco vezes) acima da média mensal estabelecida nos primeiros 3 meses de operação, demandas de novas integrações ou expansão para canais não previstos, e solicitações de criação de novos fluxos substancialmente distintos dos contratados.</w:t>
      </w:r>
    </w:p>
    <w:p>
      <w:pPr>
        <w:pStyle w:val="Heading2clausula"/>
        <w:bidi w:val="0"/>
        <w:jc w:val="left"/>
        <w:rPr/>
      </w:pPr>
      <w:r>
        <w:rPr/>
        <w:t>Cláusula 13 — Rescisão</w:t>
      </w:r>
    </w:p>
    <w:p>
      <w:pPr>
        <w:pStyle w:val="BodyText"/>
        <w:bidi w:val="0"/>
        <w:ind w:hanging="0" w:left="0" w:right="0"/>
        <w:rPr/>
      </w:pPr>
      <w:r>
        <w:rPr/>
        <w:t xml:space="preserve">13.1. </w:t>
      </w:r>
      <w:r>
        <w:rPr>
          <w:b/>
        </w:rPr>
        <w:t>Rescisão por justa causa:</w:t>
      </w:r>
      <w:r>
        <w:rPr/>
        <w:t xml:space="preserve"> qualquer das Partes poderá rescindir o contrato imediatamente, mediante notificação escrita, nos seguintes casos: (i) descumprimento de obrigações contratuais não sanado em 15 (quinze) dias após notificação formal; (ii) inadimplência da CONTRATANTE por período superior a 30 (trinta) dias; (iii) decretação de falência ou recuperação judicial de qualquer das Partes.</w:t>
      </w:r>
    </w:p>
    <w:p>
      <w:pPr>
        <w:pStyle w:val="BodyText"/>
        <w:bidi w:val="0"/>
        <w:ind w:hanging="0" w:left="0" w:right="0"/>
        <w:rPr/>
      </w:pPr>
      <w:r>
        <w:rPr/>
        <w:t xml:space="preserve">13.2. </w:t>
      </w:r>
      <w:r>
        <w:rPr>
          <w:b/>
        </w:rPr>
        <w:t>Rescisão sem justa causa pela CONTRATANTE:</w:t>
      </w:r>
      <w:r>
        <w:rPr/>
        <w:t xml:space="preserve"> é facultado à CONTRATANTE rescindir o contrato a qualquer tempo, mediante notificação escrita com antecedência mínima de </w:t>
      </w:r>
      <w:r>
        <w:rPr>
          <w:b/>
        </w:rPr>
        <w:t>30 (trinta) dias</w:t>
      </w:r>
      <w:r>
        <w:rPr/>
        <w:t>, sujeitando-se ao pagamento de:</w:t>
      </w:r>
    </w:p>
    <w:p>
      <w:pPr>
        <w:pStyle w:val="BodyText"/>
        <w:numPr>
          <w:ilvl w:val="0"/>
          <w:numId w:val="9"/>
        </w:numPr>
        <w:tabs>
          <w:tab w:val="clear" w:pos="1134"/>
          <w:tab w:val="left" w:pos="799" w:leader="none"/>
        </w:tabs>
        <w:bidi w:val="0"/>
        <w:spacing w:before="90" w:after="0"/>
        <w:ind w:hanging="283" w:left="799"/>
        <w:rPr/>
      </w:pPr>
      <w:r>
        <w:rPr/>
        <w:t xml:space="preserve">Todas as mensalidades vencidas e não pagas até a data da rescisão; </w:t>
      </w:r>
    </w:p>
    <w:p>
      <w:pPr>
        <w:pStyle w:val="BodyText"/>
        <w:numPr>
          <w:ilvl w:val="0"/>
          <w:numId w:val="9"/>
        </w:numPr>
        <w:tabs>
          <w:tab w:val="clear" w:pos="1134"/>
          <w:tab w:val="left" w:pos="709" w:leader="none"/>
        </w:tabs>
        <w:bidi w:val="0"/>
        <w:spacing w:before="90" w:after="0"/>
        <w:ind w:hanging="283" w:left="709" w:right="0"/>
        <w:rPr/>
      </w:pPr>
      <w:r>
        <w:rPr/>
        <w:t xml:space="preserve">Multa compensatória equivalente a </w:t>
      </w:r>
      <w:r>
        <w:rPr>
          <w:b/>
        </w:rPr>
        <w:t>2 (duas) mensalidades</w:t>
      </w:r>
      <w:r>
        <w:rPr/>
        <w:t xml:space="preserve"> vigentes, caso a rescisão ocorra antes de completados 6 (seis) meses de vigência; </w:t>
      </w:r>
    </w:p>
    <w:p>
      <w:pPr>
        <w:pStyle w:val="BodyText"/>
        <w:numPr>
          <w:ilvl w:val="0"/>
          <w:numId w:val="9"/>
        </w:numPr>
        <w:tabs>
          <w:tab w:val="clear" w:pos="1134"/>
          <w:tab w:val="left" w:pos="709" w:leader="none"/>
        </w:tabs>
        <w:bidi w:val="0"/>
        <w:ind w:hanging="283" w:left="709" w:right="0"/>
        <w:rPr/>
      </w:pPr>
      <w:r>
        <w:rPr/>
        <w:t xml:space="preserve">Multa compensatória equivalente a </w:t>
      </w:r>
      <w:r>
        <w:rPr>
          <w:b/>
        </w:rPr>
        <w:t>1 (uma) mensalidade</w:t>
      </w:r>
      <w:r>
        <w:rPr/>
        <w:t xml:space="preserve"> vigente, caso a rescisão ocorra após 6 (seis) meses e antes do término do prazo de vigência. </w:t>
      </w:r>
    </w:p>
    <w:p>
      <w:pPr>
        <w:pStyle w:val="BodyText"/>
        <w:bidi w:val="0"/>
        <w:ind w:hanging="0" w:left="0" w:right="0"/>
        <w:rPr/>
      </w:pPr>
      <w:r>
        <w:rPr/>
        <w:t xml:space="preserve">13.3. </w:t>
      </w:r>
      <w:r>
        <w:rPr>
          <w:b/>
        </w:rPr>
        <w:t>Rescisão sem justa causa pela CONTRATADA:</w:t>
      </w:r>
      <w:r>
        <w:rPr/>
        <w:t xml:space="preserve"> a CONTRATADA poderá rescindir o contrato a qualquer tempo, mediante notificação escrita com antecedência mínima de 60 (sessenta) dias, sem ônus adicionais além do reembolso proporcional de eventual mensalidade paga antecipadamente.</w:t>
      </w:r>
    </w:p>
    <w:p>
      <w:pPr>
        <w:pStyle w:val="BodyText"/>
        <w:bidi w:val="0"/>
        <w:rPr/>
      </w:pPr>
      <w:r>
        <w:rPr/>
        <w:t>13.4. Rescindido o contrato por qualquer motivo, a CONTRATADA entregará à CONTRATANTE os documentos previstos no item 9.3 e não terá obrigação de continuar prestando os serviços após a data de encerramento, salvo acordo escrito em contrário.</w:t>
      </w:r>
    </w:p>
    <w:p>
      <w:pPr>
        <w:pStyle w:val="Heading2clausula"/>
        <w:bidi w:val="0"/>
        <w:jc w:val="left"/>
        <w:rPr/>
      </w:pPr>
      <w:r>
        <w:rPr/>
        <w:t>Cláusula 14 — Foro</w:t>
      </w:r>
    </w:p>
    <w:p>
      <w:pPr>
        <w:pStyle w:val="BodyText"/>
        <w:bidi w:val="0"/>
        <w:ind w:hanging="0" w:left="0" w:right="0"/>
        <w:rPr/>
      </w:pPr>
      <w:r>
        <w:rPr/>
        <w:t xml:space="preserve">14.1. As Partes elegem o foro da </w:t>
      </w:r>
      <w:r>
        <w:rPr>
          <w:b/>
        </w:rPr>
        <w:t>Comarca de Osasco, Estado de São Paulo</w:t>
      </w:r>
      <w:r>
        <w:rPr/>
        <w:t>, com exclusão de qualquer outro, por mais privilegiado que seja, para dirimir quaisquer controvérsias oriundas do presente contrato.</w:t>
      </w:r>
    </w:p>
    <w:p>
      <w:pPr>
        <w:pStyle w:val="BodyText"/>
        <w:bidi w:val="0"/>
        <w:ind w:hanging="0" w:left="0" w:right="0"/>
        <w:rPr/>
      </w:pPr>
      <w:r>
        <w:rPr/>
        <w:t xml:space="preserve">14.2. Antes de qualquer medida judicial, as Partes comprometem-se a tentar resolver a controvérsia por meio de negociação direta por um prazo de até </w:t>
      </w:r>
      <w:r>
        <w:rPr>
          <w:b/>
        </w:rPr>
        <w:t>15 (quinze) dias corridos</w:t>
      </w:r>
      <w:r>
        <w:rPr/>
        <w:t xml:space="preserve"> a contar da notificação formal de uma Parte à outra.</w:t>
      </w:r>
    </w:p>
    <w:p>
      <w:pPr>
        <w:pStyle w:val="Heading2clausula"/>
        <w:bidi w:val="0"/>
        <w:jc w:val="left"/>
        <w:rPr/>
      </w:pPr>
      <w:r>
        <w:rPr/>
        <w:t>Disposições Gerais</w:t>
      </w:r>
    </w:p>
    <w:p>
      <w:pPr>
        <w:pStyle w:val="BodyText"/>
        <w:bidi w:val="0"/>
        <w:rPr/>
      </w:pPr>
      <w:r>
        <w:rPr/>
        <w:t>Este instrumento representa o acordo integral entre as Partes sobre a matéria aqui tratada, prevalecendo sobre quaisquer negociações anteriores, propostas, e-mails ou documentos não formalmente incorporados como anexo. Qualquer alteração ao presente contrato deverá ser feita por escrito e assinada por representantes autorizados de ambas as Partes. A tolerância de qualquer das Partes quanto ao descumprimento de obrigações pela outra não constituirá novação ou renúncia de direitos, podendo o direito ser exercido a qualquer tempo.</w:t>
      </w:r>
    </w:p>
    <w:p>
      <w:pPr>
        <w:pStyle w:val="BodyText"/>
        <w:bidi w:val="0"/>
        <w:spacing w:before="600" w:after="150"/>
        <w:ind w:hanging="0" w:left="0" w:right="0"/>
        <w:jc w:val="center"/>
        <w:rPr/>
      </w:pPr>
      <w:r>
        <w:rPr/>
        <w:t>Osasco/SP, _____ de ________________ de 2026.</w:t>
      </w:r>
    </w:p>
    <w:p>
      <w:pPr>
        <w:pStyle w:val="BodyText"/>
        <w:keepLines/>
        <w:bidi w:val="0"/>
        <w:spacing w:before="750" w:after="150"/>
        <w:ind w:hanging="0" w:left="0" w:right="0"/>
        <w:rPr/>
      </w:pPr>
      <w:r>
        <w:rPr>
          <w:rStyle w:val="Strong"/>
          <w:sz w:val="20"/>
          <w:bdr w:val="single" w:sz="2" w:space="5" w:color="000000"/>
        </w:rPr>
        <w:t>CONTRATANTE</w:t>
      </w:r>
      <w:r>
        <w:rPr>
          <w:sz w:val="20"/>
          <w:bdr w:val="single" w:sz="2" w:space="5" w:color="000000"/>
        </w:rPr>
        <w:br/>
        <w:t>Medicina Cursos</w:t>
        <w:br/>
        <w:t>CNPJ: [CNPJ DA CONTRATANTE]</w:t>
        <w:br/>
        <w:t>Nome: ________________________________</w:t>
        <w:br/>
        <w:t xml:space="preserve">Cargo: ________________________________ </w:t>
      </w:r>
    </w:p>
    <w:p>
      <w:pPr>
        <w:pStyle w:val="BodyText"/>
        <w:keepLines/>
        <w:bidi w:val="0"/>
        <w:spacing w:before="750" w:after="150"/>
        <w:ind w:hanging="0" w:left="0" w:right="0"/>
        <w:rPr/>
      </w:pPr>
      <w:r>
        <w:rPr>
          <w:rStyle w:val="Strong"/>
          <w:sz w:val="20"/>
          <w:bdr w:val="single" w:sz="2" w:space="5" w:color="000000"/>
        </w:rPr>
        <w:t>CONTRATADA</w:t>
      </w:r>
      <w:r>
        <w:rPr>
          <w:sz w:val="20"/>
          <w:bdr w:val="single" w:sz="2" w:space="5" w:color="000000"/>
        </w:rPr>
        <w:br/>
        <w:t>Tudo Mudou Marketing e Consultoria LTDA</w:t>
        <w:br/>
        <w:t>CNPJ: 40.790.711/0001-21</w:t>
        <w:br/>
        <w:t>Nome: ________________________________</w:t>
        <w:br/>
        <w:t xml:space="preserve">Cargo: ________________________________ </w:t>
      </w:r>
    </w:p>
    <w:p>
      <w:pPr>
        <w:pStyle w:val="BodyText"/>
        <w:keepLines/>
        <w:bidi w:val="0"/>
        <w:spacing w:before="750" w:after="150"/>
        <w:ind w:hanging="0" w:left="0" w:right="0"/>
        <w:rPr/>
      </w:pPr>
      <w:r>
        <w:rPr>
          <w:rStyle w:val="Strong"/>
        </w:rPr>
        <w:t>Testemunhas:</w:t>
      </w:r>
    </w:p>
    <w:p>
      <w:pPr>
        <w:pStyle w:val="BodyText"/>
        <w:keepLines/>
        <w:bidi w:val="0"/>
        <w:spacing w:before="750" w:after="150"/>
        <w:ind w:hanging="0" w:left="0" w:right="0"/>
        <w:rPr>
          <w:sz w:val="20"/>
          <w:bdr w:val="single" w:sz="2" w:space="5" w:color="000000"/>
        </w:rPr>
      </w:pPr>
      <w:r>
        <w:rPr>
          <w:sz w:val="20"/>
          <w:bdr w:val="single" w:sz="2" w:space="5" w:color="000000"/>
        </w:rPr>
        <w:t>1. Nome: ________________________________</w:t>
        <w:br/>
        <w:t xml:space="preserve">CPF: ________________________________ </w:t>
      </w:r>
    </w:p>
    <w:p>
      <w:pPr>
        <w:pStyle w:val="BodyText"/>
        <w:keepLines/>
        <w:bidi w:val="0"/>
        <w:spacing w:before="750" w:after="150"/>
        <w:ind w:hanging="0" w:left="0" w:right="0"/>
        <w:rPr>
          <w:sz w:val="20"/>
          <w:bdr w:val="single" w:sz="2" w:space="5" w:color="000000"/>
        </w:rPr>
      </w:pPr>
      <w:r>
        <w:rPr>
          <w:sz w:val="20"/>
          <w:bdr w:val="single" w:sz="2" w:space="5" w:color="000000"/>
        </w:rPr>
        <w:t>2. Nome: ________________________________</w:t>
        <w:br/>
        <w:t xml:space="preserve">CPF: ________________________________ </w:t>
      </w:r>
    </w:p>
    <w:p>
      <w:pPr>
        <w:pStyle w:val="BodyText"/>
        <w:bidi w:val="0"/>
        <w:spacing w:before="900" w:after="150"/>
        <w:ind w:hanging="0" w:left="0" w:right="0"/>
        <w:jc w:val="center"/>
        <w:rPr>
          <w:color w:val="333333"/>
          <w:sz w:val="18"/>
          <w:bdr w:val="single" w:sz="2" w:space="6" w:color="000000"/>
        </w:rPr>
      </w:pPr>
      <w:r>
        <w:rPr>
          <w:color w:val="333333"/>
          <w:sz w:val="18"/>
          <w:bdr w:val="single" w:sz="2" w:space="6" w:color="000000"/>
        </w:rPr>
        <w:t xml:space="preserve">Proposta 003/2026  |  Medicina Cursos × Tudo Mudou Marketing e Consultoria LTDA  |  CNPJ Contratada: 40.790.711/0001-21 </w:t>
      </w:r>
    </w:p>
    <w:sectPr>
      <w:type w:val="nextPage"/>
      <w:pgSz w:w="11906" w:h="16838"/>
      <w:pgMar w:left="1134" w:right="567" w:gutter="0" w:header="0" w:top="567" w:footer="0" w:bottom="567"/>
      <w:pgNumType w:fmt="decimal"/>
      <w:formProt w:val="false"/>
      <w:textDirection w:val="lrTb"/>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rial">
    <w:altName w:val="Helvetica"/>
    <w:charset w:val="00"/>
    <w:family w:val="auto"/>
    <w:pitch w:val="default"/>
  </w:font>
  <w:font w:name="Noto Sans">
    <w:charset w:val="00"/>
    <w:family w:val="auto"/>
    <w:pitch w:val="variable"/>
  </w:font>
  <w:font w:name="OpenSymbol">
    <w:altName w:val="Arial Unicode MS"/>
    <w:charset w:val="02"/>
    <w:family w:val="auto"/>
    <w:pitch w:val="default"/>
  </w:font>
  <w:font w:name="Liberation Sans">
    <w:altName w:val="Arial"/>
    <w:charset w:val="00"/>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lowerLetter"/>
      <w:lvlText w:val="%1."/>
      <w:lvlJc w:val="left"/>
      <w:pPr>
        <w:tabs>
          <w:tab w:val="num" w:pos="709"/>
        </w:tabs>
        <w:ind w:left="709" w:hanging="283"/>
      </w:pPr>
      <w:rPr/>
    </w:lvl>
    <w:lvl w:ilvl="1">
      <w:start w:val="1"/>
      <w:numFmt w:val="lowerLetter"/>
      <w:lvlText w:val="%2."/>
      <w:lvlJc w:val="left"/>
      <w:pPr>
        <w:tabs>
          <w:tab w:val="num" w:pos="1418"/>
        </w:tabs>
        <w:ind w:left="1418" w:hanging="283"/>
      </w:pPr>
      <w:rPr/>
    </w:lvl>
    <w:lvl w:ilvl="2">
      <w:start w:val="1"/>
      <w:numFmt w:val="lowerLetter"/>
      <w:lvlText w:val="%3."/>
      <w:lvlJc w:val="left"/>
      <w:pPr>
        <w:tabs>
          <w:tab w:val="num" w:pos="2127"/>
        </w:tabs>
        <w:ind w:left="2127" w:hanging="283"/>
      </w:pPr>
      <w:rPr/>
    </w:lvl>
    <w:lvl w:ilvl="3">
      <w:start w:val="1"/>
      <w:numFmt w:val="lowerLetter"/>
      <w:lvlText w:val="%4."/>
      <w:lvlJc w:val="left"/>
      <w:pPr>
        <w:tabs>
          <w:tab w:val="num" w:pos="2836"/>
        </w:tabs>
        <w:ind w:left="2836" w:hanging="283"/>
      </w:pPr>
      <w:rPr/>
    </w:lvl>
    <w:lvl w:ilvl="4">
      <w:start w:val="1"/>
      <w:numFmt w:val="lowerLetter"/>
      <w:lvlText w:val="%5."/>
      <w:lvlJc w:val="left"/>
      <w:pPr>
        <w:tabs>
          <w:tab w:val="num" w:pos="3545"/>
        </w:tabs>
        <w:ind w:left="3545" w:hanging="283"/>
      </w:pPr>
      <w:rPr/>
    </w:lvl>
    <w:lvl w:ilvl="5">
      <w:start w:val="1"/>
      <w:numFmt w:val="lowerLetter"/>
      <w:lvlText w:val="%6."/>
      <w:lvlJc w:val="left"/>
      <w:pPr>
        <w:tabs>
          <w:tab w:val="num" w:pos="4254"/>
        </w:tabs>
        <w:ind w:left="4254" w:hanging="283"/>
      </w:pPr>
      <w:rPr/>
    </w:lvl>
    <w:lvl w:ilvl="6">
      <w:start w:val="1"/>
      <w:numFmt w:val="lowerLetter"/>
      <w:lvlText w:val="%7."/>
      <w:lvlJc w:val="left"/>
      <w:pPr>
        <w:tabs>
          <w:tab w:val="num" w:pos="4963"/>
        </w:tabs>
        <w:ind w:left="4963" w:hanging="283"/>
      </w:pPr>
      <w:rPr/>
    </w:lvl>
    <w:lvl w:ilvl="7">
      <w:start w:val="1"/>
      <w:numFmt w:val="lowerLetter"/>
      <w:lvlText w:val="%8."/>
      <w:lvlJc w:val="left"/>
      <w:pPr>
        <w:tabs>
          <w:tab w:val="num" w:pos="5672"/>
        </w:tabs>
        <w:ind w:left="5672" w:hanging="283"/>
      </w:pPr>
      <w:rPr/>
    </w:lvl>
    <w:lvl w:ilvl="8">
      <w:start w:val="1"/>
      <w:numFmt w:val="lowerLetter"/>
      <w:lvlText w:val="%9."/>
      <w:lvlJc w:val="left"/>
      <w:pPr>
        <w:tabs>
          <w:tab w:val="num" w:pos="6381"/>
        </w:tabs>
        <w:ind w:left="6381" w:hanging="283"/>
      </w:pPr>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lowerLetter"/>
      <w:lvlText w:val="%1."/>
      <w:lvlJc w:val="left"/>
      <w:pPr>
        <w:tabs>
          <w:tab w:val="num" w:pos="709"/>
        </w:tabs>
        <w:ind w:left="709" w:hanging="283"/>
      </w:pPr>
      <w:rPr/>
    </w:lvl>
    <w:lvl w:ilvl="1">
      <w:start w:val="1"/>
      <w:numFmt w:val="lowerLetter"/>
      <w:lvlText w:val="%2."/>
      <w:lvlJc w:val="left"/>
      <w:pPr>
        <w:tabs>
          <w:tab w:val="num" w:pos="1418"/>
        </w:tabs>
        <w:ind w:left="1418" w:hanging="283"/>
      </w:pPr>
      <w:rPr/>
    </w:lvl>
    <w:lvl w:ilvl="2">
      <w:start w:val="1"/>
      <w:numFmt w:val="lowerLetter"/>
      <w:lvlText w:val="%3."/>
      <w:lvlJc w:val="left"/>
      <w:pPr>
        <w:tabs>
          <w:tab w:val="num" w:pos="2127"/>
        </w:tabs>
        <w:ind w:left="2127" w:hanging="283"/>
      </w:pPr>
      <w:rPr/>
    </w:lvl>
    <w:lvl w:ilvl="3">
      <w:start w:val="1"/>
      <w:numFmt w:val="lowerLetter"/>
      <w:lvlText w:val="%4."/>
      <w:lvlJc w:val="left"/>
      <w:pPr>
        <w:tabs>
          <w:tab w:val="num" w:pos="2836"/>
        </w:tabs>
        <w:ind w:left="2836" w:hanging="283"/>
      </w:pPr>
      <w:rPr/>
    </w:lvl>
    <w:lvl w:ilvl="4">
      <w:start w:val="1"/>
      <w:numFmt w:val="lowerLetter"/>
      <w:lvlText w:val="%5."/>
      <w:lvlJc w:val="left"/>
      <w:pPr>
        <w:tabs>
          <w:tab w:val="num" w:pos="3545"/>
        </w:tabs>
        <w:ind w:left="3545" w:hanging="283"/>
      </w:pPr>
      <w:rPr/>
    </w:lvl>
    <w:lvl w:ilvl="5">
      <w:start w:val="1"/>
      <w:numFmt w:val="lowerLetter"/>
      <w:lvlText w:val="%6."/>
      <w:lvlJc w:val="left"/>
      <w:pPr>
        <w:tabs>
          <w:tab w:val="num" w:pos="4254"/>
        </w:tabs>
        <w:ind w:left="4254" w:hanging="283"/>
      </w:pPr>
      <w:rPr/>
    </w:lvl>
    <w:lvl w:ilvl="6">
      <w:start w:val="1"/>
      <w:numFmt w:val="lowerLetter"/>
      <w:lvlText w:val="%7."/>
      <w:lvlJc w:val="left"/>
      <w:pPr>
        <w:tabs>
          <w:tab w:val="num" w:pos="4963"/>
        </w:tabs>
        <w:ind w:left="4963" w:hanging="283"/>
      </w:pPr>
      <w:rPr/>
    </w:lvl>
    <w:lvl w:ilvl="7">
      <w:start w:val="1"/>
      <w:numFmt w:val="lowerLetter"/>
      <w:lvlText w:val="%8."/>
      <w:lvlJc w:val="left"/>
      <w:pPr>
        <w:tabs>
          <w:tab w:val="num" w:pos="5672"/>
        </w:tabs>
        <w:ind w:left="5672" w:hanging="283"/>
      </w:pPr>
      <w:rPr/>
    </w:lvl>
    <w:lvl w:ilvl="8">
      <w:start w:val="1"/>
      <w:numFmt w:val="lowerLetter"/>
      <w:lvlText w:val="%9."/>
      <w:lvlJc w:val="left"/>
      <w:pPr>
        <w:tabs>
          <w:tab w:val="num" w:pos="6381"/>
        </w:tabs>
        <w:ind w:left="6381" w:hanging="283"/>
      </w:pPr>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none"/>
      <w:suff w:val="nothing"/>
      <w:lvlText w:val="%1"/>
      <w:lvlJc w:val="left"/>
      <w:pPr>
        <w:tabs>
          <w:tab w:val="num" w:pos="0"/>
        </w:tabs>
        <w:ind w:left="0" w:hanging="0"/>
      </w:pPr>
    </w:lvl>
    <w:lvl w:ilvl="1">
      <w:start w:val="1"/>
      <w:pStyle w:val="Heading2"/>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view w:val="web"/>
  <w:zoom w:percent="100"/>
  <w:defaultTabStop w:val="1134"/>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WenQuanYi Zen Hei" w:cs="FreeSans"/>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84"/>
    </w:pPr>
    <w:rPr>
      <w:rFonts w:ascii="Arial;Helvetica;sans-serif" w:hAnsi="Arial;Helvetica;sans-serif" w:eastAsia="Arial;Helvetica;sans-serif" w:cs="Arial;Helvetica;sans-serif"/>
      <w:color w:val="000000"/>
      <w:sz w:val="22"/>
      <w:szCs w:val="22"/>
      <w:lang w:val="en-US" w:eastAsia="zh-CN" w:bidi="hi-IN"/>
    </w:rPr>
  </w:style>
  <w:style w:type="paragraph" w:styleId="Heading1">
    <w:name w:val="Heading 1"/>
    <w:basedOn w:val="Heading"/>
    <w:next w:val="BodyText"/>
    <w:qFormat/>
    <w:pPr/>
    <w:rPr>
      <w:rFonts w:ascii="Noto Sans" w:hAnsi="Noto Sans"/>
      <w:b/>
      <w:bCs/>
      <w:sz w:val="48"/>
      <w:szCs w:val="44"/>
    </w:rPr>
  </w:style>
  <w:style w:type="paragraph" w:styleId="Heading2">
    <w:name w:val="Heading 2"/>
    <w:basedOn w:val="Heading"/>
    <w:next w:val="BodyText"/>
    <w:qFormat/>
    <w:pPr>
      <w:spacing w:before="200" w:after="120"/>
      <w:outlineLvl w:val="1"/>
    </w:pPr>
    <w:rPr>
      <w:rFonts w:ascii="Liberation Serif" w:hAnsi="Liberation Serif" w:eastAsia="WenQuanYi Zen Hei" w:cs="FreeSans"/>
      <w:b/>
      <w:bCs/>
      <w:sz w:val="36"/>
      <w:szCs w:val="36"/>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NumberingSymbols">
    <w:name w:val="Numbering Symbols"/>
    <w:qFormat/>
    <w:rPr/>
  </w:style>
  <w:style w:type="character" w:styleId="Bullets">
    <w:name w:val="Bullets"/>
    <w:qFormat/>
    <w:rPr>
      <w:rFonts w:ascii="OpenSymbol" w:hAnsi="OpenSymbol" w:eastAsia="OpenSymbol" w:cs="OpenSymbol"/>
    </w:rPr>
  </w:style>
  <w:style w:type="character" w:styleId="Strong">
    <w:name w:val="Strong"/>
    <w:qFormat/>
    <w:rPr>
      <w:b/>
      <w:bCs/>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tyle>
  <w:style w:type="paragraph" w:styleId="Footer">
    <w:name w:val="Footer"/>
    <w:basedOn w:val="Normal"/>
    <w:pPr>
      <w:suppressLineNumbers/>
      <w:tabs>
        <w:tab w:val="clear" w:pos="1134"/>
        <w:tab w:val="center" w:pos="4818" w:leader="none"/>
        <w:tab w:val="right" w:pos="9637" w:leader="none"/>
      </w:tabs>
    </w:pPr>
    <w:rPr/>
  </w:style>
  <w:style w:type="paragraph" w:styleId="Header">
    <w:name w:val="Header"/>
    <w:basedOn w:val="Normal"/>
    <w:pPr>
      <w:suppressLineNumbers/>
      <w:tabs>
        <w:tab w:val="clear" w:pos="1134"/>
        <w:tab w:val="center" w:pos="4818" w:leader="none"/>
        <w:tab w:val="right" w:pos="9637" w:leader="none"/>
      </w:tabs>
    </w:pPr>
    <w:rPr/>
  </w:style>
  <w:style w:type="paragraph" w:styleId="HeaderandFooter">
    <w:name w:val="Header and Footer"/>
    <w:basedOn w:val="Normal"/>
    <w:qFormat/>
    <w:pPr>
      <w:suppressLineNumbers/>
      <w:tabs>
        <w:tab w:val="clear" w:pos="1134"/>
        <w:tab w:val="center" w:pos="4819" w:leader="none"/>
        <w:tab w:val="right" w:pos="9638" w:leader="none"/>
      </w:tabs>
    </w:pPr>
    <w:rPr/>
  </w:style>
  <w:style w:type="paragraph" w:styleId="Index">
    <w:name w:val="Index"/>
    <w:basedOn w:val="Normal"/>
    <w:qFormat/>
    <w:pPr>
      <w:suppressLineNumbers/>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List">
    <w:name w:val="List"/>
    <w:basedOn w:val="BodyText"/>
    <w:pPr/>
    <w:rPr>
      <w:rFonts w:cs="FreeSans"/>
    </w:rPr>
  </w:style>
  <w:style w:type="paragraph" w:styleId="BodyText">
    <w:name w:val="Body Text"/>
    <w:basedOn w:val="Normal"/>
    <w:pPr>
      <w:spacing w:before="90" w:after="150"/>
      <w:ind w:left="90" w:right="90"/>
      <w:jc w:val="both"/>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Heading1titulo-principal">
    <w:name w:val="Heading 1.titulo-principal"/>
    <w:basedOn w:val="Heading1"/>
    <w:qFormat/>
    <w:pPr>
      <w:spacing w:before="240" w:after="90"/>
      <w:jc w:val="center"/>
    </w:pPr>
    <w:rPr>
      <w:caps/>
      <w:spacing w:val="0"/>
      <w:sz w:val="26"/>
      <w:szCs w:val="26"/>
    </w:rPr>
  </w:style>
  <w:style w:type="paragraph" w:styleId="Heading1subtitulo">
    <w:name w:val="Heading 1.subtitulo"/>
    <w:basedOn w:val="Heading1"/>
    <w:qFormat/>
    <w:pPr>
      <w:spacing w:before="240" w:after="60"/>
      <w:jc w:val="center"/>
    </w:pPr>
    <w:rPr>
      <w:b w:val="false"/>
      <w:bCs w:val="false"/>
      <w:sz w:val="22"/>
      <w:szCs w:val="22"/>
    </w:rPr>
  </w:style>
  <w:style w:type="paragraph" w:styleId="Heading2clausula">
    <w:name w:val="Heading 2.clausula"/>
    <w:basedOn w:val="Heading2"/>
    <w:qFormat/>
    <w:pPr>
      <w:keepNext w:val="true"/>
      <w:spacing w:before="420" w:after="120"/>
      <w:ind w:hanging="0" w:left="0"/>
      <w:outlineLvl w:val="9"/>
    </w:pPr>
    <w:rPr>
      <w:caps/>
      <w:sz w:val="22"/>
      <w:szCs w:val="22"/>
    </w:rPr>
  </w:style>
  <w:style w:type="paragraph" w:styleId="BodyTextref-line">
    <w:name w:val="Body Text.ref-line"/>
    <w:basedOn w:val="BodyText"/>
    <w:qFormat/>
    <w:pPr>
      <w:spacing w:before="90" w:after="450"/>
      <w:jc w:val="center"/>
    </w:pPr>
    <w:rPr>
      <w:color w:val="333333"/>
      <w:sz w:val="20"/>
      <w:szCs w:val="20"/>
    </w:rPr>
  </w:style>
  <w:style w:type="paragraph" w:styleId="BodyTextparte-titulo">
    <w:name w:val="Body Text.parte-titulo"/>
    <w:basedOn w:val="BodyText"/>
    <w:qFormat/>
    <w:pPr>
      <w:spacing w:before="210" w:after="60"/>
    </w:pPr>
    <w:rPr>
      <w:b/>
      <w:bCs/>
      <w:caps/>
      <w:sz w:val="21"/>
      <w:szCs w:val="21"/>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Contrato de Prestação de Serviços — Medicina Cursos × Tudo Mudou!</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3" name="viewport">
    <vt:lpwstr>width=device-width, initial-scale=1.0</vt:lpwstr>
  </property>
</Properties>
</file>