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🧾2.</w:t>
      </w:r>
      <w:r w:rsidDel="00000000" w:rsidR="00000000" w:rsidRPr="00000000">
        <w:rPr>
          <w:sz w:val="20"/>
          <w:szCs w:val="20"/>
          <w:rtl w:val="0"/>
        </w:rPr>
        <w:t xml:space="preserve"> Guia Magistral Pharmo Pet Premium – Linha Antifúngica Oral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guia reúne formulações magistrais exclusivas da linha antifúngica oral, desenvolvidas com base científica e tecnologia farmacotécnica avançada, garantindo eficácia terapêutica, segurança gastrointestinal, melhor absorção e adesão prolongada ao tratamento antifúngico em cães e gatos.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2.1 Suspensão – Griseofulvina + Complexo Pharmo Pet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Suspensão oral palatável</w:t>
        <w:br w:type="textWrapping"/>
        <w:t xml:space="preserve">Indicação: Tratamento de infecções fúngicas em cães e gatos causadas por fungos dermatófitos (Microsporum spp., Trichophyton spp., Epidermophyton spp.).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Formulação exclusiva com o Complexo Pharmo Pet (Tributirina microencapsulada, FOS e zinco quelado), que proporciona proteção da mucosa intestinal, melhora da absorção da griseofulvina e suporte hepático durante o uso prolongado.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  <w:br w:type="textWrapping"/>
        <w:t xml:space="preserve">• Griseofulvina micronizada ......................................... 25 mg/kg/dose</w:t>
        <w:br w:type="textWrapping"/>
        <w:t xml:space="preserve">• Complexo Pharmo Pet</w:t>
        <w:br w:type="textWrapping"/>
        <w:t xml:space="preserve"> – Tributirina microencapsulada ...................... 10 mg/kg</w:t>
        <w:br w:type="textWrapping"/>
        <w:t xml:space="preserve"> – FOS ............................................................ 50 mg/kg</w:t>
        <w:br w:type="textWrapping"/>
        <w:t xml:space="preserve"> – Zinco quelado ............................................... 0,3 mg/kg</w:t>
        <w:br w:type="textWrapping"/>
        <w:t xml:space="preserve">• Suspensão oral palatável q.s.p. ................................. 60 mL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a cada 12 ou 24 horas, durante 6 semanas.</w:t>
        <w:br w:type="textWrapping"/>
        <w:t xml:space="preserve">Observações: A griseofulvina é teratogênica; evitar em fêmeas gestantes. Agitar antes de usar.</w:t>
        <w:br w:type="textWrapping"/>
        <w:t xml:space="preserve">Linha exclusiva: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Pharmo Pet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 Cápsulas – Cetoconazol + Complexo Hepato Pharmo Pet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Cápsulas gelatinosas duras</w:t>
        <w:br w:type="textWrapping"/>
        <w:t xml:space="preserve">Indicação: Tratamento de infecções fúngicas superficiais e cutâneas em cães e gatos, incluindo dermatites por Malassezia, dermatofitoses e candidíase cutânea ou de mucosas.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Enriquecida com o Complexo Hepato Pharmo Pet (Silimarina, colina e vitamina E), que oferece proteção hepática, melhor tolerabilidade gastrointestinal e ação antioxidante, minimizando efeitos adversos associados ao cetoconazol.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  <w:br w:type="textWrapping"/>
        <w:t xml:space="preserve">• Cetoconazol .............................................................. 10 mg/kg/cápsula</w:t>
        <w:br w:type="textWrapping"/>
        <w:t xml:space="preserve">• Complexo Hepato Pharmo Pet</w:t>
        <w:br w:type="textWrapping"/>
        <w:t xml:space="preserve"> – Silimarina ................................................. 20 mg/kg</w:t>
        <w:br w:type="textWrapping"/>
        <w:t xml:space="preserve"> – Colina bitartarato ..................................... 10 mg/kg</w:t>
        <w:br w:type="textWrapping"/>
        <w:t xml:space="preserve"> – Vitamina E ................................................. 5 mg/kg</w:t>
        <w:br w:type="textWrapping"/>
        <w:t xml:space="preserve">• Excipiente q.s.p. ........................................................ 30 cápsulas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cápsula a cada 24 horas, por via oral.</w:t>
        <w:br w:type="textWrapping"/>
        <w:t xml:space="preserve">Observações: Recomenda-se administrar após refeição para otimizar absorção.</w:t>
        <w:br w:type="textWrapping"/>
        <w:t xml:space="preserve">Linha exclusiva: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Pharmo Pet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2.3 Cápsulas – Itraconazol + Complexo Absorvet Pharmo Pet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Cápsulas de dispersão controlada</w:t>
        <w:br w:type="textWrapping"/>
        <w:t xml:space="preserve">Indicação: Tratamento de infecções fúngicas profundas em cães e gatos, sendo de primeira escolha para aspergilose, blastomicose e histoplasmose.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Formulação com o Complexo Absorvet Pharmo Pet (Fosfolipídios vegetais + óleo MCT + β-glucanas), que aumenta a biodisponibilidade oral e reduz o desconforto digestivo associado ao itraconazol.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  <w:br w:type="textWrapping"/>
        <w:t xml:space="preserve">• Itraconazol ............................................................. 5–10 mg/kg/cápsula</w:t>
        <w:br w:type="textWrapping"/>
        <w:t xml:space="preserve">• Complexo Absorvet Pharmo Pet</w:t>
        <w:br w:type="textWrapping"/>
        <w:t xml:space="preserve"> – Fosfolipídios vegetais ........................... 10 mg/kg</w:t>
        <w:br w:type="textWrapping"/>
        <w:t xml:space="preserve"> – Óleo MCT ................................................. 10 mg/kg</w:t>
        <w:br w:type="textWrapping"/>
        <w:t xml:space="preserve"> – β-glucana ................................................... 5 mg/kg</w:t>
        <w:br w:type="textWrapping"/>
        <w:t xml:space="preserve">• Excipiente q.s.p. ...................................................... 30 cápsulas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cápsula ao dia, por via oral.</w:t>
        <w:br w:type="textWrapping"/>
        <w:t xml:space="preserve">Observações: Utilizar com alimento gorduroso para melhor absorção.</w:t>
        <w:br w:type="textWrapping"/>
        <w:t xml:space="preserve">Linha exclusiva: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Pharmo Pet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2.4 Pasta Oral Feline – Itraconazol + Iodeto de Potássio + Complexo Dermaprotectvet Pharmo Pet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Pasta oral palatável</w:t>
        <w:br w:type="textWrapping"/>
        <w:t xml:space="preserve">Indicação: Tratamento da esporotricose felina, proporcionando ação antifúngica e cicatrizante sinérgica.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Contém o Complexo Dermaprotectvet Pharmo Pet (Zinco quelado, taurina e vitamina C), que auxilia na reparação tecidual, resposta imune e tolerância terapêutica durante o tratamento prolongado.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  <w:br w:type="textWrapping"/>
        <w:t xml:space="preserve">• Itraconazol ....................................................... 5–10 mg/kg/dose</w:t>
        <w:br w:type="textWrapping"/>
        <w:t xml:space="preserve">• Iodeto de potássio ....................................... 2,5–20 mg/kg/dose</w:t>
        <w:br w:type="textWrapping"/>
        <w:t xml:space="preserve">• Complexo Dermaprotectvet Pharmo Pet</w:t>
        <w:br w:type="textWrapping"/>
        <w:t xml:space="preserve"> – Zinco quelado ........................................ 0,3 mg/kg</w:t>
        <w:br w:type="textWrapping"/>
        <w:t xml:space="preserve"> – Taurina .................................................. 250 mg/kg</w:t>
        <w:br w:type="textWrapping"/>
        <w:t xml:space="preserve"> – Vitamina C ............................................ 25 mg/kg</w:t>
        <w:br w:type="textWrapping"/>
        <w:t xml:space="preserve">• Pasta oral palatável q.s.p. ..................................... 30 doses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a cada 24 horas, por via oral.</w:t>
        <w:br w:type="textWrapping"/>
        <w:t xml:space="preserve">Observações: Evitar uso concomitante com fármacos nefrotóxicos.</w:t>
        <w:br w:type="textWrapping"/>
        <w:t xml:space="preserve">Linha exclusiva: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Pharmo Pet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2.5 Suspensão – Terbinafina + Complexo Biolipidvet Pharmo Pet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Suspensão oral palatável</w:t>
        <w:br w:type="textWrapping"/>
        <w:t xml:space="preserve">Indicação: Tratamento de infecções fúngicas superficiais e sistêmicas em cães e gatos, inclusive dermatofitoses resistentes.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Associação com o Complexo Biolipidvet Pharmo Pet (óleos MCT e linhaça + FOS), que favorece absorção intestinal, suporte à microbiota e atividade sinérgica antifúngica.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  <w:br w:type="textWrapping"/>
        <w:t xml:space="preserve">• Terbinafina ........................................................... 30 mg/kg/dose</w:t>
        <w:br w:type="textWrapping"/>
        <w:t xml:space="preserve">• Complexo Biolipidvet Pharmo Pet</w:t>
        <w:br w:type="textWrapping"/>
        <w:t xml:space="preserve"> – Óleo MCT ................................................ 10 mg/kg</w:t>
        <w:br w:type="textWrapping"/>
        <w:t xml:space="preserve"> – Óleo de linhaça ......................................... 10 mg/kg</w:t>
        <w:br w:type="textWrapping"/>
        <w:t xml:space="preserve"> – FOS ............................................................ 50 mg/kg</w:t>
        <w:br w:type="textWrapping"/>
        <w:t xml:space="preserve">• Suspensão oral palatável q.s.p. ............................. 100 mL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ao dia, durante 4 a 6 semanas.</w:t>
        <w:br w:type="textWrapping"/>
        <w:t xml:space="preserve">Observações: Agitar antes de usar. Armazenar sob refrigeração (2–8 °C).</w:t>
        <w:br w:type="textWrapping"/>
        <w:t xml:space="preserve">Linha exclusiva: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Terbivet® – Linha MycoCare Pharmo Pet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2.6 Sachês – Lufenuron + Complexo ImmuneBalancevet Pharmo Pet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Sachê oral palatável</w:t>
        <w:br w:type="textWrapping"/>
        <w:t xml:space="preserve">Indicação: Tratamento auxiliar e preventivo da dermatofitose em cães e gatos.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Associação com o Complexo ImmuneBalancevet Pharmo Pet (β-glucanas, FOS e nucleotídeos), que promove modulação imune, recuperação da barreira cutânea e ação fungistática prolongada.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  <w:br w:type="textWrapping"/>
        <w:t xml:space="preserve">• Lufenuron .......................................................... 100 mg/kg/sachê</w:t>
        <w:br w:type="textWrapping"/>
        <w:t xml:space="preserve">• Complexo ImmuneBalancevet ImmuneBalance Pharmo Pet</w:t>
        <w:br w:type="textWrapping"/>
        <w:t xml:space="preserve"> – β-glucanas ................................................. 5 mg/kg</w:t>
        <w:br w:type="textWrapping"/>
        <w:t xml:space="preserve"> – FOS ............................................................ 50 mg/kg</w:t>
        <w:br w:type="textWrapping"/>
        <w:t xml:space="preserve"> – Nucleotídeos .............................................. 2 mg/kg</w:t>
        <w:br w:type="textWrapping"/>
        <w:t xml:space="preserve">• Sachê palatável q.s.p. .......................................... 4 unidades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sachê misturado à alimentação a cada 14 dias por 2 tratamentos, repetindo a cada 30 dias até dois exames de cultura fúngica negativa.</w:t>
        <w:br w:type="textWrapping"/>
        <w:t xml:space="preserve">Observações: Pode ser reconstituído com alimento úmido para melhor adesão.</w:t>
        <w:br w:type="textWrapping"/>
        <w:t xml:space="preserve">Linha exclusiva: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Pharmo Pet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0C008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0C008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0C008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0C008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0C008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0C008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0C008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0C008F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0C008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0C008F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0C008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0C008F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0C008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0C008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0C008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0C008F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0C008F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0C008F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0C008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0C008F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0C008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S2h+g3EDHgmSPwFBNWit/5UAw==">CgMxLjA4AHIhMTctMjltcnlsSmI0SWVrdzVTUFhZbVAzZllXaTlPbFRv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2025-11-12T15:38:00Z</dcterms:created>
  <dc:creator>a884</dc:creator>
</cp:coreProperties>
</file>