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15. Guia Magistral Pharmo Pet Premium – Linha Genito-Urinária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Este guia reúne formulações magistrais exclusivas da linha genito-urinária, desenvolvidas com rigor técnico e diferenciais farmacológicos que promovem o equilíbrio do trato urinário, suporte renal e melhora da qualidade de vida de cães e gatos com distúrbios urinários.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15.1 Cápsulas de Cranberry + Vitamina C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orais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Suplemento auxiliar no tratamento e prevenção de infecções urinárias recorrentes em cães e gatos. Atua reduzindo a aderência bacteriana à mucosa vesical e promovendo um pH urinário saudável.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Associação sinérgica de Cranberry e Vitamina C, com ação antioxidante e protetora do epitélio urinário, favorecendo a prevenção de recidivas.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Cranberry 10 mg/kg/cápsula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C 30 mg/kg/cápsula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Excipiente q.s.p. 30 cápsulas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Tratamento: Administrar 1 cápsula a cada 12 horas.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Prevenção: Administrar 1 cápsula ao dia.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 Pharmo Pet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15.2 Cápsulas vitamínicas para cães com DRC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orais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Suplementação vitamínica específica para cães com doença renal crônica (DRC), auxiliando na redução do estresse oxidativo, estímulo do apetite e suporte metabólico.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Combinação equilibrada de vitaminas hidrossolúveis e lipossolúveis com ação antioxidante e suporte metabólico renal.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B1 2–4 mg/kg/cápsula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B2 2–4 mg/kg/cápsula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B5 5–20 mg/animal/cápsula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B6 40–100 mg/animal/cápsula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B12 250 mcg–1 mg/animal/cápsula*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C 30 mg/kg/cápsula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E 20 mg/kg/cápsula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Cápsulas q.s.p. 30 unidades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*Vitamina B12: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1–10 kg: 250 mcg/animal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10–20 kg: 500 mcg/animal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20 kg: 1 mg/animal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cápsula a cada 24 horas.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 Pharmo Pet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15.3 Pasta acidificante urinária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Pasta oral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Acidificante urinário indicado para correção de pH alcalino e redução do odor amoniacal da urina em gatos.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Combinação de metionina-DL e vitamina C que favorece a acidificação natural da urina, ajudando a prevenir a formação de cálculos urinários.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Metionina-DL 1–1,5 g/animal/dose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Vitamina C 30 mg/kg/dose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Pasta oral q.s.p. 30 g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dose a cada 8 horas.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 Pharmo Pet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15.4 Pasta de Cloreto de Betanecol para gatos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Pasta oral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Tratamento da retenção urinária causada por atonia neurogênica da bexiga em gatos. Contraindicado em casos de obstrução.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Formulação palatável e de absorção otimizada para uso felino, promovendo estímulo da contração vesical.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Cloreto de betanecol 1,25–7,5 mg/animal/dose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Pasta oral q.s.p. 30 g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dose a cada 8–12 horas, longe das refeições.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 Pharmo Pet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15.5 Suspensão de Cloreto de Betanecol para cães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Suspensão oral palatável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Tratamento da retenção urinária por atonia neurogênica da bexiga em cães. Contraindicado em animais obstruídos.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Suspensão palatável desenvolvida com veículo que otimiza absorção e tolerância gastrointestinal.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Cloreto de betanecol 2,5–25 mg/animal/dose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Suspensão oral palatável q.s.p. 60 mL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dose a cada 8–12 horas, longe das refeições.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 Pharmo Pet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15.6 Suspensão de Dietilestilbestrol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Suspensão oral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Tratamento da incontinência urinária em cães, especialmente fêmeas com deficiência estrogênica.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Suspensão de fácil administração e absorção controlada, promovendo melhora no tônus do esfíncter uretral.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Dietilestilbestrol 0,1–1 mg/animal/dose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Suspensão oral q.s.p. 60 mL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dose a cada 24 horas, por 3 a 5 dias, e manter a mesma dose 3 vezes por semana para manutenção.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 Pharmo Pet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15.7 Petiscos de Prazosina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Petiscos mastigáveis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Tratamento da hipertensão e redução do tônus uretral em cães.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Apresentação palatável que facilita a adesão ao tratamento de longo prazo, com ajuste de dosagem conforme o peso do animal.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Prazosina 1–2 mg/animal/unidade*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Petisco q.s.p. 30 unidades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*1 mg para cada 15 kg ou 2 mg para animais acima de 15 kg.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petisco a cada 8–12 horas.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 Pharmo Pet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15.8 Pasta oral de Prazosina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Pasta oral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Indicação: Redução da resistência uretral em gatos, auxiliando no tratamento de distúrbios miccionais obstrutivos.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Diferencial: Formulação específica para felinos com alta palatabilidade e precisão na dosagem individual.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Fórmula magistral: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Prazosina 0,25–0,5 mg/animal/dose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Pasta oral q.s.p. 30 g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Modo de usar: Administrar 1 dose a cada 24 horas.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Linha exclusiva:  Pharmo Pet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D86A4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D86A4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D86A4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D86A4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D86A4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D86A4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D86A4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D86A4C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D86A4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D86A4C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D86A4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D86A4C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D86A4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D86A4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D86A4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D86A4C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D86A4C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D86A4C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D86A4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86A4C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D86A4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L93+Iwhwq1yEl/0ViwMvAapWEw==">CgMxLjA4AHIhMXJ5WlNCdmNRTkxqdTE5VzJyRUtFVGV4OEpYLTgwZXpx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2025-11-12T15:53:00Z</dcterms:created>
  <dc:creator>a884</dc:creator>
</cp:coreProperties>
</file>