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CONTRATO DE PRESTAÇÃO DE SERVIÇOS DE CONSULTORIA EM</w:t>
      </w:r>
    </w:p>
    <w:p>
      <w:pPr>
        <w:spacing w:after="80"/>
        <w:jc w:val="center"/>
      </w:pPr>
      <w:r>
        <w:rPr>
          <w:rFonts w:ascii="Times New Roman" w:hAnsi="Times New Roman"/>
          <w:b/>
          <w:sz w:val="28"/>
        </w:rPr>
        <w:t>TECNOLOGIA DA INFORMAÇÃO E MARKETING DIGITAL</w:t>
      </w:r>
    </w:p>
    <w:p>
      <w:pPr>
        <w:spacing w:after="400"/>
        <w:jc w:val="center"/>
      </w:pPr>
      <w:r>
        <w:rPr>
          <w:rFonts w:ascii="Times New Roman" w:hAnsi="Times New Roman"/>
          <w:color w:val="444444"/>
          <w:sz w:val="20"/>
        </w:rPr>
        <w:t>Proposta Comercial de Referência nº 001/2026  ·  Data: 27/04/2026</w:t>
      </w:r>
    </w:p>
    <w:p>
      <w:pPr>
        <w:pBdr>
          <w:bottom w:val="single" w:sz="12" w:space="1" w:color="000000"/>
        </w:pBdr>
        <w:spacing w:before="320" w:after="320"/>
      </w:pPr>
    </w:p>
    <w:p>
      <w:pPr>
        <w:spacing w:after="120"/>
        <w:jc w:val="both"/>
      </w:pPr>
      <w:r>
        <w:rPr>
          <w:rFonts w:ascii="Times New Roman" w:hAnsi="Times New Roman"/>
          <w:sz w:val="24"/>
        </w:rPr>
        <w:t>As partes abaixo qualificadas celebram o presente Contrato de Prestação de Serviços de Consultoria em Tecnologia da Informação e Marketing Digital ("Contrato"), que se regerá pelas cláusulas e condições seguintes, bem como pela legislação vigente aplicável, em especial o Código Civil Brasileiro (Lei nº 10.406/2002) e a Lei Geral de Proteção de Dados (Lei nº 13.709/2018).</w:t>
      </w:r>
    </w:p>
    <w:p/>
    <w:tbl>
      <w:tblPr>
        <w:tblStyle w:val="TableGrid"/>
        <w:tblW w:type="auto" w:w="0"/>
        <w:jc w:val="center"/>
        <w:tblLook w:firstColumn="1" w:firstRow="1" w:lastColumn="0" w:lastRow="0" w:noHBand="0" w:noVBand="1" w:val="04A0"/>
      </w:tblPr>
      <w:tblGrid>
        <w:gridCol w:w="9122"/>
      </w:tblGrid>
      <w:tr>
        <w:tc>
          <w:tcPr>
            <w:tcW w:type="dxa" w:w="9122"/>
          </w:tcPr>
          <w:p/>
        </w:tc>
      </w:tr>
      <w:tr>
        <w:tc>
          <w:tcPr>
            <w:tcW w:type="dxa" w:w="9122"/>
            <w:shd w:val="clear" w:color="auto" w:fill="E0E0E0"/>
          </w:tcPr>
          <w:p>
            <w:pPr>
              <w:spacing w:before="160" w:after="40"/>
            </w:pPr>
            <w:r>
              <w:rPr>
                <w:rFonts w:ascii="Times New Roman" w:hAnsi="Times New Roman"/>
                <w:b/>
                <w:color w:val="555555"/>
                <w:sz w:val="18"/>
              </w:rPr>
              <w:t>CONTRATADA (Prestadora de Serviços)</w:t>
            </w:r>
          </w:p>
        </w:tc>
      </w:tr>
      <w:tr>
        <w:tc>
          <w:tcPr>
            <w:tcW w:type="dxa" w:w="9071"/>
          </w:tcPr>
          <w:p>
            <w:pPr>
              <w:spacing w:after="40" w:before="40"/>
            </w:pPr>
            <w:r>
              <w:rPr>
                <w:rFonts w:ascii="Times New Roman" w:hAnsi="Times New Roman"/>
                <w:b/>
                <w:sz w:val="20"/>
              </w:rPr>
              <w:t xml:space="preserve">Razão Social:  </w:t>
            </w:r>
            <w:r>
              <w:rPr>
                <w:rFonts w:ascii="Times New Roman" w:hAnsi="Times New Roman"/>
                <w:sz w:val="20"/>
              </w:rPr>
              <w:t>Tudo Mudou Marketing e Consultoria</w:t>
            </w:r>
          </w:p>
        </w:tc>
      </w:tr>
      <w:tr>
        <w:tc>
          <w:tcPr>
            <w:tcW w:type="dxa" w:w="9071"/>
          </w:tcPr>
          <w:p>
            <w:pPr>
              <w:spacing w:after="40" w:before="40"/>
            </w:pPr>
            <w:r>
              <w:rPr>
                <w:rFonts w:ascii="Times New Roman" w:hAnsi="Times New Roman"/>
                <w:b/>
                <w:sz w:val="20"/>
              </w:rPr>
              <w:t xml:space="preserve">CNPJ:  </w:t>
            </w:r>
            <w:r>
              <w:rPr>
                <w:rFonts w:ascii="Times New Roman" w:hAnsi="Times New Roman"/>
                <w:sz w:val="20"/>
              </w:rPr>
              <w:t>40.790.711/0001-21</w:t>
            </w:r>
          </w:p>
        </w:tc>
      </w:tr>
      <w:tr>
        <w:tc>
          <w:tcPr>
            <w:tcW w:type="dxa" w:w="9071"/>
          </w:tcPr>
          <w:p>
            <w:pPr>
              <w:spacing w:after="40" w:before="40"/>
            </w:pPr>
            <w:r>
              <w:rPr>
                <w:rFonts w:ascii="Times New Roman" w:hAnsi="Times New Roman"/>
                <w:b/>
                <w:sz w:val="20"/>
              </w:rPr>
              <w:t xml:space="preserve">Endereço:  </w:t>
            </w:r>
            <w:r>
              <w:rPr>
                <w:rFonts w:ascii="Times New Roman" w:hAnsi="Times New Roman"/>
                <w:sz w:val="20"/>
              </w:rPr>
              <w:t>Av. Santo Antônio, 1453 — Vila Osasco</w:t>
            </w:r>
          </w:p>
        </w:tc>
      </w:tr>
      <w:tr>
        <w:tc>
          <w:tcPr>
            <w:tcW w:type="dxa" w:w="9071"/>
          </w:tcPr>
          <w:p>
            <w:pPr>
              <w:spacing w:after="40" w:before="40"/>
            </w:pPr>
            <w:r>
              <w:rPr>
                <w:rFonts w:ascii="Times New Roman" w:hAnsi="Times New Roman"/>
                <w:b/>
                <w:sz w:val="20"/>
              </w:rPr>
              <w:t xml:space="preserve">CEP:  </w:t>
            </w:r>
            <w:r>
              <w:rPr>
                <w:rFonts w:ascii="Times New Roman" w:hAnsi="Times New Roman"/>
                <w:sz w:val="20"/>
              </w:rPr>
              <w:t>06083-210 — Osasco / SP</w:t>
            </w:r>
          </w:p>
        </w:tc>
      </w:tr>
      <w:tr>
        <w:tc>
          <w:tcPr>
            <w:tcW w:type="dxa" w:w="9071"/>
          </w:tcPr>
          <w:p>
            <w:pPr>
              <w:spacing w:after="40" w:before="40"/>
            </w:pPr>
            <w:r>
              <w:rPr>
                <w:rFonts w:ascii="Times New Roman" w:hAnsi="Times New Roman"/>
                <w:b/>
                <w:sz w:val="20"/>
              </w:rPr>
              <w:t xml:space="preserve">Chave PIX (CNPJ):  </w:t>
            </w:r>
            <w:r>
              <w:rPr>
                <w:rFonts w:ascii="Times New Roman" w:hAnsi="Times New Roman"/>
                <w:sz w:val="20"/>
              </w:rPr>
              <w:t>40.790.711/0001-21</w:t>
            </w:r>
          </w:p>
        </w:tc>
      </w:tr>
      <w:tr>
        <w:tc>
          <w:tcPr>
            <w:tcW w:type="dxa" w:w="9071"/>
          </w:tcPr>
          <w:p>
            <w:pPr>
              <w:spacing w:after="40" w:before="40"/>
            </w:pPr>
            <w:r>
              <w:rPr>
                <w:rFonts w:ascii="Times New Roman" w:hAnsi="Times New Roman"/>
                <w:b/>
                <w:sz w:val="20"/>
              </w:rPr>
              <w:t xml:space="preserve">Representante:  </w:t>
            </w:r>
            <w:r>
              <w:rPr>
                <w:rFonts w:ascii="Times New Roman" w:hAnsi="Times New Roman"/>
                <w:sz w:val="20"/>
              </w:rPr>
              <w:t>________________________________________</w:t>
            </w:r>
          </w:p>
        </w:tc>
      </w:tr>
      <w:tr>
        <w:tc>
          <w:tcPr>
            <w:tcW w:type="dxa" w:w="9071"/>
          </w:tcPr>
          <w:p>
            <w:pPr>
              <w:spacing w:after="40" w:before="40"/>
            </w:pPr>
            <w:r>
              <w:rPr>
                <w:rFonts w:ascii="Times New Roman" w:hAnsi="Times New Roman"/>
                <w:b/>
                <w:sz w:val="20"/>
              </w:rPr>
              <w:t xml:space="preserve">Cargo:  </w:t>
            </w:r>
            <w:r>
              <w:rPr>
                <w:rFonts w:ascii="Times New Roman" w:hAnsi="Times New Roman"/>
                <w:sz w:val="20"/>
              </w:rPr>
              <w:t>________________________________________</w:t>
            </w:r>
          </w:p>
        </w:tc>
      </w:tr>
      <w:tr>
        <w:tc>
          <w:tcPr>
            <w:tcW w:type="dxa" w:w="9071"/>
          </w:tcPr>
          <w:p>
            <w:pPr>
              <w:spacing w:after="40" w:before="40"/>
            </w:pPr>
            <w:r>
              <w:rPr>
                <w:rFonts w:ascii="Times New Roman" w:hAnsi="Times New Roman"/>
                <w:b/>
                <w:sz w:val="20"/>
              </w:rPr>
              <w:t xml:space="preserve">CPF:  </w:t>
            </w:r>
            <w:r>
              <w:rPr>
                <w:rFonts w:ascii="Times New Roman" w:hAnsi="Times New Roman"/>
                <w:sz w:val="20"/>
              </w:rPr>
              <w:t>________________________________________</w:t>
            </w:r>
          </w:p>
        </w:tc>
      </w:tr>
      <w:tr>
        <w:tc>
          <w:tcPr>
            <w:tcW w:type="dxa" w:w="9122"/>
            <w:shd w:val="clear" w:color="auto" w:fill="E0E0E0"/>
          </w:tcPr>
          <w:p>
            <w:pPr>
              <w:spacing w:before="160" w:after="40"/>
            </w:pPr>
            <w:r>
              <w:rPr>
                <w:rFonts w:ascii="Times New Roman" w:hAnsi="Times New Roman"/>
                <w:b/>
                <w:color w:val="555555"/>
                <w:sz w:val="18"/>
              </w:rPr>
              <w:t>CONTRATANTE (Cliente)</w:t>
            </w:r>
          </w:p>
        </w:tc>
      </w:tr>
      <w:tr>
        <w:tc>
          <w:tcPr>
            <w:tcW w:type="dxa" w:w="9071"/>
          </w:tcPr>
          <w:p>
            <w:pPr>
              <w:spacing w:after="40" w:before="40"/>
            </w:pPr>
            <w:r>
              <w:rPr>
                <w:rFonts w:ascii="Times New Roman" w:hAnsi="Times New Roman"/>
                <w:b/>
                <w:sz w:val="20"/>
              </w:rPr>
              <w:t xml:space="preserve">Razão Social:  </w:t>
            </w:r>
            <w:r>
              <w:rPr>
                <w:rFonts w:ascii="Times New Roman" w:hAnsi="Times New Roman"/>
                <w:sz w:val="20"/>
              </w:rPr>
              <w:t>Autron Automação Indústria e Comércio Ltda</w:t>
            </w:r>
          </w:p>
        </w:tc>
      </w:tr>
      <w:tr>
        <w:tc>
          <w:tcPr>
            <w:tcW w:type="dxa" w:w="9071"/>
          </w:tcPr>
          <w:p>
            <w:pPr>
              <w:spacing w:after="40" w:before="40"/>
            </w:pPr>
            <w:r>
              <w:rPr>
                <w:rFonts w:ascii="Times New Roman" w:hAnsi="Times New Roman"/>
                <w:b/>
                <w:sz w:val="20"/>
              </w:rPr>
              <w:t xml:space="preserve">Nome Fantasia:  </w:t>
            </w:r>
            <w:r>
              <w:rPr>
                <w:rFonts w:ascii="Times New Roman" w:hAnsi="Times New Roman"/>
                <w:sz w:val="20"/>
              </w:rPr>
              <w:t>Autron</w:t>
            </w:r>
          </w:p>
        </w:tc>
      </w:tr>
      <w:tr>
        <w:tc>
          <w:tcPr>
            <w:tcW w:type="dxa" w:w="9071"/>
          </w:tcPr>
          <w:p>
            <w:pPr>
              <w:spacing w:after="40" w:before="40"/>
            </w:pPr>
            <w:r>
              <w:rPr>
                <w:rFonts w:ascii="Times New Roman" w:hAnsi="Times New Roman"/>
                <w:b/>
                <w:sz w:val="20"/>
              </w:rPr>
              <w:t xml:space="preserve">CNPJ:  </w:t>
            </w:r>
            <w:r>
              <w:rPr>
                <w:rFonts w:ascii="Times New Roman" w:hAnsi="Times New Roman"/>
                <w:sz w:val="20"/>
              </w:rPr>
              <w:t>72.932.718/0001-27</w:t>
            </w:r>
          </w:p>
        </w:tc>
      </w:tr>
      <w:tr>
        <w:tc>
          <w:tcPr>
            <w:tcW w:type="dxa" w:w="9071"/>
          </w:tcPr>
          <w:p>
            <w:pPr>
              <w:spacing w:after="40" w:before="40"/>
            </w:pPr>
            <w:r>
              <w:rPr>
                <w:rFonts w:ascii="Times New Roman" w:hAnsi="Times New Roman"/>
                <w:b/>
                <w:sz w:val="20"/>
              </w:rPr>
              <w:t xml:space="preserve">Endereço:  </w:t>
            </w:r>
            <w:r>
              <w:rPr>
                <w:rFonts w:ascii="Times New Roman" w:hAnsi="Times New Roman"/>
                <w:sz w:val="20"/>
              </w:rPr>
              <w:t>R. Caetés, 601 — Térreo — Perdizes</w:t>
            </w:r>
          </w:p>
        </w:tc>
      </w:tr>
      <w:tr>
        <w:tc>
          <w:tcPr>
            <w:tcW w:type="dxa" w:w="9071"/>
          </w:tcPr>
          <w:p>
            <w:pPr>
              <w:spacing w:after="40" w:before="40"/>
            </w:pPr>
            <w:r>
              <w:rPr>
                <w:rFonts w:ascii="Times New Roman" w:hAnsi="Times New Roman"/>
                <w:b/>
                <w:sz w:val="20"/>
              </w:rPr>
              <w:t xml:space="preserve">CEP:  </w:t>
            </w:r>
            <w:r>
              <w:rPr>
                <w:rFonts w:ascii="Times New Roman" w:hAnsi="Times New Roman"/>
                <w:sz w:val="20"/>
              </w:rPr>
              <w:t>05.016-081 — São Paulo / SP</w:t>
            </w:r>
          </w:p>
        </w:tc>
      </w:tr>
      <w:tr>
        <w:tc>
          <w:tcPr>
            <w:tcW w:type="dxa" w:w="9071"/>
          </w:tcPr>
          <w:p>
            <w:pPr>
              <w:spacing w:after="40" w:before="40"/>
            </w:pPr>
            <w:r>
              <w:rPr>
                <w:rFonts w:ascii="Times New Roman" w:hAnsi="Times New Roman"/>
                <w:b/>
                <w:sz w:val="20"/>
              </w:rPr>
              <w:t xml:space="preserve">Telefone:  </w:t>
            </w:r>
            <w:r>
              <w:rPr>
                <w:rFonts w:ascii="Times New Roman" w:hAnsi="Times New Roman"/>
                <w:sz w:val="20"/>
              </w:rPr>
              <w:t>(11) 4810-7979</w:t>
            </w:r>
          </w:p>
        </w:tc>
      </w:tr>
      <w:tr>
        <w:tc>
          <w:tcPr>
            <w:tcW w:type="dxa" w:w="9071"/>
          </w:tcPr>
          <w:p>
            <w:pPr>
              <w:spacing w:after="40" w:before="40"/>
            </w:pPr>
            <w:r>
              <w:rPr>
                <w:rFonts w:ascii="Times New Roman" w:hAnsi="Times New Roman"/>
                <w:b/>
                <w:sz w:val="20"/>
              </w:rPr>
              <w:t xml:space="preserve">Representante:  </w:t>
            </w:r>
            <w:r>
              <w:rPr>
                <w:rFonts w:ascii="Times New Roman" w:hAnsi="Times New Roman"/>
                <w:sz w:val="20"/>
              </w:rPr>
              <w:t>________________________________________</w:t>
            </w:r>
          </w:p>
        </w:tc>
      </w:tr>
      <w:tr>
        <w:tc>
          <w:tcPr>
            <w:tcW w:type="dxa" w:w="9071"/>
          </w:tcPr>
          <w:p>
            <w:pPr>
              <w:spacing w:after="40" w:before="40"/>
            </w:pPr>
            <w:r>
              <w:rPr>
                <w:rFonts w:ascii="Times New Roman" w:hAnsi="Times New Roman"/>
                <w:b/>
                <w:sz w:val="20"/>
              </w:rPr>
              <w:t xml:space="preserve">Cargo:  </w:t>
            </w:r>
            <w:r>
              <w:rPr>
                <w:rFonts w:ascii="Times New Roman" w:hAnsi="Times New Roman"/>
                <w:sz w:val="20"/>
              </w:rPr>
              <w:t>________________________________________</w:t>
            </w:r>
          </w:p>
        </w:tc>
      </w:tr>
      <w:tr>
        <w:tc>
          <w:tcPr>
            <w:tcW w:type="dxa" w:w="9071"/>
          </w:tcPr>
          <w:p>
            <w:pPr>
              <w:spacing w:after="40" w:before="40"/>
            </w:pPr>
            <w:r>
              <w:rPr>
                <w:rFonts w:ascii="Times New Roman" w:hAnsi="Times New Roman"/>
                <w:b/>
                <w:sz w:val="20"/>
              </w:rPr>
              <w:t xml:space="preserve">CPF:  </w:t>
            </w:r>
            <w:r>
              <w:rPr>
                <w:rFonts w:ascii="Times New Roman" w:hAnsi="Times New Roman"/>
                <w:sz w:val="20"/>
              </w:rPr>
              <w:t>________________________________________</w:t>
            </w:r>
          </w:p>
        </w:tc>
      </w:tr>
    </w:tbl>
    <w:p/>
    <w:p>
      <w:pPr>
        <w:spacing w:before="360" w:after="120"/>
        <w:pBdr>
          <w:bottom w:val="single" w:sz="6" w:space="1" w:color="000000"/>
        </w:pBdr>
      </w:pPr>
      <w:r>
        <w:rPr>
          <w:rFonts w:ascii="Times New Roman" w:hAnsi="Times New Roman"/>
          <w:b/>
          <w:color w:val="000000"/>
          <w:sz w:val="24"/>
        </w:rPr>
        <w:t>CLÁUSULA 1 — OBJETO</w:t>
      </w:r>
    </w:p>
    <w:p>
      <w:pPr>
        <w:spacing w:after="120"/>
        <w:jc w:val="both"/>
      </w:pPr>
      <w:r>
        <w:rPr>
          <w:rFonts w:ascii="Times New Roman" w:hAnsi="Times New Roman"/>
          <w:b/>
          <w:sz w:val="24"/>
        </w:rPr>
        <w:t>1.1</w:t>
      </w:r>
      <w:r>
        <w:rPr>
          <w:rFonts w:ascii="Times New Roman" w:hAnsi="Times New Roman"/>
          <w:sz w:val="24"/>
        </w:rPr>
        <w:t xml:space="preserve"> O presente Contrato tem por objeto a prestação de serviços de desenvolvimento, implantação, suporte e manutenção de plataforma de Business Intelligence (BI) para a CONTRATANTE, conforme escopo técnico detalhado na Proposta Comercial nº 001/2026, incorporada a este instrumento como Anexo I.</w:t>
      </w:r>
    </w:p>
    <w:p>
      <w:pPr>
        <w:spacing w:after="120"/>
        <w:jc w:val="both"/>
      </w:pPr>
      <w:r>
        <w:rPr>
          <w:rFonts w:ascii="Times New Roman" w:hAnsi="Times New Roman"/>
          <w:b/>
          <w:sz w:val="24"/>
        </w:rPr>
        <w:t>1.2</w:t>
      </w:r>
      <w:r>
        <w:rPr>
          <w:rFonts w:ascii="Times New Roman" w:hAnsi="Times New Roman"/>
          <w:sz w:val="24"/>
        </w:rPr>
        <w:t xml:space="preserve"> A plataforma consolida dados provenientes de 7 (sete) fontes distintas — Protheus ERP, CRM Ploomes e Budget/Metas — em um único ambiente de análise, composto por 8 (oito) módulos de análise operacional e financeira.</w:t>
      </w:r>
    </w:p>
    <w:p>
      <w:pPr>
        <w:spacing w:after="120"/>
        <w:jc w:val="both"/>
      </w:pPr>
      <w:r>
        <w:rPr>
          <w:rFonts w:ascii="Times New Roman" w:hAnsi="Times New Roman"/>
          <w:b/>
          <w:sz w:val="24"/>
        </w:rPr>
        <w:t>1.3</w:t>
      </w:r>
      <w:r>
        <w:rPr>
          <w:rFonts w:ascii="Times New Roman" w:hAnsi="Times New Roman"/>
          <w:sz w:val="24"/>
        </w:rPr>
        <w:t xml:space="preserve"> O projeto encontra-se em estágio de produção, devidamente validado junto ao usuário final da CONTRATANTE, tendo percorrido as fases: (i) Discovery &amp; Modelagem; (ii) Desenvolvimento Core; (iii) Módulos &amp; Refino; e (iv) Deploy &amp; Validação.</w:t>
      </w:r>
    </w:p>
    <w:p>
      <w:pPr>
        <w:spacing w:before="360" w:after="120"/>
        <w:pBdr>
          <w:bottom w:val="single" w:sz="6" w:space="1" w:color="000000"/>
        </w:pBdr>
      </w:pPr>
      <w:r>
        <w:rPr>
          <w:rFonts w:ascii="Times New Roman" w:hAnsi="Times New Roman"/>
          <w:b/>
          <w:color w:val="000000"/>
          <w:sz w:val="24"/>
        </w:rPr>
        <w:t>CLÁUSULA 2 — ESCOPO DOS SERVIÇOS</w:t>
      </w:r>
    </w:p>
    <w:p>
      <w:pPr>
        <w:spacing w:after="120"/>
        <w:jc w:val="both"/>
      </w:pPr>
      <w:r>
        <w:rPr>
          <w:rFonts w:ascii="Times New Roman" w:hAnsi="Times New Roman"/>
          <w:b/>
          <w:sz w:val="24"/>
        </w:rPr>
        <w:t>2.1</w:t>
      </w:r>
      <w:r>
        <w:rPr>
          <w:rFonts w:ascii="Times New Roman" w:hAnsi="Times New Roman"/>
          <w:sz w:val="24"/>
        </w:rPr>
        <w:t xml:space="preserve"> Os serviços contratados compreendem:</w:t>
      </w:r>
    </w:p>
    <w:p>
      <w:pPr>
        <w:pStyle w:val="ListBullet"/>
        <w:spacing w:after="80"/>
        <w:jc w:val="both"/>
      </w:pPr>
      <w:r>
        <w:rPr>
          <w:rFonts w:ascii="Times New Roman" w:hAnsi="Times New Roman"/>
          <w:sz w:val="22"/>
        </w:rPr>
        <w:t>Plataforma BI completa com os 8 (oito) módulos: (1) Visão Geral, (2) Entrada de Pedidos, (3) Disponibilidade, (4) Previsão de Entrega, (5) Estoque &amp; SC/OP, (6) Faturamento, (7) Previsão de Faturamento e (8) Ploomes × Protheus;</w:t>
      </w:r>
    </w:p>
    <w:p>
      <w:pPr>
        <w:pStyle w:val="ListBullet"/>
        <w:spacing w:after="80"/>
        <w:jc w:val="both"/>
      </w:pPr>
      <w:r>
        <w:rPr>
          <w:rFonts w:ascii="Times New Roman" w:hAnsi="Times New Roman"/>
          <w:sz w:val="22"/>
        </w:rPr>
        <w:t>Integração das 7 (sete) fontes de dados: entrada_pedido.xlsx, followup.xlsx, mata010.xlsx, faturamento.xlsx, sciozvs0.csv (Protheus), Metas_Budget_2026.xlsx (Budget) e Ganhas.xlsx (Ploomes);</w:t>
      </w:r>
    </w:p>
    <w:p>
      <w:pPr>
        <w:pStyle w:val="ListBullet"/>
        <w:spacing w:after="80"/>
        <w:jc w:val="both"/>
      </w:pPr>
      <w:r>
        <w:rPr>
          <w:rFonts w:ascii="Times New Roman" w:hAnsi="Times New Roman"/>
          <w:sz w:val="22"/>
        </w:rPr>
        <w:t>Deploy e configuração em VPS com Coolify, Docker e integração GitHub privado;</w:t>
      </w:r>
    </w:p>
    <w:p>
      <w:pPr>
        <w:pStyle w:val="ListBullet"/>
        <w:spacing w:after="80"/>
        <w:jc w:val="both"/>
      </w:pPr>
      <w:r>
        <w:rPr>
          <w:rFonts w:ascii="Times New Roman" w:hAnsi="Times New Roman"/>
          <w:sz w:val="22"/>
        </w:rPr>
        <w:t>Autenticação e segurança: HTTPS com SSL Let's Encrypt, variáveis de ambiente;</w:t>
      </w:r>
    </w:p>
    <w:p>
      <w:pPr>
        <w:pStyle w:val="ListBullet"/>
        <w:spacing w:after="80"/>
        <w:jc w:val="both"/>
      </w:pPr>
      <w:r>
        <w:rPr>
          <w:rFonts w:ascii="Times New Roman" w:hAnsi="Times New Roman"/>
          <w:sz w:val="22"/>
        </w:rPr>
        <w:t>Iterações e ajustes com o usuário em produção durante o período contratual;</w:t>
      </w:r>
    </w:p>
    <w:p>
      <w:pPr>
        <w:pStyle w:val="ListBullet"/>
        <w:spacing w:after="80"/>
        <w:jc w:val="both"/>
      </w:pPr>
      <w:r>
        <w:rPr>
          <w:rFonts w:ascii="Times New Roman" w:hAnsi="Times New Roman"/>
          <w:sz w:val="22"/>
        </w:rPr>
        <w:t>Suporte e manutenção evolutiva por 12 (doze) meses, incluindo correções de bugs;</w:t>
      </w:r>
    </w:p>
    <w:p>
      <w:pPr>
        <w:pStyle w:val="ListBullet"/>
        <w:spacing w:after="80"/>
        <w:jc w:val="both"/>
      </w:pPr>
      <w:r>
        <w:rPr>
          <w:rFonts w:ascii="Times New Roman" w:hAnsi="Times New Roman"/>
          <w:sz w:val="22"/>
        </w:rPr>
        <w:t>Entrega do código-fonte versionado em repositório privado da CONTRATANTE.</w:t>
      </w:r>
    </w:p>
    <w:p>
      <w:pPr>
        <w:spacing w:after="120"/>
        <w:jc w:val="both"/>
      </w:pPr>
      <w:r>
        <w:rPr>
          <w:rFonts w:ascii="Times New Roman" w:hAnsi="Times New Roman"/>
          <w:b/>
          <w:sz w:val="24"/>
        </w:rPr>
        <w:t>2.2</w:t>
      </w:r>
      <w:r>
        <w:rPr>
          <w:rFonts w:ascii="Times New Roman" w:hAnsi="Times New Roman"/>
          <w:sz w:val="24"/>
        </w:rPr>
        <w:t xml:space="preserve"> A stack tecnológica é composta por Python 3.11+, Pandas, NumPy, Plotly, Docker, Coolify, GitHub e Let's Encrypt — sem lock-in de fornecedor proprietário.</w:t>
      </w:r>
    </w:p>
    <w:p>
      <w:pPr>
        <w:spacing w:after="120"/>
        <w:jc w:val="both"/>
      </w:pPr>
      <w:r>
        <w:rPr>
          <w:rFonts w:ascii="Times New Roman" w:hAnsi="Times New Roman"/>
          <w:b/>
          <w:sz w:val="24"/>
        </w:rPr>
        <w:t>2.3</w:t>
      </w:r>
      <w:r>
        <w:rPr>
          <w:rFonts w:ascii="Times New Roman" w:hAnsi="Times New Roman"/>
          <w:sz w:val="24"/>
        </w:rPr>
        <w:t xml:space="preserve"> Não estão incluídos no escopo: (a) integrações além das 7 fontes previstas; (b) hospedagem, VPS, domínios e SSL (responsabilidade da CONTRATANTE); (c) servidores e equipamentos físicos; (d) novos módulos não previstos; (e) migração para outras stacks; (f) treinamento formal (cotado sob demanda).</w:t>
      </w:r>
    </w:p>
    <w:p>
      <w:pPr>
        <w:spacing w:before="360" w:after="120"/>
        <w:pBdr>
          <w:bottom w:val="single" w:sz="6" w:space="1" w:color="000000"/>
        </w:pBdr>
      </w:pPr>
      <w:r>
        <w:rPr>
          <w:rFonts w:ascii="Times New Roman" w:hAnsi="Times New Roman"/>
          <w:b/>
          <w:color w:val="000000"/>
          <w:sz w:val="24"/>
        </w:rPr>
        <w:t>CLÁUSULA 3 — PRAZO DE VIGÊNCIA</w:t>
      </w:r>
    </w:p>
    <w:p>
      <w:pPr>
        <w:spacing w:after="120"/>
        <w:jc w:val="both"/>
      </w:pPr>
      <w:r>
        <w:rPr>
          <w:rFonts w:ascii="Times New Roman" w:hAnsi="Times New Roman"/>
          <w:b/>
          <w:sz w:val="24"/>
        </w:rPr>
        <w:t>3.1</w:t>
      </w:r>
      <w:r>
        <w:rPr>
          <w:rFonts w:ascii="Times New Roman" w:hAnsi="Times New Roman"/>
          <w:sz w:val="24"/>
        </w:rPr>
        <w:t xml:space="preserve"> O presente Contrato vigorará pelo prazo de 12 (doze) meses, contados da data de sua assinatura, podendo ser renovado por igual período mediante acordo escrito com antecedência mínima de 30 (trinta) dias.</w:t>
      </w:r>
    </w:p>
    <w:p>
      <w:pPr>
        <w:spacing w:after="120"/>
        <w:jc w:val="both"/>
      </w:pPr>
      <w:r>
        <w:rPr>
          <w:rFonts w:ascii="Times New Roman" w:hAnsi="Times New Roman"/>
          <w:b/>
          <w:sz w:val="24"/>
        </w:rPr>
        <w:t>3.2</w:t>
      </w:r>
      <w:r>
        <w:rPr>
          <w:rFonts w:ascii="Times New Roman" w:hAnsi="Times New Roman"/>
          <w:sz w:val="24"/>
        </w:rPr>
        <w:t xml:space="preserve"> O prazo abrange a manutenção, suporte e ajustes evolutivos da plataforma já entregue e em produção.</w:t>
      </w:r>
    </w:p>
    <w:p>
      <w:pPr>
        <w:spacing w:after="120"/>
        <w:jc w:val="both"/>
      </w:pPr>
      <w:r>
        <w:rPr>
          <w:rFonts w:ascii="Times New Roman" w:hAnsi="Times New Roman"/>
          <w:b/>
          <w:sz w:val="24"/>
        </w:rPr>
        <w:t>3.3</w:t>
      </w:r>
      <w:r>
        <w:rPr>
          <w:rFonts w:ascii="Times New Roman" w:hAnsi="Times New Roman"/>
          <w:sz w:val="24"/>
        </w:rPr>
        <w:t xml:space="preserve"> Serviços adicionais solicitados após o encerramento do prazo serão objeto de novo instrumento ou aditivo.</w:t>
      </w:r>
    </w:p>
    <w:p>
      <w:pPr>
        <w:spacing w:before="360" w:after="120"/>
        <w:pBdr>
          <w:bottom w:val="single" w:sz="6" w:space="1" w:color="000000"/>
        </w:pBdr>
      </w:pPr>
      <w:r>
        <w:rPr>
          <w:rFonts w:ascii="Times New Roman" w:hAnsi="Times New Roman"/>
          <w:b/>
          <w:color w:val="000000"/>
          <w:sz w:val="24"/>
        </w:rPr>
        <w:t>CLÁUSULA 4 — VALOR E CONDIÇÕES DE PAGAMENTO</w:t>
      </w:r>
    </w:p>
    <w:p>
      <w:pPr>
        <w:spacing w:after="120"/>
        <w:jc w:val="both"/>
      </w:pPr>
      <w:r>
        <w:rPr>
          <w:rFonts w:ascii="Times New Roman" w:hAnsi="Times New Roman"/>
          <w:b/>
          <w:sz w:val="24"/>
        </w:rPr>
        <w:t>4.1</w:t>
      </w:r>
      <w:r>
        <w:rPr>
          <w:rFonts w:ascii="Times New Roman" w:hAnsi="Times New Roman"/>
          <w:sz w:val="24"/>
        </w:rPr>
        <w:t xml:space="preserve"> As partes elegem uma das modalidades abaixo, conforme opção assinalada na assinatura: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0000"/>
          </w:tcPr>
          <w:p>
            <w:r>
              <w:rPr>
                <w:rFonts w:ascii="Times New Roman" w:hAnsi="Times New Roman"/>
                <w:b/>
                <w:color w:val="FFFFFF"/>
                <w:sz w:val="20"/>
              </w:rPr>
              <w:t>Parcela / Evento</w:t>
            </w:r>
          </w:p>
        </w:tc>
        <w:tc>
          <w:tcPr>
            <w:tcW w:type="dxa" w:w="3041"/>
            <w:shd w:val="clear" w:color="auto" w:fill="000000"/>
          </w:tcPr>
          <w:p>
            <w:r>
              <w:rPr>
                <w:rFonts w:ascii="Times New Roman" w:hAnsi="Times New Roman"/>
                <w:b/>
                <w:color w:val="FFFFFF"/>
                <w:sz w:val="20"/>
              </w:rPr>
              <w:t>Modalidade Parcelada</w:t>
            </w:r>
          </w:p>
        </w:tc>
        <w:tc>
          <w:tcPr>
            <w:tcW w:type="dxa" w:w="3041"/>
            <w:shd w:val="clear" w:color="auto" w:fill="000000"/>
          </w:tcPr>
          <w:p>
            <w:r>
              <w:rPr>
                <w:rFonts w:ascii="Times New Roman" w:hAnsi="Times New Roman"/>
                <w:b/>
                <w:color w:val="FFFFFF"/>
                <w:sz w:val="20"/>
              </w:rPr>
              <w:t>Modalidade à Vista</w:t>
            </w:r>
          </w:p>
        </w:tc>
      </w:tr>
      <w:tr>
        <w:tc>
          <w:tcPr>
            <w:tcW w:type="dxa" w:w="3041"/>
          </w:tcPr>
          <w:p>
            <w:r>
              <w:rPr>
                <w:rFonts w:ascii="Times New Roman" w:hAnsi="Times New Roman"/>
                <w:sz w:val="20"/>
              </w:rPr>
              <w:t>Setup Inicial (na assinatura)</w:t>
            </w:r>
          </w:p>
        </w:tc>
        <w:tc>
          <w:tcPr>
            <w:tcW w:type="dxa" w:w="3041"/>
          </w:tcPr>
          <w:p>
            <w:r>
              <w:rPr>
                <w:rFonts w:ascii="Times New Roman" w:hAnsi="Times New Roman"/>
                <w:sz w:val="20"/>
              </w:rPr>
              <w:t>R$ 2.500,00</w:t>
            </w:r>
          </w:p>
        </w:tc>
        <w:tc>
          <w:tcPr>
            <w:tcW w:type="dxa" w:w="3041"/>
          </w:tcPr>
          <w:p>
            <w:r>
              <w:rPr>
                <w:rFonts w:ascii="Times New Roman" w:hAnsi="Times New Roman"/>
                <w:sz w:val="20"/>
              </w:rPr>
              <w:t>— incluso —</w:t>
            </w:r>
          </w:p>
        </w:tc>
      </w:tr>
      <w:tr>
        <w:tc>
          <w:tcPr>
            <w:tcW w:type="dxa" w:w="3041"/>
          </w:tcPr>
          <w:p>
            <w:r>
              <w:rPr>
                <w:rFonts w:ascii="Times New Roman" w:hAnsi="Times New Roman"/>
                <w:sz w:val="20"/>
              </w:rPr>
              <w:t>Mensalidades</w:t>
            </w:r>
          </w:p>
        </w:tc>
        <w:tc>
          <w:tcPr>
            <w:tcW w:type="dxa" w:w="3041"/>
          </w:tcPr>
          <w:p>
            <w:r>
              <w:rPr>
                <w:rFonts w:ascii="Times New Roman" w:hAnsi="Times New Roman"/>
                <w:sz w:val="20"/>
              </w:rPr>
              <w:t>11 × R$ 2.000,00</w:t>
            </w:r>
          </w:p>
        </w:tc>
        <w:tc>
          <w:tcPr>
            <w:tcW w:type="dxa" w:w="3041"/>
          </w:tcPr>
          <w:p>
            <w:r>
              <w:rPr>
                <w:rFonts w:ascii="Times New Roman" w:hAnsi="Times New Roman"/>
                <w:sz w:val="20"/>
              </w:rPr>
              <w:t>— incluso —</w:t>
            </w:r>
          </w:p>
        </w:tc>
      </w:tr>
      <w:tr>
        <w:tc>
          <w:tcPr>
            <w:tcW w:type="dxa" w:w="3041"/>
          </w:tcPr>
          <w:p>
            <w:r>
              <w:rPr>
                <w:rFonts w:ascii="Times New Roman" w:hAnsi="Times New Roman"/>
                <w:sz w:val="20"/>
              </w:rPr>
              <w:t>Desconto</w:t>
            </w:r>
          </w:p>
        </w:tc>
        <w:tc>
          <w:tcPr>
            <w:tcW w:type="dxa" w:w="3041"/>
          </w:tcPr>
          <w:p>
            <w:r>
              <w:rPr>
                <w:rFonts w:ascii="Times New Roman" w:hAnsi="Times New Roman"/>
                <w:sz w:val="20"/>
              </w:rPr>
              <w:t>—</w:t>
            </w:r>
          </w:p>
        </w:tc>
        <w:tc>
          <w:tcPr>
            <w:tcW w:type="dxa" w:w="3041"/>
          </w:tcPr>
          <w:p>
            <w:r>
              <w:rPr>
                <w:rFonts w:ascii="Times New Roman" w:hAnsi="Times New Roman"/>
                <w:sz w:val="20"/>
              </w:rPr>
              <w:t>15% (− R$ 3.675,00)</w:t>
            </w:r>
          </w:p>
        </w:tc>
      </w:tr>
      <w:tr>
        <w:tc>
          <w:tcPr>
            <w:tcW w:type="dxa" w:w="3041"/>
          </w:tcPr>
          <w:p>
            <w:r>
              <w:rPr>
                <w:rFonts w:ascii="Times New Roman" w:hAnsi="Times New Roman"/>
                <w:b/>
                <w:sz w:val="20"/>
              </w:rPr>
              <w:t>Total do Contrato</w:t>
            </w:r>
          </w:p>
        </w:tc>
        <w:tc>
          <w:tcPr>
            <w:tcW w:type="dxa" w:w="3041"/>
          </w:tcPr>
          <w:p>
            <w:r>
              <w:rPr>
                <w:rFonts w:ascii="Times New Roman" w:hAnsi="Times New Roman"/>
                <w:b/>
                <w:sz w:val="20"/>
              </w:rPr>
              <w:t>R$ 24.500,00</w:t>
            </w:r>
          </w:p>
        </w:tc>
        <w:tc>
          <w:tcPr>
            <w:tcW w:type="dxa" w:w="3041"/>
          </w:tcPr>
          <w:p>
            <w:r>
              <w:rPr>
                <w:rFonts w:ascii="Times New Roman" w:hAnsi="Times New Roman"/>
                <w:b/>
                <w:sz w:val="20"/>
              </w:rPr>
              <w:t>R$ 20.825,00</w:t>
            </w:r>
          </w:p>
        </w:tc>
      </w:tr>
    </w:tbl>
    <w:p/>
    <w:p>
      <w:r>
        <w:rPr>
          <w:sz w:val="22"/>
        </w:rPr>
        <w:t>( )  Modalidade Parcelada          ( )  Modalidade à Vista</w:t>
      </w:r>
    </w:p>
    <w:p>
      <w:pPr>
        <w:spacing w:after="120"/>
        <w:jc w:val="both"/>
      </w:pPr>
      <w:r>
        <w:rPr>
          <w:rFonts w:ascii="Times New Roman" w:hAnsi="Times New Roman"/>
          <w:b/>
          <w:sz w:val="24"/>
        </w:rPr>
        <w:t>4.2</w:t>
      </w:r>
      <w:r>
        <w:rPr>
          <w:rFonts w:ascii="Times New Roman" w:hAnsi="Times New Roman"/>
          <w:sz w:val="24"/>
        </w:rPr>
        <w:t xml:space="preserve"> Pagamento via PIX — Favorecido: Tudo Mudou Marketing e Consultoria  |  Chave PIX (CNPJ): 40.790.711/0001-21</w:t>
      </w:r>
    </w:p>
    <w:p>
      <w:pPr>
        <w:spacing w:after="120"/>
        <w:jc w:val="both"/>
      </w:pPr>
      <w:r>
        <w:rPr>
          <w:rFonts w:ascii="Times New Roman" w:hAnsi="Times New Roman"/>
          <w:b/>
          <w:sz w:val="24"/>
        </w:rPr>
        <w:t>4.3</w:t>
      </w:r>
      <w:r>
        <w:rPr>
          <w:rFonts w:ascii="Times New Roman" w:hAnsi="Times New Roman"/>
          <w:sz w:val="24"/>
        </w:rPr>
        <w:t xml:space="preserve"> Na modalidade parcelada, o setup inicial vence na assinatura e as parcelas mensais no mesmo dia dos meses seguintes.</w:t>
      </w:r>
    </w:p>
    <w:p>
      <w:pPr>
        <w:spacing w:after="120"/>
        <w:jc w:val="both"/>
      </w:pPr>
      <w:r>
        <w:rPr>
          <w:rFonts w:ascii="Times New Roman" w:hAnsi="Times New Roman"/>
          <w:b/>
          <w:sz w:val="24"/>
        </w:rPr>
        <w:t>4.4</w:t>
      </w:r>
      <w:r>
        <w:rPr>
          <w:rFonts w:ascii="Times New Roman" w:hAnsi="Times New Roman"/>
          <w:sz w:val="24"/>
        </w:rPr>
        <w:t xml:space="preserve"> O atraso sujeitará a CONTRATANTE a multa moratória de 2% sobre o valor em atraso, juros de 1% ao mês e correção pelo IGPM/FGV.</w:t>
      </w:r>
    </w:p>
    <w:p>
      <w:pPr>
        <w:spacing w:after="120"/>
        <w:jc w:val="both"/>
      </w:pPr>
      <w:r>
        <w:rPr>
          <w:rFonts w:ascii="Times New Roman" w:hAnsi="Times New Roman"/>
          <w:b/>
          <w:sz w:val="24"/>
        </w:rPr>
        <w:t>4.5</w:t>
      </w:r>
      <w:r>
        <w:rPr>
          <w:rFonts w:ascii="Times New Roman" w:hAnsi="Times New Roman"/>
          <w:sz w:val="24"/>
        </w:rPr>
        <w:t xml:space="preserve"> Inadimplência superior a 30 (trinta) dias faculta à CONTRATADA suspender o acesso à plataforma até a regularização.</w:t>
      </w:r>
    </w:p>
    <w:p>
      <w:pPr>
        <w:spacing w:after="120"/>
        <w:jc w:val="both"/>
      </w:pPr>
      <w:r>
        <w:rPr>
          <w:rFonts w:ascii="Times New Roman" w:hAnsi="Times New Roman"/>
          <w:b/>
          <w:sz w:val="24"/>
        </w:rPr>
        <w:t>4.6</w:t>
      </w:r>
      <w:r>
        <w:rPr>
          <w:rFonts w:ascii="Times New Roman" w:hAnsi="Times New Roman"/>
          <w:sz w:val="24"/>
        </w:rPr>
        <w:t xml:space="preserve"> Em caso de renovação, os valores serão reajustados pelo IGPM/FGV acumulado nos 12 meses anteriores à data de aniversário.</w:t>
      </w:r>
    </w:p>
    <w:p>
      <w:pPr>
        <w:spacing w:before="360" w:after="120"/>
        <w:pBdr>
          <w:bottom w:val="single" w:sz="6" w:space="1" w:color="000000"/>
        </w:pBdr>
      </w:pPr>
      <w:r>
        <w:rPr>
          <w:rFonts w:ascii="Times New Roman" w:hAnsi="Times New Roman"/>
          <w:b/>
          <w:color w:val="000000"/>
          <w:sz w:val="24"/>
        </w:rPr>
        <w:t>CLÁUSULA 5 — OBRIGAÇÕES DA CONTRATADA</w:t>
      </w:r>
    </w:p>
    <w:p>
      <w:pPr>
        <w:spacing w:after="120"/>
        <w:jc w:val="both"/>
      </w:pPr>
      <w:r>
        <w:rPr>
          <w:rFonts w:ascii="Times New Roman" w:hAnsi="Times New Roman"/>
          <w:sz w:val="24"/>
        </w:rPr>
        <w:t>A CONTRATADA obriga-se a:</w:t>
      </w:r>
    </w:p>
    <w:p>
      <w:pPr>
        <w:pStyle w:val="ListBullet"/>
        <w:spacing w:after="80"/>
        <w:jc w:val="both"/>
      </w:pPr>
      <w:r>
        <w:rPr>
          <w:rFonts w:ascii="Times New Roman" w:hAnsi="Times New Roman"/>
          <w:sz w:val="22"/>
        </w:rPr>
        <w:t>Prestar os serviços com zelo, técnica e qualidade;</w:t>
      </w:r>
    </w:p>
    <w:p>
      <w:pPr>
        <w:pStyle w:val="ListBullet"/>
        <w:spacing w:after="80"/>
        <w:jc w:val="both"/>
      </w:pPr>
      <w:r>
        <w:rPr>
          <w:rFonts w:ascii="Times New Roman" w:hAnsi="Times New Roman"/>
          <w:sz w:val="22"/>
        </w:rPr>
        <w:t>Manter canal de suporte responsivo em dias úteis (9h–18h), com resposta inicial em até 24h;</w:t>
      </w:r>
    </w:p>
    <w:p>
      <w:pPr>
        <w:pStyle w:val="ListBullet"/>
        <w:spacing w:after="80"/>
        <w:jc w:val="both"/>
      </w:pPr>
      <w:r>
        <w:rPr>
          <w:rFonts w:ascii="Times New Roman" w:hAnsi="Times New Roman"/>
          <w:sz w:val="22"/>
        </w:rPr>
        <w:t>Corrigir bugs críticos em até 48 horas úteis após o reporte;</w:t>
      </w:r>
    </w:p>
    <w:p>
      <w:pPr>
        <w:pStyle w:val="ListBullet"/>
        <w:spacing w:after="80"/>
        <w:jc w:val="both"/>
      </w:pPr>
      <w:r>
        <w:rPr>
          <w:rFonts w:ascii="Times New Roman" w:hAnsi="Times New Roman"/>
          <w:sz w:val="22"/>
        </w:rPr>
        <w:t>Manter código-fonte versionado e entregar acesso ao fim do Contrato;</w:t>
      </w:r>
    </w:p>
    <w:p>
      <w:pPr>
        <w:pStyle w:val="ListBullet"/>
        <w:spacing w:after="80"/>
        <w:jc w:val="both"/>
      </w:pPr>
      <w:r>
        <w:rPr>
          <w:rFonts w:ascii="Times New Roman" w:hAnsi="Times New Roman"/>
          <w:sz w:val="22"/>
        </w:rPr>
        <w:t>Guardar sigilo sobre informações da CONTRATANTE conforme Cláusula 8;</w:t>
      </w:r>
    </w:p>
    <w:p>
      <w:pPr>
        <w:pStyle w:val="ListBullet"/>
        <w:spacing w:after="80"/>
        <w:jc w:val="both"/>
      </w:pPr>
      <w:r>
        <w:rPr>
          <w:rFonts w:ascii="Times New Roman" w:hAnsi="Times New Roman"/>
          <w:sz w:val="22"/>
        </w:rPr>
        <w:t>Comunicar manutenções programadas com antecedência mínima de 5 dias úteis;</w:t>
      </w:r>
    </w:p>
    <w:p>
      <w:pPr>
        <w:pStyle w:val="ListBullet"/>
        <w:spacing w:after="80"/>
        <w:jc w:val="both"/>
      </w:pPr>
      <w:r>
        <w:rPr>
          <w:rFonts w:ascii="Times New Roman" w:hAnsi="Times New Roman"/>
          <w:sz w:val="22"/>
        </w:rPr>
        <w:t>Não subcontratar sem prévia autorização escrita da CONTRATANTE.</w:t>
      </w:r>
    </w:p>
    <w:p>
      <w:pPr>
        <w:spacing w:before="360" w:after="120"/>
        <w:pBdr>
          <w:bottom w:val="single" w:sz="6" w:space="1" w:color="000000"/>
        </w:pBdr>
      </w:pPr>
      <w:r>
        <w:rPr>
          <w:rFonts w:ascii="Times New Roman" w:hAnsi="Times New Roman"/>
          <w:b/>
          <w:color w:val="000000"/>
          <w:sz w:val="24"/>
        </w:rPr>
        <w:t>CLÁUSULA 6 — OBRIGAÇÕES DA CONTRATANTE</w:t>
      </w:r>
    </w:p>
    <w:p>
      <w:pPr>
        <w:spacing w:after="120"/>
        <w:jc w:val="both"/>
      </w:pPr>
      <w:r>
        <w:rPr>
          <w:rFonts w:ascii="Times New Roman" w:hAnsi="Times New Roman"/>
          <w:sz w:val="24"/>
        </w:rPr>
        <w:t>A CONTRATANTE obriga-se a:</w:t>
      </w:r>
    </w:p>
    <w:p>
      <w:pPr>
        <w:pStyle w:val="ListBullet"/>
        <w:spacing w:after="80"/>
        <w:jc w:val="both"/>
      </w:pPr>
      <w:r>
        <w:rPr>
          <w:rFonts w:ascii="Times New Roman" w:hAnsi="Times New Roman"/>
          <w:sz w:val="22"/>
        </w:rPr>
        <w:t>Efetuar os pagamentos nas datas e formas pactuadas;</w:t>
      </w:r>
    </w:p>
    <w:p>
      <w:pPr>
        <w:pStyle w:val="ListBullet"/>
        <w:spacing w:after="80"/>
        <w:jc w:val="both"/>
      </w:pPr>
      <w:r>
        <w:rPr>
          <w:rFonts w:ascii="Times New Roman" w:hAnsi="Times New Roman"/>
          <w:sz w:val="22"/>
        </w:rPr>
        <w:t>Fornecer os arquivos de dados nos formatos acordados (XLSX, CSV);</w:t>
      </w:r>
    </w:p>
    <w:p>
      <w:pPr>
        <w:pStyle w:val="ListBullet"/>
        <w:spacing w:after="80"/>
        <w:jc w:val="both"/>
      </w:pPr>
      <w:r>
        <w:rPr>
          <w:rFonts w:ascii="Times New Roman" w:hAnsi="Times New Roman"/>
          <w:sz w:val="22"/>
        </w:rPr>
        <w:t>Contratar e manter a infraestrutura de hospedagem (VPS, domínio, SSL, internet);</w:t>
      </w:r>
    </w:p>
    <w:p>
      <w:pPr>
        <w:pStyle w:val="ListBullet"/>
        <w:spacing w:after="80"/>
        <w:jc w:val="both"/>
      </w:pPr>
      <w:r>
        <w:rPr>
          <w:rFonts w:ascii="Times New Roman" w:hAnsi="Times New Roman"/>
          <w:sz w:val="22"/>
        </w:rPr>
        <w:t>Designar um interlocutor técnico para acompanhamento e aprovação de entregas;</w:t>
      </w:r>
    </w:p>
    <w:p>
      <w:pPr>
        <w:pStyle w:val="ListBullet"/>
        <w:spacing w:after="80"/>
        <w:jc w:val="both"/>
      </w:pPr>
      <w:r>
        <w:rPr>
          <w:rFonts w:ascii="Times New Roman" w:hAnsi="Times New Roman"/>
          <w:sz w:val="22"/>
        </w:rPr>
        <w:t>Comunicar mudanças nas estruturas dos arquivos-fonte com antecedência de 5 dias úteis;</w:t>
      </w:r>
    </w:p>
    <w:p>
      <w:pPr>
        <w:pStyle w:val="ListBullet"/>
        <w:spacing w:after="80"/>
        <w:jc w:val="both"/>
      </w:pPr>
      <w:r>
        <w:rPr>
          <w:rFonts w:ascii="Times New Roman" w:hAnsi="Times New Roman"/>
          <w:sz w:val="22"/>
        </w:rPr>
        <w:t>Não ceder ou disponibilizar a plataforma a terceiros sem autorização escrita;</w:t>
      </w:r>
    </w:p>
    <w:p>
      <w:pPr>
        <w:pStyle w:val="ListBullet"/>
        <w:spacing w:after="80"/>
        <w:jc w:val="both"/>
      </w:pPr>
      <w:r>
        <w:rPr>
          <w:rFonts w:ascii="Times New Roman" w:hAnsi="Times New Roman"/>
          <w:sz w:val="22"/>
        </w:rPr>
        <w:t>Zelar pela segurança das credenciais de acesso.</w:t>
      </w:r>
    </w:p>
    <w:p>
      <w:pPr>
        <w:spacing w:before="360" w:after="120"/>
        <w:pBdr>
          <w:bottom w:val="single" w:sz="6" w:space="1" w:color="000000"/>
        </w:pBdr>
      </w:pPr>
      <w:r>
        <w:rPr>
          <w:rFonts w:ascii="Times New Roman" w:hAnsi="Times New Roman"/>
          <w:b/>
          <w:color w:val="000000"/>
          <w:sz w:val="24"/>
        </w:rPr>
        <w:t>CLÁUSULA 7 — PROPRIEDADE INTELECTUAL E CÓDIGO-FONTE</w:t>
      </w:r>
    </w:p>
    <w:p>
      <w:pPr>
        <w:spacing w:after="120"/>
        <w:jc w:val="both"/>
      </w:pPr>
      <w:r>
        <w:rPr>
          <w:rFonts w:ascii="Times New Roman" w:hAnsi="Times New Roman"/>
          <w:b/>
          <w:sz w:val="24"/>
        </w:rPr>
        <w:t>7.1</w:t>
      </w:r>
      <w:r>
        <w:rPr>
          <w:rFonts w:ascii="Times New Roman" w:hAnsi="Times New Roman"/>
          <w:sz w:val="24"/>
        </w:rPr>
        <w:t xml:space="preserve"> O código-fonte desenvolvido será de propriedade da CONTRATANTE após o cumprimento integral das obrigações financeiras, entregue versionado em repositório privado.</w:t>
      </w:r>
    </w:p>
    <w:p>
      <w:pPr>
        <w:spacing w:after="120"/>
        <w:jc w:val="both"/>
      </w:pPr>
      <w:r>
        <w:rPr>
          <w:rFonts w:ascii="Times New Roman" w:hAnsi="Times New Roman"/>
          <w:b/>
          <w:sz w:val="24"/>
        </w:rPr>
        <w:t>7.2</w:t>
      </w:r>
      <w:r>
        <w:rPr>
          <w:rFonts w:ascii="Times New Roman" w:hAnsi="Times New Roman"/>
          <w:sz w:val="24"/>
        </w:rPr>
        <w:t xml:space="preserve"> Durante a vigência, o código é de uso exclusivo da CONTRATANTE para fins previstos neste instrumento, vedada cessão ou sublicenciamento.</w:t>
      </w:r>
    </w:p>
    <w:p>
      <w:pPr>
        <w:spacing w:after="120"/>
        <w:jc w:val="both"/>
      </w:pPr>
      <w:r>
        <w:rPr>
          <w:rFonts w:ascii="Times New Roman" w:hAnsi="Times New Roman"/>
          <w:b/>
          <w:sz w:val="24"/>
        </w:rPr>
        <w:t>7.3</w:t>
      </w:r>
      <w:r>
        <w:rPr>
          <w:rFonts w:ascii="Times New Roman" w:hAnsi="Times New Roman"/>
          <w:sz w:val="24"/>
        </w:rPr>
        <w:t xml:space="preserve"> A CONTRATADA reserva-se o direito de reutilizar componentes genéricos em outros projetos, desde que não exponha dados ou regras de negócio da CONTRATANTE.</w:t>
      </w:r>
    </w:p>
    <w:p>
      <w:pPr>
        <w:spacing w:after="120"/>
        <w:jc w:val="both"/>
      </w:pPr>
      <w:r>
        <w:rPr>
          <w:rFonts w:ascii="Times New Roman" w:hAnsi="Times New Roman"/>
          <w:b/>
          <w:sz w:val="24"/>
        </w:rPr>
        <w:t>7.4</w:t>
      </w:r>
      <w:r>
        <w:rPr>
          <w:rFonts w:ascii="Times New Roman" w:hAnsi="Times New Roman"/>
          <w:sz w:val="24"/>
        </w:rPr>
        <w:t xml:space="preserve"> Os dados processados são de titularidade exclusiva da CONTRATANTE, armazenados na infraestrutura própria da CONTRATANTE, sem transmissão a terceiros.</w:t>
      </w:r>
    </w:p>
    <w:p>
      <w:pPr>
        <w:spacing w:before="360" w:after="120"/>
        <w:pBdr>
          <w:bottom w:val="single" w:sz="6" w:space="1" w:color="000000"/>
        </w:pBdr>
      </w:pPr>
      <w:r>
        <w:rPr>
          <w:rFonts w:ascii="Times New Roman" w:hAnsi="Times New Roman"/>
          <w:b/>
          <w:color w:val="000000"/>
          <w:sz w:val="24"/>
        </w:rPr>
        <w:t>CLÁUSULA 8 — CONFIDENCIALIDADE E LGPD</w:t>
      </w:r>
    </w:p>
    <w:p>
      <w:pPr>
        <w:spacing w:after="120"/>
        <w:jc w:val="both"/>
      </w:pPr>
      <w:r>
        <w:rPr>
          <w:rFonts w:ascii="Times New Roman" w:hAnsi="Times New Roman"/>
          <w:b/>
          <w:sz w:val="24"/>
        </w:rPr>
        <w:t>8.1</w:t>
      </w:r>
      <w:r>
        <w:rPr>
          <w:rFonts w:ascii="Times New Roman" w:hAnsi="Times New Roman"/>
          <w:sz w:val="24"/>
        </w:rPr>
        <w:t xml:space="preserve"> As partes mantêm sigilo sobre todas as informações técnicas, comerciais, financeiras e operacionais pelo período de 5 (cinco) anos após o término do Contrato.</w:t>
      </w:r>
    </w:p>
    <w:p>
      <w:pPr>
        <w:spacing w:after="120"/>
        <w:jc w:val="both"/>
      </w:pPr>
      <w:r>
        <w:rPr>
          <w:rFonts w:ascii="Times New Roman" w:hAnsi="Times New Roman"/>
          <w:b/>
          <w:sz w:val="24"/>
        </w:rPr>
        <w:t>8.2</w:t>
      </w:r>
      <w:r>
        <w:rPr>
          <w:rFonts w:ascii="Times New Roman" w:hAnsi="Times New Roman"/>
          <w:sz w:val="24"/>
        </w:rPr>
        <w:t xml:space="preserve"> A CONTRATADA não divulgará nem utilizará dados da CONTRATANTE para fins próprios.</w:t>
      </w:r>
    </w:p>
    <w:p>
      <w:pPr>
        <w:spacing w:after="120"/>
        <w:jc w:val="both"/>
      </w:pPr>
      <w:r>
        <w:rPr>
          <w:rFonts w:ascii="Times New Roman" w:hAnsi="Times New Roman"/>
          <w:b/>
          <w:sz w:val="24"/>
        </w:rPr>
        <w:t>8.3</w:t>
      </w:r>
      <w:r>
        <w:rPr>
          <w:rFonts w:ascii="Times New Roman" w:hAnsi="Times New Roman"/>
          <w:sz w:val="24"/>
        </w:rPr>
        <w:t xml:space="preserve"> As partes cumprem a Lei Geral de Proteção de Dados (Lei nº 13.709/2018 — LGPD) e adotam medidas técnicas adequadas de proteção de dados pessoais.</w:t>
      </w:r>
    </w:p>
    <w:p>
      <w:pPr>
        <w:spacing w:after="120"/>
        <w:jc w:val="both"/>
      </w:pPr>
      <w:r>
        <w:rPr>
          <w:rFonts w:ascii="Times New Roman" w:hAnsi="Times New Roman"/>
          <w:b/>
          <w:sz w:val="24"/>
        </w:rPr>
        <w:t>8.4</w:t>
      </w:r>
      <w:r>
        <w:rPr>
          <w:rFonts w:ascii="Times New Roman" w:hAnsi="Times New Roman"/>
          <w:sz w:val="24"/>
        </w:rPr>
        <w:t xml:space="preserve"> A CONTRATADA atua como operadora de dados, processando conforme instruções da CONTRATANTE (controladora), sem finalidade autônoma.</w:t>
      </w:r>
    </w:p>
    <w:p>
      <w:pPr>
        <w:spacing w:before="360" w:after="120"/>
        <w:pBdr>
          <w:bottom w:val="single" w:sz="6" w:space="1" w:color="000000"/>
        </w:pBdr>
      </w:pPr>
      <w:r>
        <w:rPr>
          <w:rFonts w:ascii="Times New Roman" w:hAnsi="Times New Roman"/>
          <w:b/>
          <w:color w:val="000000"/>
          <w:sz w:val="24"/>
        </w:rPr>
        <w:t>CLÁUSULA 9 — RESCISÃO</w:t>
      </w:r>
    </w:p>
    <w:p>
      <w:pPr>
        <w:spacing w:after="120"/>
        <w:jc w:val="both"/>
      </w:pPr>
      <w:r>
        <w:rPr>
          <w:rFonts w:ascii="Times New Roman" w:hAnsi="Times New Roman"/>
          <w:b/>
          <w:sz w:val="24"/>
        </w:rPr>
        <w:t>9.1</w:t>
      </w:r>
      <w:r>
        <w:rPr>
          <w:rFonts w:ascii="Times New Roman" w:hAnsi="Times New Roman"/>
          <w:sz w:val="24"/>
        </w:rPr>
        <w:t xml:space="preserve"> Este Contrato poderá ser rescindido: (a) por mútuo acordo, com aviso prévio de 30 dias; (b) por inadimplência, após notificação e prazo de 10 dias úteis para regularização; (c) imediatamente, por descumprimento grave das obrigações de confidencialidade.</w:t>
      </w:r>
    </w:p>
    <w:p>
      <w:pPr>
        <w:spacing w:after="120"/>
        <w:jc w:val="both"/>
      </w:pPr>
      <w:r>
        <w:rPr>
          <w:rFonts w:ascii="Times New Roman" w:hAnsi="Times New Roman"/>
          <w:b/>
          <w:sz w:val="24"/>
        </w:rPr>
        <w:t>9.2</w:t>
      </w:r>
      <w:r>
        <w:rPr>
          <w:rFonts w:ascii="Times New Roman" w:hAnsi="Times New Roman"/>
          <w:sz w:val="24"/>
        </w:rPr>
        <w:t xml:space="preserve"> Rescisão antecipada sem justa causa pela CONTRATANTE: multa de 20% do valor remanescente das parcelas vincendas.</w:t>
      </w:r>
    </w:p>
    <w:p>
      <w:pPr>
        <w:spacing w:after="120"/>
        <w:jc w:val="both"/>
      </w:pPr>
      <w:r>
        <w:rPr>
          <w:rFonts w:ascii="Times New Roman" w:hAnsi="Times New Roman"/>
          <w:b/>
          <w:sz w:val="24"/>
        </w:rPr>
        <w:t>9.3</w:t>
      </w:r>
      <w:r>
        <w:rPr>
          <w:rFonts w:ascii="Times New Roman" w:hAnsi="Times New Roman"/>
          <w:sz w:val="24"/>
        </w:rPr>
        <w:t xml:space="preserve"> Rescisão antecipada sem justa causa pela CONTRATADA: multa de 20% das parcelas vincendas, mais entrega do código-fonte atualizado.</w:t>
      </w:r>
    </w:p>
    <w:p>
      <w:pPr>
        <w:spacing w:after="120"/>
        <w:jc w:val="both"/>
      </w:pPr>
      <w:r>
        <w:rPr>
          <w:rFonts w:ascii="Times New Roman" w:hAnsi="Times New Roman"/>
          <w:b/>
          <w:sz w:val="24"/>
        </w:rPr>
        <w:t>9.4</w:t>
      </w:r>
      <w:r>
        <w:rPr>
          <w:rFonts w:ascii="Times New Roman" w:hAnsi="Times New Roman"/>
          <w:sz w:val="24"/>
        </w:rPr>
        <w:t xml:space="preserve"> A rescisão não desobriga as partes das obrigações anteriores à sua data efetiva, nem das obrigações de confidencialidade.</w:t>
      </w:r>
    </w:p>
    <w:p>
      <w:pPr>
        <w:spacing w:before="360" w:after="120"/>
        <w:pBdr>
          <w:bottom w:val="single" w:sz="6" w:space="1" w:color="000000"/>
        </w:pBdr>
      </w:pPr>
      <w:r>
        <w:rPr>
          <w:rFonts w:ascii="Times New Roman" w:hAnsi="Times New Roman"/>
          <w:b/>
          <w:color w:val="000000"/>
          <w:sz w:val="24"/>
        </w:rPr>
        <w:t>CLÁUSULA 10 — LIMITAÇÃO DE RESPONSABILIDADE</w:t>
      </w:r>
    </w:p>
    <w:p>
      <w:pPr>
        <w:spacing w:after="120"/>
        <w:jc w:val="both"/>
      </w:pPr>
      <w:r>
        <w:rPr>
          <w:rFonts w:ascii="Times New Roman" w:hAnsi="Times New Roman"/>
          <w:b/>
          <w:sz w:val="24"/>
        </w:rPr>
        <w:t>10.1</w:t>
      </w:r>
      <w:r>
        <w:rPr>
          <w:rFonts w:ascii="Times New Roman" w:hAnsi="Times New Roman"/>
          <w:sz w:val="24"/>
        </w:rPr>
        <w:t xml:space="preserve"> A CONTRATADA não responde por falhas decorrentes da infraestrutura de hospedagem sob responsabilidade da CONTRATANTE.</w:t>
      </w:r>
    </w:p>
    <w:p>
      <w:pPr>
        <w:spacing w:after="120"/>
        <w:jc w:val="both"/>
      </w:pPr>
      <w:r>
        <w:rPr>
          <w:rFonts w:ascii="Times New Roman" w:hAnsi="Times New Roman"/>
          <w:b/>
          <w:sz w:val="24"/>
        </w:rPr>
        <w:t>10.2</w:t>
      </w:r>
      <w:r>
        <w:rPr>
          <w:rFonts w:ascii="Times New Roman" w:hAnsi="Times New Roman"/>
          <w:sz w:val="24"/>
        </w:rPr>
        <w:t xml:space="preserve"> A CONTRATADA não responde por imprecisões causadas por dados-fonte incorretos ou fornecidos fora do formato acordado.</w:t>
      </w:r>
    </w:p>
    <w:p>
      <w:pPr>
        <w:spacing w:after="120"/>
        <w:jc w:val="both"/>
      </w:pPr>
      <w:r>
        <w:rPr>
          <w:rFonts w:ascii="Times New Roman" w:hAnsi="Times New Roman"/>
          <w:b/>
          <w:sz w:val="24"/>
        </w:rPr>
        <w:t>10.3</w:t>
      </w:r>
      <w:r>
        <w:rPr>
          <w:rFonts w:ascii="Times New Roman" w:hAnsi="Times New Roman"/>
          <w:sz w:val="24"/>
        </w:rPr>
        <w:t xml:space="preserve"> A responsabilidade total da CONTRATADA fica limitada ao valor pago nos 3 (três) meses anteriores ao evento danoso.</w:t>
      </w:r>
    </w:p>
    <w:p>
      <w:pPr>
        <w:spacing w:before="360" w:after="120"/>
        <w:pBdr>
          <w:bottom w:val="single" w:sz="6" w:space="1" w:color="000000"/>
        </w:pBdr>
      </w:pPr>
      <w:r>
        <w:rPr>
          <w:rFonts w:ascii="Times New Roman" w:hAnsi="Times New Roman"/>
          <w:b/>
          <w:color w:val="000000"/>
          <w:sz w:val="24"/>
        </w:rPr>
        <w:t>CLÁUSULA 11 — DISPOSIÇÕES GERAIS</w:t>
      </w:r>
    </w:p>
    <w:p>
      <w:pPr>
        <w:spacing w:after="120"/>
        <w:jc w:val="both"/>
      </w:pPr>
      <w:r>
        <w:rPr>
          <w:rFonts w:ascii="Times New Roman" w:hAnsi="Times New Roman"/>
          <w:b/>
          <w:sz w:val="24"/>
        </w:rPr>
        <w:t>11.1</w:t>
      </w:r>
      <w:r>
        <w:rPr>
          <w:rFonts w:ascii="Times New Roman" w:hAnsi="Times New Roman"/>
          <w:sz w:val="24"/>
        </w:rPr>
        <w:t xml:space="preserve"> Este Contrato substitui quaisquer negociações ou acordos anteriores em relação ao seu objeto.</w:t>
      </w:r>
    </w:p>
    <w:p>
      <w:pPr>
        <w:spacing w:after="120"/>
        <w:jc w:val="both"/>
      </w:pPr>
      <w:r>
        <w:rPr>
          <w:rFonts w:ascii="Times New Roman" w:hAnsi="Times New Roman"/>
          <w:b/>
          <w:sz w:val="24"/>
        </w:rPr>
        <w:t>11.2</w:t>
      </w:r>
      <w:r>
        <w:rPr>
          <w:rFonts w:ascii="Times New Roman" w:hAnsi="Times New Roman"/>
          <w:sz w:val="24"/>
        </w:rPr>
        <w:t xml:space="preserve"> Alterações somente produzem efeito se formalizadas por escrito e assinadas por ambas as partes.</w:t>
      </w:r>
    </w:p>
    <w:p>
      <w:pPr>
        <w:spacing w:after="120"/>
        <w:jc w:val="both"/>
      </w:pPr>
      <w:r>
        <w:rPr>
          <w:rFonts w:ascii="Times New Roman" w:hAnsi="Times New Roman"/>
          <w:b/>
          <w:sz w:val="24"/>
        </w:rPr>
        <w:t>11.3</w:t>
      </w:r>
      <w:r>
        <w:rPr>
          <w:rFonts w:ascii="Times New Roman" w:hAnsi="Times New Roman"/>
          <w:sz w:val="24"/>
        </w:rPr>
        <w:t xml:space="preserve"> Tolerância a descumprimento não implica novação, renúncia ou alteração das condições.</w:t>
      </w:r>
    </w:p>
    <w:p>
      <w:pPr>
        <w:spacing w:after="120"/>
        <w:jc w:val="both"/>
      </w:pPr>
      <w:r>
        <w:rPr>
          <w:rFonts w:ascii="Times New Roman" w:hAnsi="Times New Roman"/>
          <w:b/>
          <w:sz w:val="24"/>
        </w:rPr>
        <w:t>11.4</w:t>
      </w:r>
      <w:r>
        <w:rPr>
          <w:rFonts w:ascii="Times New Roman" w:hAnsi="Times New Roman"/>
          <w:sz w:val="24"/>
        </w:rPr>
        <w:t xml:space="preserve"> Cláusulas inválidas não invalidam o restante do instrumento.</w:t>
      </w:r>
    </w:p>
    <w:p>
      <w:pPr>
        <w:spacing w:after="120"/>
        <w:jc w:val="both"/>
      </w:pPr>
      <w:r>
        <w:rPr>
          <w:rFonts w:ascii="Times New Roman" w:hAnsi="Times New Roman"/>
          <w:b/>
          <w:sz w:val="24"/>
        </w:rPr>
        <w:t>11.5</w:t>
      </w:r>
      <w:r>
        <w:rPr>
          <w:rFonts w:ascii="Times New Roman" w:hAnsi="Times New Roman"/>
          <w:sz w:val="24"/>
        </w:rPr>
        <w:t xml:space="preserve"> E-mail com confirmação de recebimento é aceito como meio válido de notificação.</w:t>
      </w:r>
    </w:p>
    <w:p>
      <w:pPr>
        <w:spacing w:before="360" w:after="120"/>
        <w:pBdr>
          <w:bottom w:val="single" w:sz="6" w:space="1" w:color="000000"/>
        </w:pBdr>
      </w:pPr>
      <w:r>
        <w:rPr>
          <w:rFonts w:ascii="Times New Roman" w:hAnsi="Times New Roman"/>
          <w:b/>
          <w:color w:val="000000"/>
          <w:sz w:val="24"/>
        </w:rPr>
        <w:t>CLÁUSULA 12 — FORO</w:t>
      </w:r>
    </w:p>
    <w:p>
      <w:pPr>
        <w:spacing w:after="120"/>
        <w:jc w:val="both"/>
      </w:pPr>
      <w:r>
        <w:rPr>
          <w:rFonts w:ascii="Times New Roman" w:hAnsi="Times New Roman"/>
          <w:b/>
          <w:sz w:val="24"/>
        </w:rPr>
        <w:t>12.1</w:t>
      </w:r>
      <w:r>
        <w:rPr>
          <w:rFonts w:ascii="Times New Roman" w:hAnsi="Times New Roman"/>
          <w:sz w:val="24"/>
        </w:rPr>
        <w:t xml:space="preserve"> As partes elegem o Foro da Comarca de Osasco — Estado de São Paulo para dirimir quaisquer controvérsias, renunciando a qualquer outro.</w:t>
      </w:r>
    </w:p>
    <w:p>
      <w:pPr>
        <w:pBdr>
          <w:bottom w:val="single" w:sz="12" w:space="1" w:color="000000"/>
        </w:pBdr>
        <w:spacing w:before="320" w:after="320"/>
      </w:pPr>
    </w:p>
    <w:p>
      <w:pPr>
        <w:jc w:val="center"/>
      </w:pPr>
      <w:r>
        <w:rPr>
          <w:rFonts w:ascii="Times New Roman" w:hAnsi="Times New Roman"/>
          <w:sz w:val="22"/>
        </w:rPr>
        <w:t>Por estarem assim justas e contratadas, as partes assinam o presente instrumento em 2 (duas) vias de igual teor, juntamente com as 2 (duas) testemunhas abaixo.</w:t>
      </w:r>
    </w:p>
    <w:p>
      <w:pPr>
        <w:jc w:val="center"/>
      </w:pPr>
      <w:r>
        <w:rPr>
          <w:rFonts w:ascii="Times New Roman" w:hAnsi="Times New Roman"/>
          <w:b/>
          <w:sz w:val="24"/>
        </w:rPr>
        <w:br/>
        <w:t>Osasco / SP, ______ de __________________ de 2026.</w:t>
      </w:r>
    </w:p>
    <w:p/>
    <w:tbl>
      <w:tblPr>
        <w:tblStyle w:val="TableGrid"/>
        <w:tblW w:type="auto" w:w="0"/>
        <w:tblLook w:firstColumn="1" w:firstRow="1" w:lastColumn="0" w:lastRow="0" w:noHBand="0" w:noVBand="1" w:val="04A0"/>
      </w:tblPr>
      <w:tblGrid>
        <w:gridCol w:w="4561"/>
        <w:gridCol w:w="4561"/>
      </w:tblGrid>
      <w:tr>
        <w:tc>
          <w:tcPr>
            <w:tcW w:type="dxa" w:w="4561"/>
            <w:tcBdr>
              <w:top w:val="none"/>
              <w:left w:val="none"/>
              <w:bottom w:val="none"/>
              <w:right w:val="none"/>
            </w:tcBdr>
          </w:tcPr>
          <w:p>
            <w:pPr>
              <w:jc w:val="center"/>
            </w:pPr>
            <w:r>
              <w:rPr>
                <w:rFonts w:ascii="Times New Roman" w:hAnsi="Times New Roman"/>
                <w:b w:val="0"/>
                <w:sz w:val="20"/>
              </w:rPr>
              <w:br/>
              <w:br/>
            </w:r>
          </w:p>
        </w:tc>
        <w:tc>
          <w:tcPr>
            <w:tcW w:type="dxa" w:w="4561"/>
            <w:tcBdr>
              <w:top w:val="none"/>
              <w:left w:val="none"/>
              <w:bottom w:val="none"/>
              <w:right w:val="none"/>
            </w:tcBdr>
          </w:tcPr>
          <w:p>
            <w:pPr>
              <w:jc w:val="center"/>
            </w:pPr>
            <w:r>
              <w:rPr>
                <w:rFonts w:ascii="Times New Roman" w:hAnsi="Times New Roman"/>
                <w:b w:val="0"/>
                <w:sz w:val="20"/>
              </w:rPr>
              <w:br/>
              <w:br/>
            </w:r>
          </w:p>
        </w:tc>
      </w:tr>
      <w:tr>
        <w:tc>
          <w:tcPr>
            <w:tcW w:type="dxa" w:w="4561"/>
            <w:tcBdr>
              <w:top w:val="none"/>
              <w:left w:val="none"/>
              <w:bottom w:val="none"/>
              <w:right w:val="none"/>
            </w:tcBdr>
          </w:tcPr>
          <w:p>
            <w:pPr>
              <w:jc w:val="center"/>
            </w:pPr>
            <w:r>
              <w:rPr>
                <w:rFonts w:ascii="Times New Roman" w:hAnsi="Times New Roman"/>
                <w:b w:val="0"/>
                <w:sz w:val="20"/>
              </w:rPr>
              <w:t>_______________________________________________</w:t>
            </w:r>
          </w:p>
        </w:tc>
        <w:tc>
          <w:tcPr>
            <w:tcW w:type="dxa" w:w="4561"/>
            <w:tcBdr>
              <w:top w:val="none"/>
              <w:left w:val="none"/>
              <w:bottom w:val="none"/>
              <w:right w:val="none"/>
            </w:tcBdr>
          </w:tcPr>
          <w:p>
            <w:pPr>
              <w:jc w:val="center"/>
            </w:pPr>
            <w:r>
              <w:rPr>
                <w:rFonts w:ascii="Times New Roman" w:hAnsi="Times New Roman"/>
                <w:b w:val="0"/>
                <w:sz w:val="20"/>
              </w:rPr>
              <w:t>_______________________________________________</w:t>
            </w:r>
          </w:p>
        </w:tc>
      </w:tr>
      <w:tr>
        <w:tc>
          <w:tcPr>
            <w:tcW w:type="dxa" w:w="4561"/>
            <w:tcBdr>
              <w:top w:val="none"/>
              <w:left w:val="none"/>
              <w:bottom w:val="none"/>
              <w:right w:val="none"/>
            </w:tcBdr>
          </w:tcPr>
          <w:p>
            <w:pPr>
              <w:jc w:val="center"/>
            </w:pPr>
            <w:r>
              <w:rPr>
                <w:rFonts w:ascii="Times New Roman" w:hAnsi="Times New Roman"/>
                <w:b w:val="0"/>
                <w:sz w:val="20"/>
              </w:rPr>
              <w:t>Tudo Mudou Marketing e Consultoria</w:t>
              <w:br/>
              <w:t>CNPJ: 40.790.711/0001-21</w:t>
              <w:br/>
              <w:t>Representante: ________________________</w:t>
              <w:br/>
              <w:t>CPF: _____________________</w:t>
            </w:r>
          </w:p>
        </w:tc>
        <w:tc>
          <w:tcPr>
            <w:tcW w:type="dxa" w:w="4561"/>
            <w:tcBdr>
              <w:top w:val="none"/>
              <w:left w:val="none"/>
              <w:bottom w:val="none"/>
              <w:right w:val="none"/>
            </w:tcBdr>
          </w:tcPr>
          <w:p>
            <w:pPr>
              <w:jc w:val="center"/>
            </w:pPr>
            <w:r>
              <w:rPr>
                <w:rFonts w:ascii="Times New Roman" w:hAnsi="Times New Roman"/>
                <w:b w:val="0"/>
                <w:sz w:val="20"/>
              </w:rPr>
              <w:t>Autron Automação Indústria e Comércio Ltda</w:t>
              <w:br/>
              <w:t>CNPJ: 72.932.718/0001-27</w:t>
              <w:br/>
              <w:t>Representante: ________________________</w:t>
              <w:br/>
              <w:t>CPF: _____________________</w:t>
            </w:r>
          </w:p>
        </w:tc>
      </w:tr>
    </w:tbl>
    <w:p/>
    <w:p>
      <w:pPr>
        <w:jc w:val="center"/>
      </w:pPr>
      <w:r>
        <w:rPr>
          <w:rFonts w:ascii="Times New Roman" w:hAnsi="Times New Roman"/>
          <w:b/>
          <w:sz w:val="22"/>
        </w:rPr>
        <w:t>Testemunhas:</w:t>
      </w:r>
    </w:p>
    <w:p/>
    <w:tbl>
      <w:tblPr>
        <w:tblStyle w:val="TableGrid"/>
        <w:tblW w:type="auto" w:w="0"/>
        <w:tblLook w:firstColumn="1" w:firstRow="1" w:lastColumn="0" w:lastRow="0" w:noHBand="0" w:noVBand="1" w:val="04A0"/>
      </w:tblPr>
      <w:tblGrid>
        <w:gridCol w:w="4561"/>
        <w:gridCol w:w="4561"/>
      </w:tblGrid>
      <w:tr>
        <w:tc>
          <w:tcPr>
            <w:tcW w:type="dxa" w:w="4561"/>
            <w:tcBdr>
              <w:top w:val="none"/>
              <w:left w:val="none"/>
              <w:bottom w:val="none"/>
              <w:right w:val="none"/>
            </w:tcBdr>
          </w:tcPr>
          <w:p>
            <w:pPr>
              <w:jc w:val="center"/>
            </w:pPr>
            <w:r>
              <w:rPr>
                <w:rFonts w:ascii="Times New Roman" w:hAnsi="Times New Roman"/>
                <w:b w:val="0"/>
                <w:sz w:val="20"/>
              </w:rPr>
              <w:br/>
              <w:br/>
            </w:r>
          </w:p>
        </w:tc>
        <w:tc>
          <w:tcPr>
            <w:tcW w:type="dxa" w:w="4561"/>
            <w:tcBdr>
              <w:top w:val="none"/>
              <w:left w:val="none"/>
              <w:bottom w:val="none"/>
              <w:right w:val="none"/>
            </w:tcBdr>
          </w:tcPr>
          <w:p>
            <w:pPr>
              <w:jc w:val="center"/>
            </w:pPr>
            <w:r>
              <w:rPr>
                <w:rFonts w:ascii="Times New Roman" w:hAnsi="Times New Roman"/>
                <w:b w:val="0"/>
                <w:sz w:val="20"/>
              </w:rPr>
              <w:br/>
              <w:br/>
            </w:r>
          </w:p>
        </w:tc>
      </w:tr>
      <w:tr>
        <w:tc>
          <w:tcPr>
            <w:tcW w:type="dxa" w:w="4561"/>
            <w:tcBdr>
              <w:top w:val="none"/>
              <w:left w:val="none"/>
              <w:bottom w:val="none"/>
              <w:right w:val="none"/>
            </w:tcBdr>
          </w:tcPr>
          <w:p>
            <w:pPr>
              <w:jc w:val="center"/>
            </w:pPr>
            <w:r>
              <w:rPr>
                <w:rFonts w:ascii="Times New Roman" w:hAnsi="Times New Roman"/>
                <w:b w:val="0"/>
                <w:sz w:val="20"/>
              </w:rPr>
              <w:t>_______________________________________________</w:t>
            </w:r>
          </w:p>
        </w:tc>
        <w:tc>
          <w:tcPr>
            <w:tcW w:type="dxa" w:w="4561"/>
            <w:tcBdr>
              <w:top w:val="none"/>
              <w:left w:val="none"/>
              <w:bottom w:val="none"/>
              <w:right w:val="none"/>
            </w:tcBdr>
          </w:tcPr>
          <w:p>
            <w:pPr>
              <w:jc w:val="center"/>
            </w:pPr>
            <w:r>
              <w:rPr>
                <w:rFonts w:ascii="Times New Roman" w:hAnsi="Times New Roman"/>
                <w:b w:val="0"/>
                <w:sz w:val="20"/>
              </w:rPr>
              <w:t>_______________________________________________</w:t>
            </w:r>
          </w:p>
        </w:tc>
      </w:tr>
      <w:tr>
        <w:tc>
          <w:tcPr>
            <w:tcW w:type="dxa" w:w="4561"/>
            <w:tcBdr>
              <w:top w:val="none"/>
              <w:left w:val="none"/>
              <w:bottom w:val="none"/>
              <w:right w:val="none"/>
            </w:tcBdr>
          </w:tcPr>
          <w:p>
            <w:pPr>
              <w:jc w:val="center"/>
            </w:pPr>
            <w:r>
              <w:rPr>
                <w:rFonts w:ascii="Times New Roman" w:hAnsi="Times New Roman"/>
                <w:b w:val="0"/>
                <w:sz w:val="20"/>
              </w:rPr>
              <w:t>Nome: ________________________________</w:t>
              <w:br/>
              <w:t>CPF: _____________________</w:t>
            </w:r>
          </w:p>
        </w:tc>
        <w:tc>
          <w:tcPr>
            <w:tcW w:type="dxa" w:w="4561"/>
            <w:tcBdr>
              <w:top w:val="none"/>
              <w:left w:val="none"/>
              <w:bottom w:val="none"/>
              <w:right w:val="none"/>
            </w:tcBdr>
          </w:tcPr>
          <w:p>
            <w:pPr>
              <w:jc w:val="center"/>
            </w:pPr>
            <w:r>
              <w:rPr>
                <w:rFonts w:ascii="Times New Roman" w:hAnsi="Times New Roman"/>
                <w:b w:val="0"/>
                <w:sz w:val="20"/>
              </w:rPr>
              <w:t>Nome: ________________________________</w:t>
              <w:br/>
              <w:t>CPF: _____________________</w:t>
            </w:r>
          </w:p>
        </w:tc>
      </w:tr>
    </w:tbl>
    <w:p>
      <w:pPr>
        <w:pBdr>
          <w:bottom w:val="single" w:sz="12" w:space="1" w:color="000000"/>
        </w:pBdr>
        <w:spacing w:before="320" w:after="320"/>
      </w:pPr>
    </w:p>
    <w:p>
      <w:pPr>
        <w:jc w:val="center"/>
      </w:pPr>
      <w:r>
        <w:rPr>
          <w:rFonts w:ascii="Times New Roman" w:hAnsi="Times New Roman"/>
          <w:color w:val="666666"/>
          <w:sz w:val="16"/>
        </w:rPr>
        <w:t>Contrato nº 001/2026  ·  Tudo Mudou Marketing e Consultoria × Autron Automação Indústria e Comércio Ltda</w:t>
        <w:br/>
        <w:t>Gerado em 08/05/2026</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