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jc w:val="left"/>
        <w:rPr>
          <w:rFonts w:ascii="Times New Roman"/>
          <w:sz w:val="2"/>
        </w:rPr>
      </w:pPr>
    </w:p>
    <w:tbl>
      <w:tblPr>
        <w:tblW w:w="0" w:type="auto"/>
        <w:jc w:val="left"/>
        <w:tblInd w:w="6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0"/>
      </w:tblGrid>
      <w:tr>
        <w:trPr>
          <w:trHeight w:val="443" w:hRule="atLeast"/>
        </w:trPr>
        <w:tc>
          <w:tcPr>
            <w:tcW w:w="3840" w:type="dxa"/>
          </w:tcPr>
          <w:p>
            <w:pPr>
              <w:pStyle w:val="TableParagraph"/>
              <w:spacing w:before="2"/>
              <w:ind w:right="48"/>
              <w:jc w:val="right"/>
              <w:rPr>
                <w:b/>
                <w:bCs/>
                <w:sz w:val="22"/>
                <w:szCs w:val="22"/>
              </w:rPr>
            </w:pPr>
            <w:r>
              <w:rPr>
                <w:b/>
                <w:bCs/>
                <w:sz w:val="22"/>
                <w:szCs w:val="22"/>
              </w:rPr>
              <w:t>ՀԱՍՏԱՏՎԱԾ</w:t>
            </w:r>
            <w:r>
              <w:rPr>
                <w:b/>
                <w:bCs/>
                <w:spacing w:val="-7"/>
                <w:sz w:val="22"/>
                <w:szCs w:val="22"/>
              </w:rPr>
              <w:t> </w:t>
            </w:r>
            <w:r>
              <w:rPr>
                <w:b/>
                <w:bCs/>
                <w:spacing w:val="-10"/>
                <w:sz w:val="22"/>
                <w:szCs w:val="22"/>
              </w:rPr>
              <w:t>է</w:t>
            </w:r>
          </w:p>
        </w:tc>
      </w:tr>
      <w:tr>
        <w:trPr>
          <w:trHeight w:val="734" w:hRule="atLeast"/>
        </w:trPr>
        <w:tc>
          <w:tcPr>
            <w:tcW w:w="3840" w:type="dxa"/>
          </w:tcPr>
          <w:p>
            <w:pPr>
              <w:pStyle w:val="TableParagraph"/>
              <w:spacing w:before="145"/>
              <w:ind w:left="50"/>
              <w:rPr>
                <w:sz w:val="22"/>
                <w:szCs w:val="22"/>
              </w:rPr>
            </w:pPr>
            <w:r>
              <w:rPr>
                <w:sz w:val="22"/>
                <w:szCs w:val="22"/>
              </w:rPr>
              <w:t>ՍԻԼԻՆՇՈՒՐԱՆՍ</w:t>
            </w:r>
            <w:r>
              <w:rPr>
                <w:spacing w:val="-9"/>
                <w:sz w:val="22"/>
                <w:szCs w:val="22"/>
              </w:rPr>
              <w:t> </w:t>
            </w:r>
            <w:r>
              <w:rPr>
                <w:sz w:val="22"/>
                <w:szCs w:val="22"/>
              </w:rPr>
              <w:t>ԱՓԲԸ</w:t>
            </w:r>
            <w:r>
              <w:rPr>
                <w:spacing w:val="-9"/>
                <w:sz w:val="22"/>
                <w:szCs w:val="22"/>
              </w:rPr>
              <w:t> </w:t>
            </w:r>
            <w:r>
              <w:rPr>
                <w:spacing w:val="-2"/>
                <w:sz w:val="22"/>
                <w:szCs w:val="22"/>
              </w:rPr>
              <w:t>խորհրդի</w:t>
            </w:r>
          </w:p>
          <w:p>
            <w:pPr>
              <w:pStyle w:val="TableParagraph"/>
              <w:spacing w:line="274" w:lineRule="exact"/>
              <w:ind w:left="1206"/>
              <w:rPr>
                <w:sz w:val="22"/>
                <w:szCs w:val="22"/>
              </w:rPr>
            </w:pPr>
            <w:r>
              <w:rPr>
                <w:sz w:val="22"/>
                <w:szCs w:val="22"/>
              </w:rPr>
              <w:t>12</w:t>
            </w:r>
            <w:r>
              <w:rPr>
                <w:spacing w:val="-6"/>
                <w:sz w:val="22"/>
                <w:szCs w:val="22"/>
              </w:rPr>
              <w:t> </w:t>
            </w:r>
            <w:r>
              <w:rPr>
                <w:sz w:val="22"/>
                <w:szCs w:val="22"/>
              </w:rPr>
              <w:t>սեպտեմբերի</w:t>
            </w:r>
            <w:r>
              <w:rPr>
                <w:spacing w:val="-4"/>
                <w:sz w:val="22"/>
                <w:szCs w:val="22"/>
              </w:rPr>
              <w:t> </w:t>
            </w:r>
            <w:r>
              <w:rPr>
                <w:spacing w:val="-2"/>
                <w:sz w:val="22"/>
                <w:szCs w:val="22"/>
              </w:rPr>
              <w:t>2018թ.</w:t>
            </w:r>
          </w:p>
        </w:tc>
      </w:tr>
      <w:tr>
        <w:trPr>
          <w:trHeight w:val="296" w:hRule="atLeast"/>
        </w:trPr>
        <w:tc>
          <w:tcPr>
            <w:tcW w:w="3840" w:type="dxa"/>
          </w:tcPr>
          <w:p>
            <w:pPr>
              <w:pStyle w:val="TableParagraph"/>
              <w:spacing w:line="275" w:lineRule="exact" w:before="1"/>
              <w:ind w:right="49"/>
              <w:jc w:val="right"/>
              <w:rPr>
                <w:sz w:val="22"/>
                <w:szCs w:val="22"/>
              </w:rPr>
            </w:pPr>
            <w:r>
              <w:rPr>
                <w:sz w:val="22"/>
                <w:szCs w:val="22"/>
              </w:rPr>
              <w:t>Թիվ</w:t>
            </w:r>
            <w:r>
              <w:rPr>
                <w:spacing w:val="-8"/>
                <w:sz w:val="22"/>
                <w:szCs w:val="22"/>
              </w:rPr>
              <w:t> </w:t>
            </w:r>
            <w:r>
              <w:rPr>
                <w:sz w:val="22"/>
                <w:szCs w:val="22"/>
              </w:rPr>
              <w:t>02-Ո-007/04</w:t>
            </w:r>
            <w:r>
              <w:rPr>
                <w:spacing w:val="-7"/>
                <w:sz w:val="22"/>
                <w:szCs w:val="22"/>
              </w:rPr>
              <w:t> </w:t>
            </w:r>
            <w:r>
              <w:rPr>
                <w:spacing w:val="-2"/>
                <w:sz w:val="22"/>
                <w:szCs w:val="22"/>
              </w:rPr>
              <w:t>Որոշմամբ</w:t>
            </w:r>
          </w:p>
        </w:tc>
      </w:tr>
    </w:tbl>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9"/>
        <w:jc w:val="left"/>
        <w:rPr>
          <w:rFonts w:ascii="Times New Roman"/>
          <w:sz w:val="27"/>
        </w:rPr>
      </w:pPr>
      <w:r>
        <w:rPr/>
        <w:drawing>
          <wp:anchor distT="0" distB="0" distL="0" distR="0" allowOverlap="1" layoutInCell="1" locked="0" behindDoc="0" simplePos="0" relativeHeight="0">
            <wp:simplePos x="0" y="0"/>
            <wp:positionH relativeFrom="page">
              <wp:posOffset>2871855</wp:posOffset>
            </wp:positionH>
            <wp:positionV relativeFrom="paragraph">
              <wp:posOffset>218123</wp:posOffset>
            </wp:positionV>
            <wp:extent cx="1649635" cy="957072"/>
            <wp:effectExtent l="0" t="0" r="0" b="0"/>
            <wp:wrapTopAndBottom/>
            <wp:docPr id="1" name="image1.jpeg" descr="Description: LOGO"/>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649635" cy="957072"/>
                    </a:xfrm>
                    <a:prstGeom prst="rect">
                      <a:avLst/>
                    </a:prstGeom>
                  </pic:spPr>
                </pic:pic>
              </a:graphicData>
            </a:graphic>
          </wp:anchor>
        </w:drawing>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1"/>
        <w:jc w:val="left"/>
        <w:rPr>
          <w:rFonts w:ascii="Times New Roman"/>
          <w:sz w:val="19"/>
        </w:rPr>
      </w:pPr>
    </w:p>
    <w:p>
      <w:pPr>
        <w:pStyle w:val="Title"/>
      </w:pPr>
      <w:r>
        <w:rPr>
          <w:w w:val="95"/>
        </w:rPr>
        <w:t>ԿԱՆԽԱՎՃԱՐԻ</w:t>
      </w:r>
      <w:r>
        <w:rPr>
          <w:spacing w:val="76"/>
          <w:w w:val="150"/>
        </w:rPr>
        <w:t> </w:t>
      </w:r>
      <w:r>
        <w:rPr>
          <w:w w:val="95"/>
        </w:rPr>
        <w:t>ԱՊԱՀՈՎԱԳՐՈՒԹՅԱՆ</w:t>
      </w:r>
      <w:r>
        <w:rPr>
          <w:spacing w:val="70"/>
          <w:w w:val="150"/>
        </w:rPr>
        <w:t> </w:t>
      </w:r>
      <w:r>
        <w:rPr>
          <w:spacing w:val="-2"/>
          <w:w w:val="95"/>
        </w:rPr>
        <w:t>ՊԱՅՄԱՆՆԵՐ</w:t>
      </w:r>
    </w:p>
    <w:p>
      <w:pPr>
        <w:pStyle w:val="BodyText"/>
        <w:jc w:val="left"/>
        <w:rPr>
          <w:b/>
          <w:sz w:val="44"/>
        </w:rPr>
      </w:pPr>
    </w:p>
    <w:p>
      <w:pPr>
        <w:pStyle w:val="BodyText"/>
        <w:jc w:val="left"/>
        <w:rPr>
          <w:b/>
          <w:sz w:val="44"/>
        </w:rPr>
      </w:pPr>
    </w:p>
    <w:p>
      <w:pPr>
        <w:pStyle w:val="BodyText"/>
        <w:spacing w:before="9"/>
        <w:jc w:val="left"/>
        <w:rPr>
          <w:b/>
          <w:sz w:val="44"/>
        </w:rPr>
      </w:pPr>
    </w:p>
    <w:p>
      <w:pPr>
        <w:spacing w:before="0"/>
        <w:ind w:left="1063" w:right="1124" w:firstLine="0"/>
        <w:jc w:val="center"/>
        <w:rPr>
          <w:b/>
          <w:bCs/>
          <w:sz w:val="22"/>
          <w:szCs w:val="22"/>
        </w:rPr>
      </w:pPr>
      <w:r>
        <w:rPr>
          <w:b/>
          <w:bCs/>
          <w:sz w:val="22"/>
          <w:szCs w:val="22"/>
        </w:rPr>
        <w:t>Բ Ո Վ</w:t>
      </w:r>
      <w:r>
        <w:rPr>
          <w:b/>
          <w:bCs/>
          <w:spacing w:val="-1"/>
          <w:sz w:val="22"/>
          <w:szCs w:val="22"/>
        </w:rPr>
        <w:t> </w:t>
      </w:r>
      <w:r>
        <w:rPr>
          <w:b/>
          <w:bCs/>
          <w:sz w:val="22"/>
          <w:szCs w:val="22"/>
        </w:rPr>
        <w:t>Ա</w:t>
      </w:r>
      <w:r>
        <w:rPr>
          <w:b/>
          <w:bCs/>
          <w:spacing w:val="-1"/>
          <w:sz w:val="22"/>
          <w:szCs w:val="22"/>
        </w:rPr>
        <w:t> </w:t>
      </w:r>
      <w:r>
        <w:rPr>
          <w:b/>
          <w:bCs/>
          <w:sz w:val="22"/>
          <w:szCs w:val="22"/>
        </w:rPr>
        <w:t>Ն</w:t>
      </w:r>
      <w:r>
        <w:rPr>
          <w:b/>
          <w:bCs/>
          <w:spacing w:val="-1"/>
          <w:sz w:val="22"/>
          <w:szCs w:val="22"/>
        </w:rPr>
        <w:t> </w:t>
      </w:r>
      <w:r>
        <w:rPr>
          <w:b/>
          <w:bCs/>
          <w:sz w:val="22"/>
          <w:szCs w:val="22"/>
        </w:rPr>
        <w:t>Դ</w:t>
      </w:r>
      <w:r>
        <w:rPr>
          <w:b/>
          <w:bCs/>
          <w:spacing w:val="-3"/>
          <w:sz w:val="22"/>
          <w:szCs w:val="22"/>
        </w:rPr>
        <w:t> </w:t>
      </w:r>
      <w:r>
        <w:rPr>
          <w:b/>
          <w:bCs/>
          <w:sz w:val="22"/>
          <w:szCs w:val="22"/>
        </w:rPr>
        <w:t>Ա</w:t>
      </w:r>
      <w:r>
        <w:rPr>
          <w:b/>
          <w:bCs/>
          <w:spacing w:val="-1"/>
          <w:sz w:val="22"/>
          <w:szCs w:val="22"/>
        </w:rPr>
        <w:t> </w:t>
      </w:r>
      <w:r>
        <w:rPr>
          <w:b/>
          <w:bCs/>
          <w:sz w:val="22"/>
          <w:szCs w:val="22"/>
        </w:rPr>
        <w:t>Կ</w:t>
      </w:r>
      <w:r>
        <w:rPr>
          <w:b/>
          <w:bCs/>
          <w:spacing w:val="-2"/>
          <w:sz w:val="22"/>
          <w:szCs w:val="22"/>
        </w:rPr>
        <w:t> </w:t>
      </w:r>
      <w:r>
        <w:rPr>
          <w:b/>
          <w:bCs/>
          <w:sz w:val="22"/>
          <w:szCs w:val="22"/>
        </w:rPr>
        <w:t>ՈՒ</w:t>
      </w:r>
      <w:r>
        <w:rPr>
          <w:b/>
          <w:bCs/>
          <w:spacing w:val="-1"/>
          <w:sz w:val="22"/>
          <w:szCs w:val="22"/>
        </w:rPr>
        <w:t> </w:t>
      </w:r>
      <w:r>
        <w:rPr>
          <w:b/>
          <w:bCs/>
          <w:sz w:val="22"/>
          <w:szCs w:val="22"/>
        </w:rPr>
        <w:t>Թ</w:t>
      </w:r>
      <w:r>
        <w:rPr>
          <w:b/>
          <w:bCs/>
          <w:spacing w:val="-3"/>
          <w:sz w:val="22"/>
          <w:szCs w:val="22"/>
        </w:rPr>
        <w:t> </w:t>
      </w:r>
      <w:r>
        <w:rPr>
          <w:b/>
          <w:bCs/>
          <w:sz w:val="22"/>
          <w:szCs w:val="22"/>
        </w:rPr>
        <w:t>Յ</w:t>
      </w:r>
      <w:r>
        <w:rPr>
          <w:b/>
          <w:bCs/>
          <w:spacing w:val="-2"/>
          <w:sz w:val="22"/>
          <w:szCs w:val="22"/>
        </w:rPr>
        <w:t> </w:t>
      </w:r>
      <w:r>
        <w:rPr>
          <w:b/>
          <w:bCs/>
          <w:sz w:val="22"/>
          <w:szCs w:val="22"/>
        </w:rPr>
        <w:t>ՈՒ</w:t>
      </w:r>
      <w:r>
        <w:rPr>
          <w:b/>
          <w:bCs/>
          <w:spacing w:val="-1"/>
          <w:sz w:val="22"/>
          <w:szCs w:val="22"/>
        </w:rPr>
        <w:t> </w:t>
      </w:r>
      <w:r>
        <w:rPr>
          <w:b/>
          <w:bCs/>
          <w:spacing w:val="-10"/>
          <w:sz w:val="22"/>
          <w:szCs w:val="22"/>
        </w:rPr>
        <w:t>Ն</w:t>
      </w:r>
    </w:p>
    <w:p>
      <w:pPr>
        <w:pStyle w:val="BodyText"/>
        <w:jc w:val="left"/>
        <w:rPr>
          <w:b/>
          <w:sz w:val="30"/>
        </w:rPr>
      </w:pPr>
    </w:p>
    <w:p>
      <w:pPr>
        <w:pStyle w:val="BodyText"/>
        <w:jc w:val="left"/>
        <w:rPr>
          <w:b/>
          <w:sz w:val="30"/>
        </w:rPr>
      </w:pPr>
    </w:p>
    <w:p>
      <w:pPr>
        <w:pStyle w:val="BodyText"/>
        <w:spacing w:before="11"/>
        <w:jc w:val="left"/>
        <w:rPr>
          <w:b/>
          <w:sz w:val="26"/>
        </w:rPr>
      </w:pPr>
    </w:p>
    <w:sdt>
      <w:sdtPr>
        <w:docPartObj>
          <w:docPartGallery w:val="Table of Contents"/>
          <w:docPartUnique/>
        </w:docPartObj>
      </w:sdtPr>
      <w:sdtEndPr/>
      <w:sdtContent>
        <w:p>
          <w:pPr>
            <w:pStyle w:val="TOC1"/>
            <w:numPr>
              <w:ilvl w:val="0"/>
              <w:numId w:val="1"/>
            </w:numPr>
            <w:tabs>
              <w:tab w:pos="536" w:val="left" w:leader="none"/>
              <w:tab w:pos="10315" w:val="right" w:leader="dot"/>
            </w:tabs>
            <w:spacing w:line="240" w:lineRule="auto" w:before="0" w:after="0"/>
            <w:ind w:left="535" w:right="0" w:hanging="287"/>
            <w:jc w:val="left"/>
          </w:pPr>
          <w:r>
            <w:fldChar w:fldCharType="begin"/>
          </w:r>
          <w:r>
            <w:instrText>TOC \o "1-2" \h \z \u </w:instrText>
          </w:r>
          <w:r>
            <w:fldChar w:fldCharType="separate"/>
          </w:r>
          <w:hyperlink w:history="true" w:anchor="_bookmark0">
            <w:r>
              <w:rPr/>
              <w:t>ԸՆԴՀԱՆՈՒՐ</w:t>
            </w:r>
            <w:r>
              <w:rPr>
                <w:spacing w:val="-2"/>
              </w:rPr>
              <w:t> ԴՐՈՒՅԹՆԵՐ</w:t>
            </w:r>
            <w:r>
              <w:rPr/>
              <w:tab/>
            </w:r>
            <w:r>
              <w:rPr>
                <w:rFonts w:ascii="Times New Roman" w:hAnsi="Times New Roman" w:cs="Times New Roman" w:eastAsia="Times New Roman"/>
                <w:spacing w:val="-10"/>
              </w:rPr>
              <w:t>2</w:t>
            </w:r>
          </w:hyperlink>
        </w:p>
        <w:p>
          <w:pPr>
            <w:pStyle w:val="TOC1"/>
            <w:numPr>
              <w:ilvl w:val="0"/>
              <w:numId w:val="1"/>
            </w:numPr>
            <w:tabs>
              <w:tab w:pos="536" w:val="left" w:leader="none"/>
              <w:tab w:pos="10315" w:val="right" w:leader="dot"/>
            </w:tabs>
            <w:spacing w:line="322" w:lineRule="exact" w:before="2" w:after="0"/>
            <w:ind w:left="535" w:right="0" w:hanging="287"/>
            <w:jc w:val="left"/>
            <w:rPr>
              <w:i/>
              <w:iCs/>
            </w:rPr>
          </w:pPr>
          <w:hyperlink w:history="true" w:anchor="_bookmark1">
            <w:r>
              <w:rPr>
                <w:spacing w:val="-2"/>
              </w:rPr>
              <w:t>ՏԵՐՄԻՆԱԲԱՆՈՒԹՅՈՒՆ</w:t>
            </w:r>
            <w:r>
              <w:rPr/>
              <w:tab/>
            </w:r>
            <w:r>
              <w:rPr>
                <w:rFonts w:ascii="Times New Roman" w:hAnsi="Times New Roman" w:cs="Times New Roman" w:eastAsia="Times New Roman"/>
                <w:spacing w:val="-10"/>
              </w:rPr>
              <w:t>2</w:t>
            </w:r>
          </w:hyperlink>
        </w:p>
        <w:p>
          <w:pPr>
            <w:pStyle w:val="TOC1"/>
            <w:numPr>
              <w:ilvl w:val="0"/>
              <w:numId w:val="1"/>
            </w:numPr>
            <w:tabs>
              <w:tab w:pos="536" w:val="left" w:leader="none"/>
              <w:tab w:pos="10315" w:val="right" w:leader="dot"/>
            </w:tabs>
            <w:spacing w:line="322" w:lineRule="exact" w:before="0" w:after="0"/>
            <w:ind w:left="535" w:right="0" w:hanging="287"/>
            <w:jc w:val="left"/>
          </w:pPr>
          <w:hyperlink w:history="true" w:anchor="_bookmark2">
            <w:r>
              <w:rPr/>
              <w:t>ԱՊԱՀՈՎԱԳՐՈՒԹՅԱՆ</w:t>
            </w:r>
            <w:r>
              <w:rPr>
                <w:spacing w:val="-4"/>
              </w:rPr>
              <w:t> </w:t>
            </w:r>
            <w:r>
              <w:rPr>
                <w:spacing w:val="-2"/>
              </w:rPr>
              <w:t>ՍՈՒԲՅԵԿՏՆԵՐ</w:t>
            </w:r>
            <w:r>
              <w:rPr/>
              <w:tab/>
            </w:r>
            <w:r>
              <w:rPr>
                <w:rFonts w:ascii="Times New Roman" w:hAnsi="Times New Roman" w:cs="Times New Roman" w:eastAsia="Times New Roman"/>
                <w:spacing w:val="-10"/>
              </w:rPr>
              <w:t>4</w:t>
            </w:r>
          </w:hyperlink>
        </w:p>
        <w:p>
          <w:pPr>
            <w:pStyle w:val="TOC1"/>
            <w:numPr>
              <w:ilvl w:val="0"/>
              <w:numId w:val="1"/>
            </w:numPr>
            <w:tabs>
              <w:tab w:pos="528" w:val="left" w:leader="none"/>
              <w:tab w:pos="10315" w:val="right" w:leader="dot"/>
            </w:tabs>
            <w:spacing w:line="322" w:lineRule="exact" w:before="0" w:after="0"/>
            <w:ind w:left="528" w:right="0" w:hanging="279"/>
            <w:jc w:val="left"/>
          </w:pPr>
          <w:hyperlink w:history="true" w:anchor="_bookmark3">
            <w:r>
              <w:rPr/>
              <w:t>ԱՊԱՀՈՎԱԳՐՈՒԹՅԱՆ</w:t>
            </w:r>
            <w:r>
              <w:rPr>
                <w:spacing w:val="-8"/>
              </w:rPr>
              <w:t> </w:t>
            </w:r>
            <w:r>
              <w:rPr>
                <w:spacing w:val="-2"/>
              </w:rPr>
              <w:t>ՕԲՅԵԿՏ</w:t>
            </w:r>
            <w:r>
              <w:rPr/>
              <w:tab/>
            </w:r>
            <w:r>
              <w:rPr>
                <w:rFonts w:ascii="Times New Roman" w:hAnsi="Times New Roman" w:cs="Times New Roman" w:eastAsia="Times New Roman"/>
                <w:spacing w:val="-10"/>
              </w:rPr>
              <w:t>4</w:t>
            </w:r>
          </w:hyperlink>
        </w:p>
        <w:p>
          <w:pPr>
            <w:pStyle w:val="TOC1"/>
            <w:numPr>
              <w:ilvl w:val="0"/>
              <w:numId w:val="1"/>
            </w:numPr>
            <w:tabs>
              <w:tab w:pos="533" w:val="left" w:leader="none"/>
              <w:tab w:pos="10315" w:val="right" w:leader="dot"/>
            </w:tabs>
            <w:spacing w:line="322" w:lineRule="exact" w:before="0" w:after="0"/>
            <w:ind w:left="532" w:right="0" w:hanging="284"/>
            <w:jc w:val="left"/>
          </w:pPr>
          <w:hyperlink w:history="true" w:anchor="_bookmark4">
            <w:r>
              <w:rPr/>
              <w:t>ԱՊԱՀՈՎԱԳՐՈՒԹՅԱՆ</w:t>
            </w:r>
            <w:r>
              <w:rPr>
                <w:spacing w:val="-3"/>
              </w:rPr>
              <w:t> </w:t>
            </w:r>
            <w:r>
              <w:rPr/>
              <w:t>ՓԱԹԵԹ</w:t>
            </w:r>
            <w:r>
              <w:rPr>
                <w:spacing w:val="-2"/>
              </w:rPr>
              <w:t> </w:t>
            </w:r>
            <w:r>
              <w:rPr>
                <w:spacing w:val="-10"/>
              </w:rPr>
              <w:t>I</w:t>
            </w:r>
            <w:r>
              <w:rPr/>
              <w:tab/>
            </w:r>
            <w:r>
              <w:rPr>
                <w:rFonts w:ascii="Times New Roman" w:hAnsi="Times New Roman" w:cs="Times New Roman" w:eastAsia="Times New Roman"/>
                <w:spacing w:val="-10"/>
              </w:rPr>
              <w:t>4</w:t>
            </w:r>
          </w:hyperlink>
        </w:p>
        <w:p>
          <w:pPr>
            <w:pStyle w:val="TOC1"/>
            <w:numPr>
              <w:ilvl w:val="0"/>
              <w:numId w:val="1"/>
            </w:numPr>
            <w:tabs>
              <w:tab w:pos="468" w:val="left" w:leader="none"/>
              <w:tab w:pos="10315" w:val="right" w:leader="dot"/>
            </w:tabs>
            <w:spacing w:line="322" w:lineRule="exact" w:before="0" w:after="0"/>
            <w:ind w:left="467" w:right="0" w:hanging="219"/>
            <w:jc w:val="left"/>
            <w:rPr>
              <w:sz w:val="22"/>
              <w:szCs w:val="22"/>
            </w:rPr>
          </w:pPr>
          <w:hyperlink w:history="true" w:anchor="_bookmark5">
            <w:r>
              <w:rPr/>
              <w:t>ԱՊԱՀՈՎԱԳՐՈՒԹՅԱՆ</w:t>
            </w:r>
            <w:r>
              <w:rPr>
                <w:spacing w:val="-4"/>
              </w:rPr>
              <w:t> </w:t>
            </w:r>
            <w:r>
              <w:rPr/>
              <w:t>ՓԱԹԵԹ</w:t>
            </w:r>
            <w:r>
              <w:rPr>
                <w:spacing w:val="-1"/>
              </w:rPr>
              <w:t> </w:t>
            </w:r>
            <w:r>
              <w:rPr>
                <w:spacing w:val="-5"/>
              </w:rPr>
              <w:t>II</w:t>
            </w:r>
            <w:r>
              <w:rPr/>
              <w:tab/>
            </w:r>
            <w:r>
              <w:rPr>
                <w:rFonts w:ascii="Times New Roman" w:hAnsi="Times New Roman" w:cs="Times New Roman" w:eastAsia="Times New Roman"/>
                <w:spacing w:val="-10"/>
              </w:rPr>
              <w:t>7</w:t>
            </w:r>
          </w:hyperlink>
        </w:p>
        <w:p>
          <w:pPr>
            <w:pStyle w:val="TOC1"/>
            <w:numPr>
              <w:ilvl w:val="0"/>
              <w:numId w:val="1"/>
            </w:numPr>
            <w:tabs>
              <w:tab w:pos="451" w:val="left" w:leader="none"/>
              <w:tab w:pos="10315" w:val="right" w:leader="dot"/>
            </w:tabs>
            <w:spacing w:line="322" w:lineRule="exact" w:before="2" w:after="0"/>
            <w:ind w:left="450" w:right="0" w:hanging="202"/>
            <w:jc w:val="left"/>
            <w:rPr>
              <w:sz w:val="22"/>
              <w:szCs w:val="22"/>
            </w:rPr>
          </w:pPr>
          <w:hyperlink w:history="true" w:anchor="_bookmark6">
            <w:r>
              <w:rPr/>
              <w:t>ԸՆԴՀԱՆՈՒՐ</w:t>
            </w:r>
            <w:r>
              <w:rPr>
                <w:spacing w:val="-4"/>
              </w:rPr>
              <w:t> </w:t>
            </w:r>
            <w:r>
              <w:rPr>
                <w:spacing w:val="-2"/>
              </w:rPr>
              <w:t>ՊԱՅՄԱՆՆԵՐ</w:t>
            </w:r>
            <w:r>
              <w:rPr/>
              <w:tab/>
            </w:r>
            <w:r>
              <w:rPr>
                <w:rFonts w:ascii="Times New Roman" w:hAnsi="Times New Roman" w:cs="Times New Roman" w:eastAsia="Times New Roman"/>
                <w:spacing w:val="-5"/>
              </w:rPr>
              <w:t>11</w:t>
            </w:r>
          </w:hyperlink>
        </w:p>
        <w:p>
          <w:pPr>
            <w:pStyle w:val="TOC2"/>
            <w:numPr>
              <w:ilvl w:val="0"/>
              <w:numId w:val="1"/>
            </w:numPr>
            <w:tabs>
              <w:tab w:pos="470" w:val="left" w:leader="none"/>
              <w:tab w:pos="10315" w:val="right" w:leader="dot"/>
            </w:tabs>
            <w:spacing w:line="322" w:lineRule="exact" w:before="0" w:after="0"/>
            <w:ind w:left="469" w:right="0" w:hanging="221"/>
            <w:jc w:val="left"/>
            <w:rPr>
              <w:sz w:val="22"/>
              <w:szCs w:val="22"/>
            </w:rPr>
          </w:pPr>
          <w:hyperlink w:history="true" w:anchor="_bookmark7">
            <w:r>
              <w:rPr/>
              <w:t>ԲԱՑԱՌՈՒԹՅՈՒՆՆԵՐ</w:t>
            </w:r>
            <w:r>
              <w:rPr>
                <w:spacing w:val="-4"/>
              </w:rPr>
              <w:t> </w:t>
            </w:r>
            <w:r>
              <w:rPr/>
              <w:t>և</w:t>
            </w:r>
            <w:r>
              <w:rPr>
                <w:spacing w:val="-3"/>
              </w:rPr>
              <w:t> </w:t>
            </w:r>
            <w:r>
              <w:rPr/>
              <w:t>ՄԵՐԺՄԱՆ</w:t>
            </w:r>
            <w:r>
              <w:rPr>
                <w:spacing w:val="-1"/>
              </w:rPr>
              <w:t> </w:t>
            </w:r>
            <w:r>
              <w:rPr>
                <w:spacing w:val="-2"/>
              </w:rPr>
              <w:t>ՀԻՄՔԵՐ</w:t>
            </w:r>
            <w:r>
              <w:rPr/>
              <w:tab/>
            </w:r>
            <w:r>
              <w:rPr>
                <w:rFonts w:ascii="Times New Roman" w:hAnsi="Times New Roman" w:cs="Times New Roman" w:eastAsia="Times New Roman"/>
                <w:spacing w:val="-5"/>
              </w:rPr>
              <w:t>11</w:t>
            </w:r>
          </w:hyperlink>
        </w:p>
        <w:p>
          <w:pPr>
            <w:pStyle w:val="TOC1"/>
            <w:numPr>
              <w:ilvl w:val="0"/>
              <w:numId w:val="1"/>
            </w:numPr>
            <w:tabs>
              <w:tab w:pos="468" w:val="left" w:leader="none"/>
              <w:tab w:pos="10315" w:val="right" w:leader="dot"/>
            </w:tabs>
            <w:spacing w:line="322" w:lineRule="exact" w:before="0" w:after="0"/>
            <w:ind w:left="467" w:right="0" w:hanging="219"/>
            <w:jc w:val="left"/>
            <w:rPr>
              <w:sz w:val="22"/>
              <w:szCs w:val="22"/>
            </w:rPr>
          </w:pPr>
          <w:hyperlink w:history="true" w:anchor="_bookmark8">
            <w:r>
              <w:rPr/>
              <w:t>ՎԱՐԿԱՌՈՒԻ</w:t>
            </w:r>
            <w:r>
              <w:rPr>
                <w:spacing w:val="-2"/>
              </w:rPr>
              <w:t> </w:t>
            </w:r>
            <w:r>
              <w:rPr/>
              <w:t>ՀԵՏ</w:t>
            </w:r>
            <w:r>
              <w:rPr>
                <w:spacing w:val="-3"/>
              </w:rPr>
              <w:t> </w:t>
            </w:r>
            <w:r>
              <w:rPr/>
              <w:t>ԱՊԱՀՈՎԱԳՐԱԿԱՆ</w:t>
            </w:r>
            <w:r>
              <w:rPr>
                <w:spacing w:val="-2"/>
              </w:rPr>
              <w:t> </w:t>
            </w:r>
            <w:r>
              <w:rPr/>
              <w:t>ՊԱՅՄԱՆԱԳՐԻ</w:t>
            </w:r>
            <w:r>
              <w:rPr>
                <w:spacing w:val="-3"/>
              </w:rPr>
              <w:t> </w:t>
            </w:r>
            <w:r>
              <w:rPr/>
              <w:t>ԿՆՔՄԱՆ</w:t>
            </w:r>
            <w:r>
              <w:rPr>
                <w:spacing w:val="-2"/>
              </w:rPr>
              <w:t> ԳՈՐԾԸՆԹԱՑԸ</w:t>
            </w:r>
            <w:r>
              <w:rPr/>
              <w:tab/>
            </w:r>
            <w:r>
              <w:rPr>
                <w:rFonts w:ascii="Times New Roman" w:hAnsi="Times New Roman" w:cs="Times New Roman" w:eastAsia="Times New Roman"/>
                <w:spacing w:val="-5"/>
              </w:rPr>
              <w:t>11</w:t>
            </w:r>
          </w:hyperlink>
        </w:p>
        <w:p>
          <w:pPr>
            <w:pStyle w:val="TOC1"/>
            <w:numPr>
              <w:ilvl w:val="0"/>
              <w:numId w:val="1"/>
            </w:numPr>
            <w:tabs>
              <w:tab w:pos="569" w:val="left" w:leader="none"/>
              <w:tab w:pos="10315" w:val="right" w:leader="dot"/>
            </w:tabs>
            <w:spacing w:line="322" w:lineRule="exact" w:before="0" w:after="0"/>
            <w:ind w:left="568" w:right="0" w:hanging="320"/>
            <w:jc w:val="left"/>
            <w:rPr>
              <w:sz w:val="22"/>
              <w:szCs w:val="22"/>
            </w:rPr>
          </w:pPr>
          <w:hyperlink w:history="true" w:anchor="_bookmark9">
            <w:r>
              <w:rPr/>
              <w:t>ԿՈՂՄԵՐԻ</w:t>
            </w:r>
            <w:r>
              <w:rPr>
                <w:spacing w:val="-4"/>
              </w:rPr>
              <w:t> </w:t>
            </w:r>
            <w:r>
              <w:rPr/>
              <w:t>ԻՐԱՎՈՒՆՔՆԵՐՆ</w:t>
            </w:r>
            <w:r>
              <w:rPr>
                <w:spacing w:val="-1"/>
              </w:rPr>
              <w:t> </w:t>
            </w:r>
            <w:r>
              <w:rPr/>
              <w:t>ՈՒ</w:t>
            </w:r>
            <w:r>
              <w:rPr>
                <w:spacing w:val="-3"/>
              </w:rPr>
              <w:t> </w:t>
            </w:r>
            <w:r>
              <w:rPr>
                <w:spacing w:val="-2"/>
              </w:rPr>
              <w:t>ՊԱՐՏԱԿԱՆՈՒԹՅՈՒՆՆԵՐԸ</w:t>
            </w:r>
            <w:r>
              <w:rPr/>
              <w:tab/>
            </w:r>
            <w:r>
              <w:rPr>
                <w:rFonts w:ascii="Times New Roman" w:hAnsi="Times New Roman" w:cs="Times New Roman" w:eastAsia="Times New Roman"/>
                <w:spacing w:val="-5"/>
              </w:rPr>
              <w:t>12</w:t>
            </w:r>
          </w:hyperlink>
        </w:p>
        <w:p>
          <w:pPr>
            <w:pStyle w:val="TOC1"/>
            <w:numPr>
              <w:ilvl w:val="0"/>
              <w:numId w:val="1"/>
            </w:numPr>
            <w:tabs>
              <w:tab w:pos="516" w:val="left" w:leader="none"/>
              <w:tab w:pos="10315" w:val="right" w:leader="dot"/>
            </w:tabs>
            <w:spacing w:line="322" w:lineRule="exact" w:before="0" w:after="0"/>
            <w:ind w:left="515" w:right="0" w:hanging="267"/>
            <w:jc w:val="left"/>
            <w:rPr>
              <w:sz w:val="22"/>
              <w:szCs w:val="22"/>
            </w:rPr>
          </w:pPr>
          <w:hyperlink w:history="true" w:anchor="_bookmark10">
            <w:r>
              <w:rPr/>
              <w:t>ԱՆՀԱՂԹԱՀԱՐԵԼԻ</w:t>
            </w:r>
            <w:r>
              <w:rPr>
                <w:spacing w:val="-3"/>
              </w:rPr>
              <w:t> </w:t>
            </w:r>
            <w:r>
              <w:rPr/>
              <w:t>ՈՒԺԻ</w:t>
            </w:r>
            <w:r>
              <w:rPr>
                <w:spacing w:val="-5"/>
              </w:rPr>
              <w:t> </w:t>
            </w:r>
            <w:r>
              <w:rPr/>
              <w:t>ԱԶԴԵՑՈՒԹՅՈՒՆ</w:t>
            </w:r>
            <w:r>
              <w:rPr>
                <w:spacing w:val="-3"/>
              </w:rPr>
              <w:t> </w:t>
            </w:r>
            <w:r>
              <w:rPr/>
              <w:t>(ՖՈՐՍ-</w:t>
            </w:r>
            <w:r>
              <w:rPr>
                <w:spacing w:val="-2"/>
              </w:rPr>
              <w:t>ՄԱԺՈՐ)</w:t>
            </w:r>
            <w:r>
              <w:rPr/>
              <w:tab/>
            </w:r>
            <w:r>
              <w:rPr>
                <w:rFonts w:ascii="Times New Roman" w:hAnsi="Times New Roman" w:cs="Times New Roman" w:eastAsia="Times New Roman"/>
                <w:spacing w:val="-5"/>
              </w:rPr>
              <w:t>13</w:t>
            </w:r>
          </w:hyperlink>
        </w:p>
        <w:p>
          <w:pPr>
            <w:pStyle w:val="TOC1"/>
            <w:numPr>
              <w:ilvl w:val="0"/>
              <w:numId w:val="1"/>
            </w:numPr>
            <w:tabs>
              <w:tab w:pos="547" w:val="left" w:leader="none"/>
              <w:tab w:pos="10315" w:val="right" w:leader="dot"/>
            </w:tabs>
            <w:spacing w:line="322" w:lineRule="exact" w:before="2" w:after="0"/>
            <w:ind w:left="546" w:right="0" w:hanging="298"/>
            <w:jc w:val="left"/>
            <w:rPr>
              <w:sz w:val="22"/>
              <w:szCs w:val="22"/>
            </w:rPr>
          </w:pPr>
          <w:hyperlink w:history="true" w:anchor="_bookmark11">
            <w:r>
              <w:rPr/>
              <w:t>ՎԿԱՅԱԳՐԻ</w:t>
            </w:r>
            <w:r>
              <w:rPr>
                <w:spacing w:val="-3"/>
              </w:rPr>
              <w:t> </w:t>
            </w:r>
            <w:r>
              <w:rPr/>
              <w:t>ԳՈՐԾՈՂՈՒԹՅԱՆ</w:t>
            </w:r>
            <w:r>
              <w:rPr>
                <w:spacing w:val="-2"/>
              </w:rPr>
              <w:t> </w:t>
            </w:r>
            <w:r>
              <w:rPr/>
              <w:t>ԺԱՄԿԵՏԸ,</w:t>
            </w:r>
            <w:r>
              <w:rPr>
                <w:spacing w:val="-2"/>
              </w:rPr>
              <w:t> </w:t>
            </w:r>
            <w:r>
              <w:rPr/>
              <w:t>ՎԱՂԱԺԱՄԿԵՏ</w:t>
            </w:r>
            <w:r>
              <w:rPr>
                <w:spacing w:val="-1"/>
              </w:rPr>
              <w:t> </w:t>
            </w:r>
            <w:r>
              <w:rPr>
                <w:spacing w:val="-2"/>
              </w:rPr>
              <w:t>ԼՈՒԾՈՒՄԸ</w:t>
            </w:r>
            <w:r>
              <w:rPr/>
              <w:tab/>
            </w:r>
            <w:r>
              <w:rPr>
                <w:rFonts w:ascii="Times New Roman" w:hAnsi="Times New Roman" w:cs="Times New Roman" w:eastAsia="Times New Roman"/>
                <w:spacing w:val="-5"/>
              </w:rPr>
              <w:t>14</w:t>
            </w:r>
          </w:hyperlink>
        </w:p>
        <w:p>
          <w:pPr>
            <w:pStyle w:val="TOC1"/>
            <w:numPr>
              <w:ilvl w:val="0"/>
              <w:numId w:val="1"/>
            </w:numPr>
            <w:tabs>
              <w:tab w:pos="632" w:val="left" w:leader="none"/>
              <w:tab w:pos="10315" w:val="right" w:leader="dot"/>
            </w:tabs>
            <w:spacing w:line="322" w:lineRule="exact" w:before="0" w:after="0"/>
            <w:ind w:left="631" w:right="0" w:hanging="383"/>
            <w:jc w:val="left"/>
          </w:pPr>
          <w:hyperlink w:history="true" w:anchor="_bookmark12">
            <w:r>
              <w:rPr>
                <w:spacing w:val="-2"/>
              </w:rPr>
              <w:t>ՍՈՒԲՐՈԳԱՑԻԱ</w:t>
            </w:r>
            <w:r>
              <w:rPr/>
              <w:tab/>
            </w:r>
            <w:r>
              <w:rPr>
                <w:rFonts w:ascii="Times New Roman" w:hAnsi="Times New Roman" w:cs="Times New Roman" w:eastAsia="Times New Roman"/>
                <w:spacing w:val="-5"/>
              </w:rPr>
              <w:t>15</w:t>
            </w:r>
          </w:hyperlink>
        </w:p>
        <w:p>
          <w:pPr>
            <w:pStyle w:val="TOC1"/>
            <w:numPr>
              <w:ilvl w:val="0"/>
              <w:numId w:val="1"/>
            </w:numPr>
            <w:tabs>
              <w:tab w:pos="624" w:val="left" w:leader="none"/>
              <w:tab w:pos="10315" w:val="right" w:leader="dot"/>
            </w:tabs>
            <w:spacing w:line="322" w:lineRule="exact" w:before="0" w:after="0"/>
            <w:ind w:left="624" w:right="0" w:hanging="375"/>
            <w:jc w:val="left"/>
          </w:pPr>
          <w:hyperlink w:history="true" w:anchor="_bookmark13">
            <w:r>
              <w:rPr>
                <w:spacing w:val="-2"/>
              </w:rPr>
              <w:t>ԾԱՆՈՒՑՈՒՄ</w:t>
            </w:r>
            <w:r>
              <w:rPr/>
              <w:tab/>
            </w:r>
            <w:r>
              <w:rPr>
                <w:rFonts w:ascii="Times New Roman" w:hAnsi="Times New Roman" w:cs="Times New Roman" w:eastAsia="Times New Roman"/>
                <w:spacing w:val="-5"/>
                <w:w w:val="95"/>
              </w:rPr>
              <w:t>15</w:t>
            </w:r>
          </w:hyperlink>
        </w:p>
        <w:p>
          <w:pPr>
            <w:pStyle w:val="TOC1"/>
            <w:numPr>
              <w:ilvl w:val="0"/>
              <w:numId w:val="1"/>
            </w:numPr>
            <w:tabs>
              <w:tab w:pos="988" w:val="left" w:leader="none"/>
              <w:tab w:pos="989" w:val="left" w:leader="none"/>
              <w:tab w:pos="10315" w:val="right" w:leader="dot"/>
            </w:tabs>
            <w:spacing w:line="322" w:lineRule="exact" w:before="0" w:after="0"/>
            <w:ind w:left="988" w:right="0" w:hanging="740"/>
            <w:jc w:val="left"/>
          </w:pPr>
          <w:hyperlink w:history="true" w:anchor="_bookmark14">
            <w:r>
              <w:rPr/>
              <w:t>ՎԵՃԵՐԻ</w:t>
            </w:r>
            <w:r>
              <w:rPr>
                <w:spacing w:val="-2"/>
              </w:rPr>
              <w:t> </w:t>
            </w:r>
            <w:r>
              <w:rPr/>
              <w:t>ԼՈՒԾՄԱՆ</w:t>
            </w:r>
            <w:r>
              <w:rPr>
                <w:spacing w:val="-4"/>
              </w:rPr>
              <w:t> ԿԱՐԳԸ</w:t>
            </w:r>
            <w:r>
              <w:rPr/>
              <w:tab/>
            </w:r>
            <w:r>
              <w:rPr>
                <w:rFonts w:ascii="Times New Roman" w:hAnsi="Times New Roman" w:cs="Times New Roman" w:eastAsia="Times New Roman"/>
                <w:spacing w:val="-5"/>
              </w:rPr>
              <w:t>15</w:t>
            </w:r>
          </w:hyperlink>
        </w:p>
        <w:p>
          <w:pPr/>
          <w:r>
            <w:fldChar w:fldCharType="end"/>
          </w:r>
        </w:p>
      </w:sdtContent>
    </w:sdt>
    <w:p>
      <w:pPr>
        <w:spacing w:after="0"/>
        <w:sectPr>
          <w:footerReference w:type="default" r:id="rId5"/>
          <w:type w:val="continuous"/>
          <w:pgSz w:w="11910" w:h="16840"/>
          <w:pgMar w:footer="786" w:header="0" w:top="400" w:bottom="980" w:left="600" w:right="820"/>
          <w:pgNumType w:start="1"/>
        </w:sectPr>
      </w:pPr>
    </w:p>
    <w:p>
      <w:pPr>
        <w:pStyle w:val="Heading1"/>
        <w:numPr>
          <w:ilvl w:val="1"/>
          <w:numId w:val="1"/>
        </w:numPr>
        <w:tabs>
          <w:tab w:pos="359" w:val="left" w:leader="none"/>
          <w:tab w:pos="360" w:val="left" w:leader="none"/>
        </w:tabs>
        <w:spacing w:line="240" w:lineRule="auto" w:before="91" w:after="0"/>
        <w:ind w:left="359" w:right="3616" w:hanging="360"/>
        <w:jc w:val="right"/>
      </w:pPr>
      <w:bookmarkStart w:name="1. ԸՆԴՀԱՆՈՒՐ ԴՐՈՒՅԹՆԵՐ" w:id="1"/>
      <w:bookmarkEnd w:id="1"/>
      <w:r>
        <w:rPr>
          <w:b w:val="0"/>
          <w:bCs w:val="0"/>
        </w:rPr>
      </w:r>
      <w:bookmarkStart w:name="_bookmark0" w:id="2"/>
      <w:bookmarkEnd w:id="2"/>
      <w:r>
        <w:rPr/>
        <w:t>Ը</w:t>
      </w:r>
      <w:r>
        <w:rPr/>
        <w:t>ՆԴՀԱՆՈՒՐ</w:t>
      </w:r>
      <w:r>
        <w:rPr>
          <w:spacing w:val="-9"/>
        </w:rPr>
        <w:t> </w:t>
      </w:r>
      <w:r>
        <w:rPr>
          <w:spacing w:val="-2"/>
        </w:rPr>
        <w:t>ԴՐՈՒՅԹՆԵՐ</w:t>
      </w:r>
    </w:p>
    <w:p>
      <w:pPr>
        <w:pStyle w:val="BodyText"/>
        <w:spacing w:before="1"/>
        <w:jc w:val="left"/>
        <w:rPr>
          <w:b/>
        </w:rPr>
      </w:pPr>
    </w:p>
    <w:p>
      <w:pPr>
        <w:pStyle w:val="ListParagraph"/>
        <w:numPr>
          <w:ilvl w:val="0"/>
          <w:numId w:val="2"/>
        </w:numPr>
        <w:tabs>
          <w:tab w:pos="814" w:val="left" w:leader="none"/>
        </w:tabs>
        <w:spacing w:line="240" w:lineRule="auto" w:before="0" w:after="0"/>
        <w:ind w:left="107" w:right="168" w:firstLine="0"/>
        <w:jc w:val="both"/>
        <w:rPr>
          <w:sz w:val="22"/>
          <w:szCs w:val="22"/>
        </w:rPr>
      </w:pPr>
      <w:r>
        <w:rPr>
          <w:sz w:val="22"/>
          <w:szCs w:val="22"/>
        </w:rPr>
        <w:t>Սույն Պայմանները մշակված են</w:t>
      </w:r>
      <w:r>
        <w:rPr>
          <w:spacing w:val="40"/>
          <w:sz w:val="22"/>
          <w:szCs w:val="22"/>
        </w:rPr>
        <w:t> </w:t>
      </w:r>
      <w:r>
        <w:rPr>
          <w:sz w:val="22"/>
          <w:szCs w:val="22"/>
        </w:rPr>
        <w:t>«Ապահովագրության և ապահովագրական գործունեության մասին» ՀՀ օրենքի, ՀՀ Քաղաքացիական օրենսգրքի և այլ իրավական ակտերի դրույթներին համապատասխան և հանդիսանում են</w:t>
      </w:r>
      <w:r>
        <w:rPr>
          <w:spacing w:val="40"/>
          <w:sz w:val="22"/>
          <w:szCs w:val="22"/>
        </w:rPr>
        <w:t> </w:t>
      </w:r>
      <w:r>
        <w:rPr>
          <w:sz w:val="22"/>
          <w:szCs w:val="22"/>
        </w:rPr>
        <w:t>ապահովագրության վկայագրի անբաժանելի մասը:</w:t>
      </w:r>
    </w:p>
    <w:p>
      <w:pPr>
        <w:pStyle w:val="ListParagraph"/>
        <w:numPr>
          <w:ilvl w:val="1"/>
          <w:numId w:val="2"/>
        </w:numPr>
        <w:tabs>
          <w:tab w:pos="814" w:val="left" w:leader="none"/>
        </w:tabs>
        <w:spacing w:line="240" w:lineRule="auto" w:before="0" w:after="0"/>
        <w:ind w:left="120" w:right="167" w:hanging="1"/>
        <w:jc w:val="both"/>
        <w:rPr>
          <w:sz w:val="22"/>
          <w:szCs w:val="22"/>
        </w:rPr>
      </w:pPr>
      <w:r>
        <w:rPr>
          <w:sz w:val="22"/>
          <w:szCs w:val="22"/>
        </w:rPr>
        <w:t>Ապահովագրության սույն տեսակը համապատասխանում է «Ապահովագրության և ապահովագրական գործունեության մասին» ՀՀ օրենքի 7-րդ հոդվածի (Ապահովագրության տեսակները և դասերը) 2-րդ կետի (ոչ կյանքի ապահովագրության) 16-րդ դասին (ֆինանսական վնասների ապահովագրություն «ժ» ենթադաս):</w:t>
      </w:r>
    </w:p>
    <w:p>
      <w:pPr>
        <w:pStyle w:val="ListParagraph"/>
        <w:numPr>
          <w:ilvl w:val="1"/>
          <w:numId w:val="2"/>
        </w:numPr>
        <w:tabs>
          <w:tab w:pos="814" w:val="left" w:leader="none"/>
        </w:tabs>
        <w:spacing w:line="240" w:lineRule="auto" w:before="0" w:after="0"/>
        <w:ind w:left="108" w:right="168" w:hanging="1"/>
        <w:jc w:val="both"/>
        <w:rPr>
          <w:sz w:val="22"/>
          <w:szCs w:val="22"/>
        </w:rPr>
      </w:pPr>
      <w:r>
        <w:rPr>
          <w:sz w:val="22"/>
          <w:szCs w:val="22"/>
        </w:rPr>
        <w:t>Ապահովագրության Վկայագրով/Պայմանագրով Ապահովագրողը պարտավորվում է Վկայագրում սահմանված վճարի դիմաց Վկայագրով նախատեսված դեպքի (այսուհետ` ապահովագրական պատահար) ի հայտ գալու պարագայում հատուցել Ապահովադրին կամ այն անձին, ում օգտին կնքվել է Վկայագիրը (այսուհետ` Շահառու), ապահովագրական պատահարի հետևանքով պատճառված</w:t>
      </w:r>
      <w:r>
        <w:rPr>
          <w:spacing w:val="40"/>
          <w:sz w:val="22"/>
          <w:szCs w:val="22"/>
        </w:rPr>
        <w:t> </w:t>
      </w:r>
      <w:r>
        <w:rPr>
          <w:sz w:val="22"/>
          <w:szCs w:val="22"/>
        </w:rPr>
        <w:t>ֆինանսական վնասը (ապահովագրական հատուցում) Պայմանագրում սահմանված ապահովագրական գումարի շրջանակներում:</w:t>
      </w:r>
    </w:p>
    <w:p>
      <w:pPr>
        <w:pStyle w:val="ListParagraph"/>
        <w:numPr>
          <w:ilvl w:val="1"/>
          <w:numId w:val="2"/>
        </w:numPr>
        <w:tabs>
          <w:tab w:pos="814" w:val="left" w:leader="none"/>
        </w:tabs>
        <w:spacing w:line="242" w:lineRule="auto" w:before="0" w:after="0"/>
        <w:ind w:left="108" w:right="172" w:firstLine="0"/>
        <w:jc w:val="both"/>
        <w:rPr>
          <w:sz w:val="22"/>
          <w:szCs w:val="22"/>
        </w:rPr>
      </w:pPr>
      <w:r>
        <w:rPr>
          <w:sz w:val="22"/>
          <w:szCs w:val="22"/>
        </w:rPr>
        <w:t>Սույն Պայմանների համաձայն կնքված Վկայագրերը գործում են ՀՀ և Արցախի Հանրապետության տարածքներում, եթե Վկայագրով այլ բան նախատեսված չէ:</w:t>
      </w:r>
    </w:p>
    <w:p>
      <w:pPr>
        <w:pStyle w:val="ListParagraph"/>
        <w:numPr>
          <w:ilvl w:val="1"/>
          <w:numId w:val="2"/>
        </w:numPr>
        <w:tabs>
          <w:tab w:pos="718" w:val="left" w:leader="none"/>
        </w:tabs>
        <w:spacing w:line="240" w:lineRule="auto" w:before="0" w:after="0"/>
        <w:ind w:left="108" w:right="170" w:firstLine="0"/>
        <w:jc w:val="both"/>
        <w:rPr>
          <w:sz w:val="22"/>
          <w:szCs w:val="22"/>
        </w:rPr>
      </w:pPr>
      <w:r>
        <w:rPr>
          <w:sz w:val="22"/>
          <w:szCs w:val="22"/>
        </w:rPr>
        <w:t>Պայմանները կցվում են Վկայագրին` հանդիսանալով դրա անբաժանելի մասը և պարտադիր են Ապահովագրողի, Ապահովադրի և Շահառուի համար (այսուհետ`</w:t>
      </w:r>
      <w:r>
        <w:rPr>
          <w:spacing w:val="40"/>
          <w:sz w:val="22"/>
          <w:szCs w:val="22"/>
        </w:rPr>
        <w:t> </w:t>
      </w:r>
      <w:r>
        <w:rPr>
          <w:sz w:val="22"/>
          <w:szCs w:val="22"/>
        </w:rPr>
        <w:t>Վկայագրի կողմեր):</w:t>
      </w:r>
    </w:p>
    <w:p>
      <w:pPr>
        <w:pStyle w:val="ListParagraph"/>
        <w:numPr>
          <w:ilvl w:val="1"/>
          <w:numId w:val="2"/>
        </w:numPr>
        <w:tabs>
          <w:tab w:pos="632" w:val="left" w:leader="none"/>
        </w:tabs>
        <w:spacing w:line="240" w:lineRule="auto" w:before="0" w:after="0"/>
        <w:ind w:left="108" w:right="171" w:firstLine="0"/>
        <w:jc w:val="both"/>
        <w:rPr>
          <w:sz w:val="22"/>
          <w:szCs w:val="22"/>
        </w:rPr>
      </w:pPr>
      <w:r>
        <w:rPr>
          <w:sz w:val="22"/>
          <w:szCs w:val="22"/>
        </w:rPr>
        <w:t>Վկայագրի կողմերը փոխադարձ համաձայնությամբ կարող են Վկայագրում նախատեսել Պայմանների առանձին դրույթների փոփոխում, չկիրառում կամ Պայմաններից տարբերվող այլ դրույթներ, որոնք չեն հակասում օրենքին և այլ իրավական ակտերին:</w:t>
      </w:r>
    </w:p>
    <w:p>
      <w:pPr>
        <w:pStyle w:val="ListParagraph"/>
        <w:numPr>
          <w:ilvl w:val="1"/>
          <w:numId w:val="2"/>
        </w:numPr>
        <w:tabs>
          <w:tab w:pos="531" w:val="left" w:leader="none"/>
        </w:tabs>
        <w:spacing w:line="240" w:lineRule="auto" w:before="0" w:after="0"/>
        <w:ind w:left="108" w:right="168" w:firstLine="0"/>
        <w:jc w:val="both"/>
        <w:rPr>
          <w:sz w:val="22"/>
          <w:szCs w:val="22"/>
        </w:rPr>
      </w:pPr>
      <w:r>
        <w:rPr>
          <w:sz w:val="22"/>
          <w:szCs w:val="22"/>
        </w:rPr>
        <w:t>Պայմաններում փոփոխություններ և/կամ լրացումներ կարող են կատարվել միայն Ընկերության խորհրդի որոշմամբ` ՀՀ օրենսդրությամբ սահմանված դեպքերում և կարգով:</w:t>
      </w:r>
    </w:p>
    <w:p>
      <w:pPr>
        <w:pStyle w:val="ListParagraph"/>
        <w:numPr>
          <w:ilvl w:val="1"/>
          <w:numId w:val="2"/>
        </w:numPr>
        <w:tabs>
          <w:tab w:pos="467" w:val="left" w:leader="none"/>
        </w:tabs>
        <w:spacing w:line="240" w:lineRule="auto" w:before="0" w:after="0"/>
        <w:ind w:left="108" w:right="168" w:firstLine="0"/>
        <w:jc w:val="both"/>
        <w:rPr>
          <w:sz w:val="22"/>
          <w:szCs w:val="22"/>
        </w:rPr>
      </w:pPr>
      <w:r>
        <w:rPr>
          <w:sz w:val="22"/>
          <w:szCs w:val="22"/>
        </w:rPr>
        <w:t>Պայմանները հրապարակային օգտագործման փաստաթուղթ է և կարող է տեղադրվել Ընկերության պաշտոնական վեբ կայքում (www.silinsurance.am):</w:t>
      </w:r>
    </w:p>
    <w:p>
      <w:pPr>
        <w:pStyle w:val="BodyText"/>
        <w:spacing w:before="9"/>
        <w:jc w:val="left"/>
        <w:rPr>
          <w:sz w:val="21"/>
        </w:rPr>
      </w:pPr>
    </w:p>
    <w:p>
      <w:pPr>
        <w:pStyle w:val="Heading1"/>
        <w:numPr>
          <w:ilvl w:val="0"/>
          <w:numId w:val="2"/>
        </w:numPr>
        <w:tabs>
          <w:tab w:pos="360" w:val="left" w:leader="none"/>
        </w:tabs>
        <w:spacing w:line="240" w:lineRule="auto" w:before="1" w:after="0"/>
        <w:ind w:left="359" w:right="3547" w:hanging="360"/>
        <w:jc w:val="right"/>
        <w:rPr>
          <w:b w:val="0"/>
          <w:bCs w:val="0"/>
          <w:i/>
          <w:iCs/>
        </w:rPr>
      </w:pPr>
      <w:bookmarkStart w:name="2. ՏԵՐՄԻՆԱԲԱՆՈՒԹՅՈՒՆ" w:id="3"/>
      <w:bookmarkEnd w:id="3"/>
      <w:r>
        <w:rPr>
          <w:b w:val="0"/>
          <w:bCs w:val="0"/>
        </w:rPr>
      </w:r>
      <w:bookmarkStart w:name="_bookmark1" w:id="4"/>
      <w:bookmarkEnd w:id="4"/>
      <w:r>
        <w:rPr>
          <w:spacing w:val="-2"/>
        </w:rPr>
        <w:t>ՏԵՐ</w:t>
      </w:r>
      <w:r>
        <w:rPr>
          <w:spacing w:val="-2"/>
        </w:rPr>
        <w:t>ՄԻՆԱԲԱՆՈՒԹՅՈՒՆ</w:t>
      </w:r>
    </w:p>
    <w:p>
      <w:pPr>
        <w:pStyle w:val="BodyText"/>
        <w:spacing w:before="3"/>
        <w:jc w:val="left"/>
        <w:rPr>
          <w:b/>
        </w:rPr>
      </w:pPr>
    </w:p>
    <w:p>
      <w:pPr>
        <w:tabs>
          <w:tab w:pos="1187" w:val="left" w:leader="none"/>
        </w:tabs>
        <w:spacing w:before="0"/>
        <w:ind w:left="468" w:right="0" w:firstLine="0"/>
        <w:jc w:val="left"/>
        <w:rPr>
          <w:b/>
          <w:bCs/>
          <w:sz w:val="22"/>
          <w:szCs w:val="22"/>
        </w:rPr>
      </w:pPr>
      <w:r>
        <w:rPr>
          <w:b/>
          <w:bCs/>
          <w:spacing w:val="-4"/>
          <w:sz w:val="22"/>
          <w:szCs w:val="22"/>
        </w:rPr>
        <w:t>2.1.</w:t>
      </w:r>
      <w:r>
        <w:rPr>
          <w:b/>
          <w:bCs/>
          <w:sz w:val="22"/>
          <w:szCs w:val="22"/>
        </w:rPr>
        <w:tab/>
        <w:t>Տերմիններ</w:t>
      </w:r>
      <w:r>
        <w:rPr>
          <w:b/>
          <w:bCs/>
          <w:spacing w:val="-7"/>
          <w:sz w:val="22"/>
          <w:szCs w:val="22"/>
        </w:rPr>
        <w:t> </w:t>
      </w:r>
      <w:r>
        <w:rPr>
          <w:b/>
          <w:bCs/>
          <w:sz w:val="22"/>
          <w:szCs w:val="22"/>
        </w:rPr>
        <w:t>և</w:t>
      </w:r>
      <w:r>
        <w:rPr>
          <w:b/>
          <w:bCs/>
          <w:spacing w:val="-6"/>
          <w:sz w:val="22"/>
          <w:szCs w:val="22"/>
        </w:rPr>
        <w:t> </w:t>
      </w:r>
      <w:r>
        <w:rPr>
          <w:b/>
          <w:bCs/>
          <w:spacing w:val="-2"/>
          <w:sz w:val="22"/>
          <w:szCs w:val="22"/>
        </w:rPr>
        <w:t>հասկացություններ.</w:t>
      </w:r>
    </w:p>
    <w:p>
      <w:pPr>
        <w:pStyle w:val="ListParagraph"/>
        <w:numPr>
          <w:ilvl w:val="2"/>
          <w:numId w:val="2"/>
        </w:numPr>
        <w:tabs>
          <w:tab w:pos="828" w:val="left" w:leader="none"/>
        </w:tabs>
        <w:spacing w:line="276" w:lineRule="auto" w:before="240" w:after="0"/>
        <w:ind w:left="828" w:right="168" w:hanging="360"/>
        <w:jc w:val="both"/>
        <w:rPr>
          <w:rFonts w:ascii="Symbol" w:hAnsi="Symbol" w:cs="Symbol" w:eastAsia="Symbol"/>
          <w:sz w:val="20"/>
          <w:szCs w:val="20"/>
        </w:rPr>
      </w:pPr>
      <w:r>
        <w:rPr>
          <w:i/>
          <w:iCs/>
          <w:sz w:val="22"/>
          <w:szCs w:val="22"/>
          <w:u w:val="single"/>
        </w:rPr>
        <w:t>Ընկերություն, Ապահովագրող -</w:t>
      </w:r>
      <w:r>
        <w:rPr>
          <w:i/>
          <w:iCs/>
          <w:sz w:val="22"/>
          <w:szCs w:val="22"/>
        </w:rPr>
        <w:t> </w:t>
      </w:r>
      <w:r>
        <w:rPr>
          <w:sz w:val="22"/>
          <w:szCs w:val="22"/>
        </w:rPr>
        <w:t>«ՍԻԼ ԻՆՇՈՒՐԱՆՍ» ապահովագրական փակ բաժնետիրական ընկերություն, որն իրականացնում է ապահովագրական գործունեություն` համաձայն լիազորված մարմնի կողմից տրված լիցենզիայի:</w:t>
      </w:r>
    </w:p>
    <w:p>
      <w:pPr>
        <w:pStyle w:val="ListParagraph"/>
        <w:numPr>
          <w:ilvl w:val="2"/>
          <w:numId w:val="2"/>
        </w:numPr>
        <w:tabs>
          <w:tab w:pos="828" w:val="left" w:leader="none"/>
          <w:tab w:pos="829" w:val="left" w:leader="none"/>
        </w:tabs>
        <w:spacing w:line="240" w:lineRule="auto" w:before="201" w:after="0"/>
        <w:ind w:left="828" w:right="0" w:hanging="361"/>
        <w:jc w:val="left"/>
        <w:rPr>
          <w:rFonts w:ascii="Symbol" w:hAnsi="Symbol" w:cs="Symbol" w:eastAsia="Symbol"/>
          <w:sz w:val="22"/>
          <w:szCs w:val="22"/>
        </w:rPr>
      </w:pPr>
      <w:r>
        <w:rPr>
          <w:i/>
          <w:iCs/>
          <w:sz w:val="22"/>
          <w:szCs w:val="22"/>
          <w:u w:val="single"/>
        </w:rPr>
        <w:t>Պայմաններ</w:t>
      </w:r>
      <w:r>
        <w:rPr>
          <w:i/>
          <w:iCs/>
          <w:spacing w:val="-8"/>
          <w:sz w:val="22"/>
          <w:szCs w:val="22"/>
        </w:rPr>
        <w:t> </w:t>
      </w:r>
      <w:r>
        <w:rPr>
          <w:sz w:val="22"/>
          <w:szCs w:val="22"/>
        </w:rPr>
        <w:t>-</w:t>
      </w:r>
      <w:r>
        <w:rPr>
          <w:spacing w:val="-6"/>
          <w:sz w:val="22"/>
          <w:szCs w:val="22"/>
        </w:rPr>
        <w:t> </w:t>
      </w:r>
      <w:r>
        <w:rPr>
          <w:sz w:val="22"/>
          <w:szCs w:val="22"/>
        </w:rPr>
        <w:t>ՍԻԼ</w:t>
      </w:r>
      <w:r>
        <w:rPr>
          <w:spacing w:val="-5"/>
          <w:sz w:val="22"/>
          <w:szCs w:val="22"/>
        </w:rPr>
        <w:t> </w:t>
      </w:r>
      <w:r>
        <w:rPr>
          <w:sz w:val="22"/>
          <w:szCs w:val="22"/>
        </w:rPr>
        <w:t>ԻՆՇՈՒՐԱՆՍ</w:t>
      </w:r>
      <w:r>
        <w:rPr>
          <w:spacing w:val="-6"/>
          <w:sz w:val="22"/>
          <w:szCs w:val="22"/>
        </w:rPr>
        <w:t> </w:t>
      </w:r>
      <w:r>
        <w:rPr>
          <w:sz w:val="22"/>
          <w:szCs w:val="22"/>
        </w:rPr>
        <w:t>ԱՓԲԸ</w:t>
      </w:r>
      <w:r>
        <w:rPr>
          <w:spacing w:val="-5"/>
          <w:sz w:val="22"/>
          <w:szCs w:val="22"/>
        </w:rPr>
        <w:t> </w:t>
      </w:r>
      <w:r>
        <w:rPr>
          <w:sz w:val="22"/>
          <w:szCs w:val="22"/>
        </w:rPr>
        <w:t>Կանխավճարի</w:t>
      </w:r>
      <w:r>
        <w:rPr>
          <w:spacing w:val="-5"/>
          <w:sz w:val="22"/>
          <w:szCs w:val="22"/>
        </w:rPr>
        <w:t> </w:t>
      </w:r>
      <w:r>
        <w:rPr>
          <w:sz w:val="22"/>
          <w:szCs w:val="22"/>
        </w:rPr>
        <w:t>ապահովագրության</w:t>
      </w:r>
      <w:r>
        <w:rPr>
          <w:spacing w:val="-9"/>
          <w:sz w:val="22"/>
          <w:szCs w:val="22"/>
        </w:rPr>
        <w:t> </w:t>
      </w:r>
      <w:r>
        <w:rPr>
          <w:spacing w:val="-2"/>
          <w:sz w:val="22"/>
          <w:szCs w:val="22"/>
        </w:rPr>
        <w:t>պայմաններ»:</w:t>
      </w:r>
    </w:p>
    <w:p>
      <w:pPr>
        <w:pStyle w:val="ListParagraph"/>
        <w:numPr>
          <w:ilvl w:val="2"/>
          <w:numId w:val="2"/>
        </w:numPr>
        <w:tabs>
          <w:tab w:pos="828" w:val="left" w:leader="none"/>
        </w:tabs>
        <w:spacing w:line="276" w:lineRule="auto" w:before="242" w:after="0"/>
        <w:ind w:left="828" w:right="169" w:hanging="360"/>
        <w:jc w:val="both"/>
        <w:rPr>
          <w:rFonts w:ascii="Symbol" w:hAnsi="Symbol" w:cs="Symbol" w:eastAsia="Symbol"/>
          <w:sz w:val="20"/>
          <w:szCs w:val="20"/>
        </w:rPr>
      </w:pPr>
      <w:r>
        <w:rPr>
          <w:i/>
          <w:iCs/>
          <w:sz w:val="22"/>
          <w:szCs w:val="22"/>
          <w:u w:val="single"/>
        </w:rPr>
        <w:t>Ընկերության խորհուրդ </w:t>
      </w:r>
      <w:r>
        <w:rPr>
          <w:sz w:val="22"/>
          <w:szCs w:val="22"/>
        </w:rPr>
        <w:t>կամ </w:t>
      </w:r>
      <w:r>
        <w:rPr>
          <w:i/>
          <w:iCs/>
          <w:sz w:val="22"/>
          <w:szCs w:val="22"/>
          <w:u w:val="single"/>
        </w:rPr>
        <w:t>Խորհուրդ</w:t>
      </w:r>
      <w:r>
        <w:rPr>
          <w:i/>
          <w:iCs/>
          <w:sz w:val="22"/>
          <w:szCs w:val="22"/>
        </w:rPr>
        <w:t> </w:t>
      </w:r>
      <w:r>
        <w:rPr>
          <w:sz w:val="22"/>
          <w:szCs w:val="22"/>
        </w:rPr>
        <w:t>– Ընկերության կանոնադրության համապատասխան Ընկերության բաժնետերերի կողմից ձևավորված ընդհանուր կառավարման կոլեգիալ </w:t>
      </w:r>
      <w:r>
        <w:rPr>
          <w:spacing w:val="-2"/>
          <w:sz w:val="22"/>
          <w:szCs w:val="22"/>
        </w:rPr>
        <w:t>մարմին:</w:t>
      </w:r>
    </w:p>
    <w:p>
      <w:pPr>
        <w:pStyle w:val="ListParagraph"/>
        <w:numPr>
          <w:ilvl w:val="2"/>
          <w:numId w:val="2"/>
        </w:numPr>
        <w:tabs>
          <w:tab w:pos="828" w:val="left" w:leader="none"/>
        </w:tabs>
        <w:spacing w:line="276" w:lineRule="auto" w:before="201" w:after="0"/>
        <w:ind w:left="828" w:right="169" w:hanging="360"/>
        <w:jc w:val="both"/>
        <w:rPr>
          <w:rFonts w:ascii="Symbol" w:hAnsi="Symbol" w:cs="Symbol" w:eastAsia="Symbol"/>
          <w:sz w:val="20"/>
          <w:szCs w:val="20"/>
        </w:rPr>
      </w:pPr>
      <w:r>
        <w:rPr>
          <w:i/>
          <w:iCs/>
          <w:sz w:val="22"/>
          <w:szCs w:val="22"/>
          <w:u w:val="single"/>
        </w:rPr>
        <w:t>Ընկերության գործադիր տնօրեն </w:t>
      </w:r>
      <w:r>
        <w:rPr>
          <w:sz w:val="22"/>
          <w:szCs w:val="22"/>
        </w:rPr>
        <w:t>կամ </w:t>
      </w:r>
      <w:r>
        <w:rPr>
          <w:i/>
          <w:iCs/>
          <w:sz w:val="22"/>
          <w:szCs w:val="22"/>
          <w:u w:val="single"/>
        </w:rPr>
        <w:t>Գործադիր տնօրեն</w:t>
      </w:r>
      <w:r>
        <w:rPr>
          <w:i/>
          <w:iCs/>
          <w:sz w:val="22"/>
          <w:szCs w:val="22"/>
        </w:rPr>
        <w:t> </w:t>
      </w:r>
      <w:r>
        <w:rPr>
          <w:sz w:val="22"/>
          <w:szCs w:val="22"/>
        </w:rPr>
        <w:t>– Ընկերության կանոնադրությամբ նախատեսված Ընկերության միանձնյա գործադիր մարմին:</w:t>
      </w:r>
    </w:p>
    <w:p>
      <w:pPr>
        <w:pStyle w:val="ListParagraph"/>
        <w:numPr>
          <w:ilvl w:val="2"/>
          <w:numId w:val="2"/>
        </w:numPr>
        <w:tabs>
          <w:tab w:pos="828" w:val="left" w:leader="none"/>
        </w:tabs>
        <w:spacing w:line="276" w:lineRule="auto" w:before="199" w:after="0"/>
        <w:ind w:left="828" w:right="169" w:hanging="360"/>
        <w:jc w:val="both"/>
        <w:rPr>
          <w:rFonts w:ascii="Symbol" w:hAnsi="Symbol" w:cs="Symbol" w:eastAsia="Symbol"/>
          <w:sz w:val="20"/>
          <w:szCs w:val="20"/>
        </w:rPr>
      </w:pPr>
      <w:r>
        <w:rPr>
          <w:i/>
          <w:iCs/>
          <w:sz w:val="22"/>
          <w:szCs w:val="22"/>
          <w:u w:val="single"/>
        </w:rPr>
        <w:t>Որակի կառավարման համակարգ</w:t>
      </w:r>
      <w:r>
        <w:rPr>
          <w:i/>
          <w:iCs/>
          <w:sz w:val="22"/>
          <w:szCs w:val="22"/>
        </w:rPr>
        <w:t> – </w:t>
      </w:r>
      <w:r>
        <w:rPr>
          <w:sz w:val="22"/>
          <w:szCs w:val="22"/>
        </w:rPr>
        <w:t>Որակի բնագավառում Ընկերության կառավարմանը նպատակաուղղված համակարգված միջոցառումների ամբողջություն:</w:t>
      </w:r>
    </w:p>
    <w:p>
      <w:pPr>
        <w:pStyle w:val="ListParagraph"/>
        <w:numPr>
          <w:ilvl w:val="2"/>
          <w:numId w:val="2"/>
        </w:numPr>
        <w:tabs>
          <w:tab w:pos="828" w:val="left" w:leader="none"/>
        </w:tabs>
        <w:spacing w:line="276" w:lineRule="auto" w:before="202" w:after="0"/>
        <w:ind w:left="828" w:right="168" w:hanging="360"/>
        <w:jc w:val="both"/>
        <w:rPr>
          <w:rFonts w:ascii="Symbol" w:hAnsi="Symbol" w:cs="Symbol" w:eastAsia="Symbol"/>
          <w:sz w:val="20"/>
          <w:szCs w:val="20"/>
        </w:rPr>
      </w:pPr>
      <w:r>
        <w:rPr>
          <w:i/>
          <w:iCs/>
          <w:sz w:val="22"/>
          <w:szCs w:val="22"/>
          <w:u w:val="single"/>
        </w:rPr>
        <w:t>Տեղեկատվական անվտանգության կառավարման համակարգ </w:t>
      </w:r>
      <w:r>
        <w:rPr>
          <w:sz w:val="22"/>
          <w:szCs w:val="22"/>
        </w:rPr>
        <w:t>– Տեղեկատվական հոսքերի բնագավառում Ընկերության կառավարմանը նպատակաուղղված համակարգված միջոցառումների ամբողջություն:</w:t>
      </w:r>
    </w:p>
    <w:p>
      <w:pPr>
        <w:spacing w:after="0" w:line="276" w:lineRule="auto"/>
        <w:jc w:val="both"/>
        <w:rPr>
          <w:rFonts w:ascii="Symbol" w:hAnsi="Symbol" w:cs="Symbol" w:eastAsia="Symbol"/>
          <w:sz w:val="20"/>
          <w:szCs w:val="20"/>
        </w:rPr>
        <w:sectPr>
          <w:pgSz w:w="11910" w:h="16840"/>
          <w:pgMar w:header="0" w:footer="786" w:top="340" w:bottom="1040" w:left="600" w:right="820"/>
        </w:sectPr>
      </w:pPr>
    </w:p>
    <w:p>
      <w:pPr>
        <w:pStyle w:val="ListParagraph"/>
        <w:numPr>
          <w:ilvl w:val="2"/>
          <w:numId w:val="2"/>
        </w:numPr>
        <w:tabs>
          <w:tab w:pos="828" w:val="left" w:leader="none"/>
        </w:tabs>
        <w:spacing w:line="276" w:lineRule="auto" w:before="91" w:after="0"/>
        <w:ind w:left="828" w:right="170" w:hanging="360"/>
        <w:jc w:val="both"/>
        <w:rPr>
          <w:rFonts w:ascii="Symbol" w:hAnsi="Symbol" w:cs="Symbol" w:eastAsia="Symbol"/>
          <w:sz w:val="20"/>
          <w:szCs w:val="20"/>
        </w:rPr>
      </w:pPr>
      <w:r>
        <w:rPr>
          <w:i/>
          <w:iCs/>
          <w:sz w:val="22"/>
          <w:szCs w:val="22"/>
          <w:u w:val="single"/>
        </w:rPr>
        <w:t>Որակի պատասխանատու</w:t>
      </w:r>
      <w:r>
        <w:rPr>
          <w:i/>
          <w:iCs/>
          <w:sz w:val="22"/>
          <w:szCs w:val="22"/>
        </w:rPr>
        <w:t>- անձ</w:t>
      </w:r>
      <w:r>
        <w:rPr>
          <w:sz w:val="22"/>
          <w:szCs w:val="22"/>
        </w:rPr>
        <w:t>, որը պատասխանատու է Որակի ապահովմանն ու կառավարմանը ներկայացվող պահանջների կատարման համար:</w:t>
      </w:r>
    </w:p>
    <w:p>
      <w:pPr>
        <w:pStyle w:val="ListParagraph"/>
        <w:numPr>
          <w:ilvl w:val="2"/>
          <w:numId w:val="2"/>
        </w:numPr>
        <w:tabs>
          <w:tab w:pos="828" w:val="left" w:leader="none"/>
        </w:tabs>
        <w:spacing w:line="276" w:lineRule="auto" w:before="200" w:after="0"/>
        <w:ind w:left="827" w:right="166" w:hanging="360"/>
        <w:jc w:val="both"/>
        <w:rPr>
          <w:rFonts w:ascii="Symbol" w:hAnsi="Symbol" w:cs="Symbol" w:eastAsia="Symbol"/>
          <w:sz w:val="20"/>
          <w:szCs w:val="20"/>
        </w:rPr>
      </w:pPr>
      <w:r>
        <w:rPr>
          <w:i/>
          <w:iCs/>
          <w:sz w:val="22"/>
          <w:szCs w:val="22"/>
          <w:u w:val="single"/>
        </w:rPr>
        <w:t>Ապահովագրության</w:t>
      </w:r>
      <w:r>
        <w:rPr>
          <w:i/>
          <w:iCs/>
          <w:spacing w:val="-1"/>
          <w:sz w:val="22"/>
          <w:szCs w:val="22"/>
          <w:u w:val="single"/>
        </w:rPr>
        <w:t> </w:t>
      </w:r>
      <w:r>
        <w:rPr>
          <w:i/>
          <w:iCs/>
          <w:sz w:val="22"/>
          <w:szCs w:val="22"/>
          <w:u w:val="single"/>
        </w:rPr>
        <w:t>պայմանագիր</w:t>
      </w:r>
      <w:r>
        <w:rPr>
          <w:i/>
          <w:iCs/>
          <w:spacing w:val="-1"/>
          <w:sz w:val="22"/>
          <w:szCs w:val="22"/>
          <w:u w:val="single"/>
        </w:rPr>
        <w:t> </w:t>
      </w:r>
      <w:r>
        <w:rPr>
          <w:i/>
          <w:iCs/>
          <w:sz w:val="22"/>
          <w:szCs w:val="22"/>
          <w:u w:val="single"/>
        </w:rPr>
        <w:t>(այսուհետ`</w:t>
      </w:r>
      <w:r>
        <w:rPr>
          <w:i/>
          <w:iCs/>
          <w:spacing w:val="-2"/>
          <w:sz w:val="22"/>
          <w:szCs w:val="22"/>
          <w:u w:val="single"/>
        </w:rPr>
        <w:t> </w:t>
      </w:r>
      <w:r>
        <w:rPr>
          <w:i/>
          <w:iCs/>
          <w:sz w:val="22"/>
          <w:szCs w:val="22"/>
          <w:u w:val="single"/>
        </w:rPr>
        <w:t>Պայմանագիր/Վկայագիր)</w:t>
      </w:r>
      <w:r>
        <w:rPr>
          <w:i/>
          <w:iCs/>
          <w:spacing w:val="-1"/>
          <w:sz w:val="22"/>
          <w:szCs w:val="22"/>
          <w:u w:val="single"/>
        </w:rPr>
        <w:t> </w:t>
      </w:r>
      <w:r>
        <w:rPr>
          <w:i/>
          <w:iCs/>
          <w:sz w:val="22"/>
          <w:szCs w:val="22"/>
          <w:u w:val="single"/>
        </w:rPr>
        <w:t>- </w:t>
      </w:r>
      <w:r>
        <w:rPr>
          <w:sz w:val="22"/>
          <w:szCs w:val="22"/>
        </w:rPr>
        <w:t>Ապահովագրողի</w:t>
      </w:r>
      <w:r>
        <w:rPr>
          <w:spacing w:val="-3"/>
          <w:sz w:val="22"/>
          <w:szCs w:val="22"/>
        </w:rPr>
        <w:t> </w:t>
      </w:r>
      <w:r>
        <w:rPr>
          <w:sz w:val="22"/>
          <w:szCs w:val="22"/>
        </w:rPr>
        <w:t>և Ապահովադրի միջև երկկողմանի ստորագրված գրավոր համաձայնություն, որի գործողության ընթացքում Ապահովագրողը պարտավոր է ապահովագրական պատահարի ի հայտ գալու դեպքում (բացառությամբ` սույն Պայմաններում նախատեսված բացառությունների և չհատուցվող ծախսերի) ապահովագրական գումարի սահմաններում հատուցում վճարել Ապահովադրին (Ապահովագրված անձին կամ Շահառուին), իսկ Ապահովադիրը պարտավոր է վճարել ապահովագրության պայմանագրում հաշվարկված ապահովագրավճարը` դրանում նշված կարգով և ժամկետներում:</w:t>
      </w:r>
    </w:p>
    <w:p>
      <w:pPr>
        <w:pStyle w:val="ListParagraph"/>
        <w:numPr>
          <w:ilvl w:val="2"/>
          <w:numId w:val="2"/>
        </w:numPr>
        <w:tabs>
          <w:tab w:pos="828" w:val="left" w:leader="none"/>
        </w:tabs>
        <w:spacing w:line="276" w:lineRule="auto" w:before="199" w:after="0"/>
        <w:ind w:left="828" w:right="169" w:hanging="360"/>
        <w:jc w:val="both"/>
        <w:rPr>
          <w:rFonts w:ascii="Symbol" w:hAnsi="Symbol" w:cs="Symbol" w:eastAsia="Symbol"/>
          <w:sz w:val="20"/>
          <w:szCs w:val="20"/>
        </w:rPr>
      </w:pPr>
      <w:r>
        <w:rPr>
          <w:i/>
          <w:iCs/>
          <w:sz w:val="22"/>
          <w:szCs w:val="22"/>
          <w:u w:val="single"/>
        </w:rPr>
        <w:t>Ապահովադիր -</w:t>
      </w:r>
      <w:r>
        <w:rPr>
          <w:i/>
          <w:iCs/>
          <w:sz w:val="22"/>
          <w:szCs w:val="22"/>
        </w:rPr>
        <w:t> </w:t>
      </w:r>
      <w:r>
        <w:rPr>
          <w:sz w:val="22"/>
          <w:szCs w:val="22"/>
        </w:rPr>
        <w:t>օրենքով նախատեսված ցանկացած կազմակերպաիրավական ձևի իրավաբանական անձ, օտարերկրյա կազմակերպություն, գործունակ ֆիզիկական անձ, որն Ապահովագրողի հետ կնքել է Պայմանագիր/Վկայագիր:</w:t>
      </w:r>
    </w:p>
    <w:p>
      <w:pPr>
        <w:pStyle w:val="ListParagraph"/>
        <w:numPr>
          <w:ilvl w:val="2"/>
          <w:numId w:val="2"/>
        </w:numPr>
        <w:tabs>
          <w:tab w:pos="828" w:val="left" w:leader="none"/>
        </w:tabs>
        <w:spacing w:line="276" w:lineRule="auto" w:before="201" w:after="0"/>
        <w:ind w:left="828" w:right="169" w:hanging="360"/>
        <w:jc w:val="both"/>
        <w:rPr>
          <w:rFonts w:ascii="Symbol" w:hAnsi="Symbol" w:cs="Symbol" w:eastAsia="Symbol"/>
          <w:sz w:val="20"/>
          <w:szCs w:val="20"/>
        </w:rPr>
      </w:pPr>
      <w:r>
        <w:rPr>
          <w:i/>
          <w:iCs/>
          <w:sz w:val="22"/>
          <w:szCs w:val="22"/>
          <w:u w:val="single"/>
        </w:rPr>
        <w:t>Ապահովագրական ռիսկ -</w:t>
      </w:r>
      <w:r>
        <w:rPr>
          <w:i/>
          <w:iCs/>
          <w:sz w:val="22"/>
          <w:szCs w:val="22"/>
        </w:rPr>
        <w:t> </w:t>
      </w:r>
      <w:r>
        <w:rPr>
          <w:sz w:val="22"/>
          <w:szCs w:val="22"/>
        </w:rPr>
        <w:t>ապահովագրման ենթակա հնարավոր պատահար, որը կարող է տեղի ունենալ Պայմանագրի/Վկայագրի գործողության ընթացքում, որը կրում է</w:t>
      </w:r>
      <w:r>
        <w:rPr>
          <w:spacing w:val="80"/>
          <w:sz w:val="22"/>
          <w:szCs w:val="22"/>
        </w:rPr>
        <w:t> </w:t>
      </w:r>
      <w:r>
        <w:rPr>
          <w:sz w:val="22"/>
          <w:szCs w:val="22"/>
        </w:rPr>
        <w:t>հանկարծակի և պատահական բնույթ:</w:t>
      </w:r>
    </w:p>
    <w:p>
      <w:pPr>
        <w:pStyle w:val="ListParagraph"/>
        <w:numPr>
          <w:ilvl w:val="2"/>
          <w:numId w:val="2"/>
        </w:numPr>
        <w:tabs>
          <w:tab w:pos="828" w:val="left" w:leader="none"/>
        </w:tabs>
        <w:spacing w:line="276" w:lineRule="auto" w:before="198" w:after="0"/>
        <w:ind w:left="827" w:right="168" w:hanging="360"/>
        <w:jc w:val="both"/>
        <w:rPr>
          <w:rFonts w:ascii="Symbol" w:hAnsi="Symbol" w:cs="Symbol" w:eastAsia="Symbol"/>
          <w:sz w:val="20"/>
          <w:szCs w:val="20"/>
        </w:rPr>
      </w:pPr>
      <w:r>
        <w:rPr>
          <w:i/>
          <w:iCs/>
          <w:sz w:val="22"/>
          <w:szCs w:val="22"/>
          <w:u w:val="single"/>
        </w:rPr>
        <w:t>Ապահովագրական գումար -</w:t>
      </w:r>
      <w:r>
        <w:rPr>
          <w:i/>
          <w:iCs/>
          <w:sz w:val="22"/>
          <w:szCs w:val="22"/>
        </w:rPr>
        <w:t> </w:t>
      </w:r>
      <w:r>
        <w:rPr>
          <w:sz w:val="22"/>
          <w:szCs w:val="22"/>
        </w:rPr>
        <w:t>Պայմանագրի/Վկայագրի գործողության ընթացքում դրանով նախատեսված ` Ապահովագրողի կողմից վճարման ենթակա հնարավոր ապահովագրական հատուցման առավելագույն չափը:</w:t>
      </w:r>
    </w:p>
    <w:p>
      <w:pPr>
        <w:pStyle w:val="ListParagraph"/>
        <w:numPr>
          <w:ilvl w:val="2"/>
          <w:numId w:val="2"/>
        </w:numPr>
        <w:tabs>
          <w:tab w:pos="828" w:val="left" w:leader="none"/>
        </w:tabs>
        <w:spacing w:line="276" w:lineRule="auto" w:before="201" w:after="0"/>
        <w:ind w:left="828" w:right="168" w:hanging="360"/>
        <w:jc w:val="both"/>
        <w:rPr>
          <w:rFonts w:ascii="Symbol" w:hAnsi="Symbol" w:cs="Symbol" w:eastAsia="Symbol"/>
          <w:sz w:val="20"/>
          <w:szCs w:val="20"/>
        </w:rPr>
      </w:pPr>
      <w:r>
        <w:rPr>
          <w:sz w:val="22"/>
          <w:szCs w:val="22"/>
          <w:u w:val="single"/>
        </w:rPr>
        <w:t>Շահառու՝ </w:t>
      </w:r>
      <w:r>
        <w:rPr>
          <w:sz w:val="22"/>
          <w:szCs w:val="22"/>
        </w:rPr>
        <w:t>ապահովագրական պատահար տեղի ունենալու պարագայում ապահովագրության պայմանագրով նախատեսված ապահովագրական հատուցում ստանալու իրավունք ունեցող </w:t>
      </w:r>
      <w:r>
        <w:rPr>
          <w:spacing w:val="-4"/>
          <w:sz w:val="22"/>
          <w:szCs w:val="22"/>
        </w:rPr>
        <w:t>անձ:</w:t>
      </w:r>
    </w:p>
    <w:p>
      <w:pPr>
        <w:pStyle w:val="ListParagraph"/>
        <w:numPr>
          <w:ilvl w:val="2"/>
          <w:numId w:val="2"/>
        </w:numPr>
        <w:tabs>
          <w:tab w:pos="828" w:val="left" w:leader="none"/>
        </w:tabs>
        <w:spacing w:line="276" w:lineRule="auto" w:before="1" w:after="0"/>
        <w:ind w:left="828" w:right="167" w:hanging="360"/>
        <w:jc w:val="both"/>
        <w:rPr>
          <w:rFonts w:ascii="Symbol" w:hAnsi="Symbol" w:cs="Symbol" w:eastAsia="Symbol"/>
          <w:sz w:val="20"/>
          <w:szCs w:val="20"/>
        </w:rPr>
      </w:pPr>
      <w:r>
        <w:rPr>
          <w:i/>
          <w:iCs/>
          <w:sz w:val="22"/>
          <w:szCs w:val="22"/>
          <w:u w:val="single"/>
        </w:rPr>
        <w:t>Ապահովագրական հատուցում</w:t>
      </w:r>
      <w:r>
        <w:rPr>
          <w:i/>
          <w:iCs/>
          <w:sz w:val="22"/>
          <w:szCs w:val="22"/>
        </w:rPr>
        <w:t> </w:t>
      </w:r>
      <w:r>
        <w:rPr>
          <w:sz w:val="22"/>
          <w:szCs w:val="22"/>
        </w:rPr>
        <w:t>(այսուհետ` Հատուցում)`</w:t>
      </w:r>
      <w:r>
        <w:rPr>
          <w:spacing w:val="80"/>
          <w:sz w:val="22"/>
          <w:szCs w:val="22"/>
        </w:rPr>
        <w:t> </w:t>
      </w:r>
      <w:r>
        <w:rPr>
          <w:sz w:val="22"/>
          <w:szCs w:val="22"/>
        </w:rPr>
        <w:t>ապահովագրական պատահար</w:t>
      </w:r>
      <w:r>
        <w:rPr>
          <w:spacing w:val="40"/>
          <w:sz w:val="22"/>
          <w:szCs w:val="22"/>
        </w:rPr>
        <w:t> </w:t>
      </w:r>
      <w:r>
        <w:rPr>
          <w:sz w:val="22"/>
          <w:szCs w:val="22"/>
        </w:rPr>
        <w:t>տեղի ունենալու արդյունքում Ընկերության կողմից Վկայագրի հիման վրա Ապահովադրին կամ Շահառուին վճարման ենթակա գումար` դրամական արտահայտությամբ:</w:t>
      </w:r>
    </w:p>
    <w:p>
      <w:pPr>
        <w:pStyle w:val="ListParagraph"/>
        <w:numPr>
          <w:ilvl w:val="2"/>
          <w:numId w:val="2"/>
        </w:numPr>
        <w:tabs>
          <w:tab w:pos="828" w:val="left" w:leader="none"/>
        </w:tabs>
        <w:spacing w:line="276" w:lineRule="auto" w:before="0" w:after="0"/>
        <w:ind w:left="828" w:right="170" w:hanging="360"/>
        <w:jc w:val="both"/>
        <w:rPr>
          <w:rFonts w:ascii="Symbol" w:hAnsi="Symbol" w:cs="Symbol" w:eastAsia="Symbol"/>
          <w:sz w:val="20"/>
          <w:szCs w:val="20"/>
        </w:rPr>
      </w:pPr>
      <w:r>
        <w:rPr>
          <w:i/>
          <w:iCs/>
          <w:sz w:val="22"/>
          <w:szCs w:val="22"/>
          <w:u w:val="single"/>
        </w:rPr>
        <w:t>Ապահովագրավճար՝</w:t>
      </w:r>
      <w:r>
        <w:rPr>
          <w:i/>
          <w:iCs/>
          <w:sz w:val="22"/>
          <w:szCs w:val="22"/>
        </w:rPr>
        <w:t> </w:t>
      </w:r>
      <w:r>
        <w:rPr>
          <w:sz w:val="22"/>
          <w:szCs w:val="22"/>
        </w:rPr>
        <w:t>Վկայագրով սահմանված չափով և պայմաններով Ապահովադրի</w:t>
      </w:r>
      <w:r>
        <w:rPr>
          <w:spacing w:val="40"/>
          <w:sz w:val="22"/>
          <w:szCs w:val="22"/>
        </w:rPr>
        <w:t> </w:t>
      </w:r>
      <w:r>
        <w:rPr>
          <w:sz w:val="22"/>
          <w:szCs w:val="22"/>
        </w:rPr>
        <w:t>կողմից Ապահովագրողին հնարավոր ապահովագրական հատուցման դիմաց վճարվելիք </w:t>
      </w:r>
      <w:r>
        <w:rPr>
          <w:spacing w:val="-2"/>
          <w:sz w:val="22"/>
          <w:szCs w:val="22"/>
        </w:rPr>
        <w:t>գումար:</w:t>
      </w:r>
    </w:p>
    <w:p>
      <w:pPr>
        <w:pStyle w:val="ListParagraph"/>
        <w:numPr>
          <w:ilvl w:val="2"/>
          <w:numId w:val="2"/>
        </w:numPr>
        <w:tabs>
          <w:tab w:pos="828" w:val="left" w:leader="none"/>
        </w:tabs>
        <w:spacing w:line="276" w:lineRule="auto" w:before="0" w:after="0"/>
        <w:ind w:left="828" w:right="169" w:hanging="360"/>
        <w:jc w:val="both"/>
        <w:rPr>
          <w:rFonts w:ascii="Symbol" w:hAnsi="Symbol" w:cs="Symbol" w:eastAsia="Symbol"/>
          <w:sz w:val="20"/>
          <w:szCs w:val="20"/>
        </w:rPr>
      </w:pPr>
      <w:r>
        <w:rPr>
          <w:i/>
          <w:iCs/>
          <w:sz w:val="22"/>
          <w:szCs w:val="22"/>
          <w:u w:val="single"/>
        </w:rPr>
        <w:t>Չհատուցվող գումար՝</w:t>
      </w:r>
      <w:r>
        <w:rPr>
          <w:i/>
          <w:iCs/>
          <w:sz w:val="22"/>
          <w:szCs w:val="22"/>
        </w:rPr>
        <w:t> </w:t>
      </w:r>
      <w:r>
        <w:rPr>
          <w:sz w:val="22"/>
          <w:szCs w:val="22"/>
        </w:rPr>
        <w:t>վնասի չափ, որը չի հատուցվում Ապահովագրողի կողմից և որը սահմանվում է ապահովագրության պայմանագրով՝ կոնկրետ գումարի կամ ապահովագրական գումարի նկատմամբ տոկոսային արտահայտությամբ:</w:t>
      </w:r>
    </w:p>
    <w:p>
      <w:pPr>
        <w:pStyle w:val="ListParagraph"/>
        <w:numPr>
          <w:ilvl w:val="2"/>
          <w:numId w:val="2"/>
        </w:numPr>
        <w:tabs>
          <w:tab w:pos="828" w:val="left" w:leader="none"/>
        </w:tabs>
        <w:spacing w:line="276" w:lineRule="auto" w:before="0" w:after="0"/>
        <w:ind w:left="827" w:right="167" w:hanging="360"/>
        <w:jc w:val="both"/>
        <w:rPr>
          <w:rFonts w:ascii="Symbol" w:hAnsi="Symbol" w:cs="Symbol" w:eastAsia="Symbol"/>
          <w:sz w:val="20"/>
          <w:szCs w:val="20"/>
        </w:rPr>
      </w:pPr>
      <w:r>
        <w:rPr>
          <w:sz w:val="22"/>
          <w:szCs w:val="22"/>
        </w:rPr>
        <w:t>Ֆինանսական ռիսկ՝ Ապահովադրի վնասի ռիսկը` կապված Ապահովադրի գործունեության </w:t>
      </w:r>
      <w:r>
        <w:rPr>
          <w:spacing w:val="-4"/>
          <w:sz w:val="22"/>
          <w:szCs w:val="22"/>
        </w:rPr>
        <w:t>հետ:</w:t>
      </w:r>
    </w:p>
    <w:p>
      <w:pPr>
        <w:pStyle w:val="Heading3"/>
        <w:rPr>
          <w:i/>
          <w:iCs/>
        </w:rPr>
      </w:pPr>
      <w:r>
        <w:rPr>
          <w:i/>
          <w:iCs/>
          <w:spacing w:val="-2"/>
        </w:rPr>
        <w:t>Հապավումներ.</w:t>
      </w:r>
    </w:p>
    <w:p>
      <w:pPr>
        <w:pStyle w:val="ListParagraph"/>
        <w:numPr>
          <w:ilvl w:val="2"/>
          <w:numId w:val="2"/>
        </w:numPr>
        <w:tabs>
          <w:tab w:pos="827" w:val="left" w:leader="none"/>
          <w:tab w:pos="828" w:val="left" w:leader="none"/>
        </w:tabs>
        <w:spacing w:line="240" w:lineRule="auto" w:before="1" w:after="0"/>
        <w:ind w:left="828" w:right="0" w:hanging="360"/>
        <w:jc w:val="left"/>
        <w:rPr>
          <w:rFonts w:ascii="Symbol" w:hAnsi="Symbol" w:cs="Symbol" w:eastAsia="Symbol"/>
          <w:sz w:val="20"/>
          <w:szCs w:val="20"/>
        </w:rPr>
      </w:pPr>
      <w:r>
        <w:rPr>
          <w:i/>
          <w:iCs/>
          <w:sz w:val="22"/>
          <w:szCs w:val="22"/>
          <w:u w:val="single"/>
        </w:rPr>
        <w:t>ՀՀ</w:t>
      </w:r>
      <w:r>
        <w:rPr>
          <w:i/>
          <w:iCs/>
          <w:spacing w:val="-5"/>
          <w:sz w:val="22"/>
          <w:szCs w:val="22"/>
        </w:rPr>
        <w:t> </w:t>
      </w:r>
      <w:r>
        <w:rPr>
          <w:sz w:val="22"/>
          <w:szCs w:val="22"/>
        </w:rPr>
        <w:t>–</w:t>
      </w:r>
      <w:r>
        <w:rPr>
          <w:spacing w:val="-2"/>
          <w:sz w:val="22"/>
          <w:szCs w:val="22"/>
        </w:rPr>
        <w:t> </w:t>
      </w:r>
      <w:r>
        <w:rPr>
          <w:sz w:val="22"/>
          <w:szCs w:val="22"/>
        </w:rPr>
        <w:t>Հայաստանի</w:t>
      </w:r>
      <w:r>
        <w:rPr>
          <w:spacing w:val="-2"/>
          <w:sz w:val="22"/>
          <w:szCs w:val="22"/>
        </w:rPr>
        <w:t> Հանրապետություն:</w:t>
      </w:r>
    </w:p>
    <w:p>
      <w:pPr>
        <w:pStyle w:val="ListParagraph"/>
        <w:numPr>
          <w:ilvl w:val="2"/>
          <w:numId w:val="2"/>
        </w:numPr>
        <w:tabs>
          <w:tab w:pos="827" w:val="left" w:leader="none"/>
          <w:tab w:pos="828" w:val="left" w:leader="none"/>
        </w:tabs>
        <w:spacing w:line="240" w:lineRule="auto" w:before="244" w:after="0"/>
        <w:ind w:left="828" w:right="0" w:hanging="360"/>
        <w:jc w:val="left"/>
        <w:rPr>
          <w:rFonts w:ascii="Symbol" w:hAnsi="Symbol" w:cs="Symbol" w:eastAsia="Symbol"/>
          <w:sz w:val="20"/>
          <w:szCs w:val="20"/>
        </w:rPr>
      </w:pPr>
      <w:r>
        <w:rPr>
          <w:i/>
          <w:iCs/>
          <w:sz w:val="22"/>
          <w:szCs w:val="22"/>
          <w:u w:val="single"/>
        </w:rPr>
        <w:t>ՈԿՀ</w:t>
      </w:r>
      <w:r>
        <w:rPr>
          <w:i/>
          <w:iCs/>
          <w:spacing w:val="-8"/>
          <w:sz w:val="22"/>
          <w:szCs w:val="22"/>
        </w:rPr>
        <w:t> </w:t>
      </w:r>
      <w:r>
        <w:rPr>
          <w:sz w:val="22"/>
          <w:szCs w:val="22"/>
        </w:rPr>
        <w:t>–</w:t>
      </w:r>
      <w:r>
        <w:rPr>
          <w:spacing w:val="-4"/>
          <w:sz w:val="22"/>
          <w:szCs w:val="22"/>
        </w:rPr>
        <w:t> </w:t>
      </w:r>
      <w:r>
        <w:rPr>
          <w:sz w:val="22"/>
          <w:szCs w:val="22"/>
        </w:rPr>
        <w:t>ISO</w:t>
      </w:r>
      <w:r>
        <w:rPr>
          <w:spacing w:val="-3"/>
          <w:sz w:val="22"/>
          <w:szCs w:val="22"/>
        </w:rPr>
        <w:t> </w:t>
      </w:r>
      <w:r>
        <w:rPr>
          <w:sz w:val="22"/>
          <w:szCs w:val="22"/>
        </w:rPr>
        <w:t>9001</w:t>
      </w:r>
      <w:r>
        <w:rPr>
          <w:spacing w:val="-6"/>
          <w:sz w:val="22"/>
          <w:szCs w:val="22"/>
        </w:rPr>
        <w:t> </w:t>
      </w:r>
      <w:r>
        <w:rPr>
          <w:sz w:val="22"/>
          <w:szCs w:val="22"/>
        </w:rPr>
        <w:t>ստանդարտին</w:t>
      </w:r>
      <w:r>
        <w:rPr>
          <w:spacing w:val="-5"/>
          <w:sz w:val="22"/>
          <w:szCs w:val="22"/>
        </w:rPr>
        <w:t> </w:t>
      </w:r>
      <w:r>
        <w:rPr>
          <w:sz w:val="22"/>
          <w:szCs w:val="22"/>
        </w:rPr>
        <w:t>համապատասխան</w:t>
      </w:r>
      <w:r>
        <w:rPr>
          <w:spacing w:val="-4"/>
          <w:sz w:val="22"/>
          <w:szCs w:val="22"/>
        </w:rPr>
        <w:t> </w:t>
      </w:r>
      <w:r>
        <w:rPr>
          <w:sz w:val="22"/>
          <w:szCs w:val="22"/>
        </w:rPr>
        <w:t>Որակի</w:t>
      </w:r>
      <w:r>
        <w:rPr>
          <w:spacing w:val="-4"/>
          <w:sz w:val="22"/>
          <w:szCs w:val="22"/>
        </w:rPr>
        <w:t> </w:t>
      </w:r>
      <w:r>
        <w:rPr>
          <w:sz w:val="22"/>
          <w:szCs w:val="22"/>
        </w:rPr>
        <w:t>կառավարման</w:t>
      </w:r>
      <w:r>
        <w:rPr>
          <w:spacing w:val="-4"/>
          <w:sz w:val="22"/>
          <w:szCs w:val="22"/>
        </w:rPr>
        <w:t> </w:t>
      </w:r>
      <w:r>
        <w:rPr>
          <w:spacing w:val="-2"/>
          <w:sz w:val="22"/>
          <w:szCs w:val="22"/>
        </w:rPr>
        <w:t>համակարգ:</w:t>
      </w:r>
    </w:p>
    <w:p>
      <w:pPr>
        <w:pStyle w:val="ListParagraph"/>
        <w:numPr>
          <w:ilvl w:val="2"/>
          <w:numId w:val="2"/>
        </w:numPr>
        <w:tabs>
          <w:tab w:pos="828" w:val="left" w:leader="none"/>
        </w:tabs>
        <w:spacing w:line="276" w:lineRule="auto" w:before="243" w:after="0"/>
        <w:ind w:left="828" w:right="167" w:hanging="360"/>
        <w:jc w:val="both"/>
        <w:rPr>
          <w:rFonts w:ascii="Symbol" w:hAnsi="Symbol" w:cs="Symbol" w:eastAsia="Symbol"/>
          <w:sz w:val="20"/>
          <w:szCs w:val="20"/>
        </w:rPr>
      </w:pPr>
      <w:r>
        <w:rPr>
          <w:i/>
          <w:iCs/>
          <w:sz w:val="22"/>
          <w:szCs w:val="22"/>
          <w:u w:val="single"/>
        </w:rPr>
        <w:t>ՏԱԿՀ</w:t>
      </w:r>
      <w:r>
        <w:rPr>
          <w:i/>
          <w:iCs/>
          <w:sz w:val="22"/>
          <w:szCs w:val="22"/>
        </w:rPr>
        <w:t> – </w:t>
      </w:r>
      <w:r>
        <w:rPr>
          <w:sz w:val="22"/>
          <w:szCs w:val="22"/>
        </w:rPr>
        <w:t>ISO 27001 ստանդարտին համապատասխան Տեղեկատվական անվտանգության կառավարման համակարգ։</w:t>
      </w:r>
    </w:p>
    <w:p>
      <w:pPr>
        <w:spacing w:after="0" w:line="276" w:lineRule="auto"/>
        <w:jc w:val="both"/>
        <w:rPr>
          <w:rFonts w:ascii="Symbol" w:hAnsi="Symbol" w:cs="Symbol" w:eastAsia="Symbol"/>
          <w:sz w:val="20"/>
          <w:szCs w:val="20"/>
        </w:rPr>
        <w:sectPr>
          <w:pgSz w:w="11910" w:h="16840"/>
          <w:pgMar w:header="0" w:footer="786" w:top="340" w:bottom="1040" w:left="600" w:right="820"/>
        </w:sectPr>
      </w:pPr>
    </w:p>
    <w:p>
      <w:pPr>
        <w:pStyle w:val="Heading1"/>
        <w:numPr>
          <w:ilvl w:val="0"/>
          <w:numId w:val="2"/>
        </w:numPr>
        <w:tabs>
          <w:tab w:pos="3231" w:val="left" w:leader="none"/>
        </w:tabs>
        <w:spacing w:line="240" w:lineRule="auto" w:before="91" w:after="0"/>
        <w:ind w:left="3230" w:right="0" w:hanging="265"/>
        <w:jc w:val="left"/>
      </w:pPr>
      <w:bookmarkStart w:name="3. ԱՊԱՀՈՎԱԳՐՈՒԹՅԱՆ ՍՈՒԲՅԵԿՏՆԵՐ" w:id="5"/>
      <w:bookmarkEnd w:id="5"/>
      <w:r>
        <w:rPr>
          <w:b w:val="0"/>
          <w:bCs w:val="0"/>
        </w:rPr>
      </w:r>
      <w:bookmarkStart w:name="_bookmark2" w:id="6"/>
      <w:bookmarkEnd w:id="6"/>
      <w:r>
        <w:rPr>
          <w:spacing w:val="-2"/>
        </w:rPr>
        <w:t>Ա</w:t>
      </w:r>
      <w:r>
        <w:rPr>
          <w:spacing w:val="-2"/>
        </w:rPr>
        <w:t>ՊԱՀՈՎԱԳՐՈՒԹՅԱՆ</w:t>
      </w:r>
      <w:r>
        <w:rPr>
          <w:spacing w:val="11"/>
        </w:rPr>
        <w:t> </w:t>
      </w:r>
      <w:r>
        <w:rPr>
          <w:spacing w:val="-2"/>
        </w:rPr>
        <w:t>ՍՈՒԲՅԵԿՏՆԵՐ</w:t>
      </w:r>
    </w:p>
    <w:p>
      <w:pPr>
        <w:pStyle w:val="BodyText"/>
        <w:spacing w:before="1"/>
        <w:jc w:val="left"/>
        <w:rPr>
          <w:b/>
        </w:rPr>
      </w:pPr>
    </w:p>
    <w:p>
      <w:pPr>
        <w:pStyle w:val="ListParagraph"/>
        <w:numPr>
          <w:ilvl w:val="1"/>
          <w:numId w:val="3"/>
        </w:numPr>
        <w:tabs>
          <w:tab w:pos="814" w:val="left" w:leader="none"/>
        </w:tabs>
        <w:spacing w:line="240" w:lineRule="auto" w:before="0" w:after="0"/>
        <w:ind w:left="107" w:right="166" w:firstLine="12"/>
        <w:jc w:val="both"/>
        <w:rPr>
          <w:sz w:val="22"/>
          <w:szCs w:val="22"/>
        </w:rPr>
      </w:pPr>
      <w:r>
        <w:rPr>
          <w:sz w:val="22"/>
          <w:szCs w:val="22"/>
        </w:rPr>
        <w:t>ՀՀ օրենսդրության համաձայն և սույն Պայմանների հիման վրա «ՍԻԼ ԻՆՇՈՒՐԱՆՍ» ապահովագրական ՓԲԸ-ն գործունակ ֆիզիկական անձանց` ՀՀ քաղաքացիների, օտարերկրյա քաղաքացիների և քաղաքացիություն չունեցող անձանց (այսուհետ Վարկառու կամ Ապահովադիր) հետ կնքում է Վկայագրեր: Որոշ դեպքերում Վկայագիր կարող է կնքվել նաև</w:t>
      </w:r>
      <w:r>
        <w:rPr>
          <w:spacing w:val="40"/>
          <w:sz w:val="22"/>
          <w:szCs w:val="22"/>
        </w:rPr>
        <w:t> </w:t>
      </w:r>
      <w:r>
        <w:rPr>
          <w:sz w:val="22"/>
          <w:szCs w:val="22"/>
        </w:rPr>
        <w:t>վարկատու կազմակերպության հետ:</w:t>
      </w:r>
    </w:p>
    <w:p>
      <w:pPr>
        <w:pStyle w:val="ListParagraph"/>
        <w:numPr>
          <w:ilvl w:val="1"/>
          <w:numId w:val="3"/>
        </w:numPr>
        <w:tabs>
          <w:tab w:pos="881" w:val="left" w:leader="none"/>
        </w:tabs>
        <w:spacing w:line="240" w:lineRule="auto" w:before="0" w:after="0"/>
        <w:ind w:left="107" w:right="167" w:firstLine="11"/>
        <w:jc w:val="both"/>
        <w:rPr>
          <w:sz w:val="22"/>
          <w:szCs w:val="22"/>
        </w:rPr>
      </w:pPr>
      <w:r>
        <w:rPr>
          <w:sz w:val="22"/>
          <w:szCs w:val="22"/>
        </w:rPr>
        <w:t>Պայմանների համաձայն՝ կնքված Վկայագրով/Պայմանագրով</w:t>
      </w:r>
      <w:r>
        <w:rPr>
          <w:spacing w:val="40"/>
          <w:sz w:val="22"/>
          <w:szCs w:val="22"/>
        </w:rPr>
        <w:t> </w:t>
      </w:r>
      <w:r>
        <w:rPr>
          <w:sz w:val="22"/>
          <w:szCs w:val="22"/>
        </w:rPr>
        <w:t>կարող է ապահովագրվել միայն Ապահովադրի ֆինանսական վնասը իր կամ Շահառուի օգտին:</w:t>
      </w:r>
    </w:p>
    <w:p>
      <w:pPr>
        <w:pStyle w:val="BodyText"/>
        <w:jc w:val="left"/>
      </w:pPr>
    </w:p>
    <w:p>
      <w:pPr>
        <w:pStyle w:val="Heading1"/>
        <w:numPr>
          <w:ilvl w:val="0"/>
          <w:numId w:val="2"/>
        </w:numPr>
        <w:tabs>
          <w:tab w:pos="3602" w:val="left" w:leader="none"/>
        </w:tabs>
        <w:spacing w:line="240" w:lineRule="auto" w:before="0" w:after="0"/>
        <w:ind w:left="3601" w:right="0" w:hanging="267"/>
        <w:jc w:val="left"/>
      </w:pPr>
      <w:bookmarkStart w:name="4. ԱՊԱՀՈՎԱԳՐՈՒԹՅԱՆ ՕԲՅԵԿՏ" w:id="7"/>
      <w:bookmarkEnd w:id="7"/>
      <w:r>
        <w:rPr>
          <w:b w:val="0"/>
          <w:bCs w:val="0"/>
        </w:rPr>
      </w:r>
      <w:bookmarkStart w:name="_bookmark3" w:id="8"/>
      <w:bookmarkEnd w:id="8"/>
      <w:r>
        <w:rPr>
          <w:spacing w:val="-2"/>
        </w:rPr>
        <w:t>ԱՊԱՀ</w:t>
      </w:r>
      <w:r>
        <w:rPr>
          <w:spacing w:val="-2"/>
        </w:rPr>
        <w:t>ՈՎԱԳՐՈՒԹՅԱՆ</w:t>
      </w:r>
      <w:r>
        <w:rPr>
          <w:spacing w:val="11"/>
        </w:rPr>
        <w:t> </w:t>
      </w:r>
      <w:r>
        <w:rPr>
          <w:spacing w:val="-2"/>
        </w:rPr>
        <w:t>ՕԲՅԵԿՏ</w:t>
      </w:r>
    </w:p>
    <w:p>
      <w:pPr>
        <w:pStyle w:val="BodyText"/>
        <w:spacing w:before="1"/>
        <w:jc w:val="left"/>
        <w:rPr>
          <w:b/>
        </w:rPr>
      </w:pPr>
    </w:p>
    <w:p>
      <w:pPr>
        <w:pStyle w:val="ListParagraph"/>
        <w:numPr>
          <w:ilvl w:val="1"/>
          <w:numId w:val="4"/>
        </w:numPr>
        <w:tabs>
          <w:tab w:pos="813" w:val="left" w:leader="none"/>
        </w:tabs>
        <w:spacing w:line="240" w:lineRule="auto" w:before="0" w:after="0"/>
        <w:ind w:left="107" w:right="166" w:hanging="1"/>
        <w:jc w:val="both"/>
        <w:rPr>
          <w:sz w:val="22"/>
          <w:szCs w:val="22"/>
        </w:rPr>
      </w:pPr>
      <w:r>
        <w:rPr>
          <w:sz w:val="22"/>
          <w:szCs w:val="22"/>
        </w:rPr>
        <w:t>Ապահովագրության օբյեկտ է հանդիսանում Հայաստանի Հանրապետության կենտրոնական բանկի կողմից լիցենզավորված ֆինանսավարկային կազմակերպությունների (այսուհետ՝</w:t>
      </w:r>
      <w:r>
        <w:rPr>
          <w:spacing w:val="40"/>
          <w:sz w:val="22"/>
          <w:szCs w:val="22"/>
        </w:rPr>
        <w:t> </w:t>
      </w:r>
      <w:r>
        <w:rPr>
          <w:sz w:val="22"/>
          <w:szCs w:val="22"/>
        </w:rPr>
        <w:t>Վարկատու) գույքային շահերը՝ կապված իրենց սեփական ռեսուրսներով կամ նպատակային ծրագրերով ֆինանսավորման կամ վերաֆինանսավորման ենթակա բնակարան/բնակելի տուն (այսուհետ` Անշարժ գույք) ձեռք բերելու նպատակով հիփոթեքային վարկավորման ընթացքում ապահովագրական պատահարի ի հայտ գալու հետևանքով առաջացած Վարկատուի կորուստների հավանականության հետ::</w:t>
      </w:r>
    </w:p>
    <w:p>
      <w:pPr>
        <w:pStyle w:val="ListParagraph"/>
        <w:numPr>
          <w:ilvl w:val="1"/>
          <w:numId w:val="4"/>
        </w:numPr>
        <w:tabs>
          <w:tab w:pos="815" w:val="left" w:leader="none"/>
        </w:tabs>
        <w:spacing w:line="240" w:lineRule="auto" w:before="0" w:after="0"/>
        <w:ind w:left="108" w:right="171" w:firstLine="0"/>
        <w:jc w:val="both"/>
        <w:rPr>
          <w:sz w:val="22"/>
          <w:szCs w:val="22"/>
        </w:rPr>
      </w:pPr>
      <w:r>
        <w:rPr>
          <w:sz w:val="22"/>
          <w:szCs w:val="22"/>
        </w:rPr>
        <w:t>Ելնելով վարկավորման տեսակից՝ սույն Պայմաններով ապահովագրությունը կարող է իրականցվել 2 (երկու) փաթեթներից որևիցե մեկով, ինչը նշվում է Վկայագրում:</w:t>
      </w:r>
    </w:p>
    <w:p>
      <w:pPr>
        <w:pStyle w:val="ListParagraph"/>
        <w:numPr>
          <w:ilvl w:val="1"/>
          <w:numId w:val="4"/>
        </w:numPr>
        <w:tabs>
          <w:tab w:pos="815" w:val="left" w:leader="none"/>
        </w:tabs>
        <w:spacing w:line="240" w:lineRule="auto" w:before="0" w:after="0"/>
        <w:ind w:left="814" w:right="0" w:hanging="707"/>
        <w:jc w:val="both"/>
        <w:rPr>
          <w:sz w:val="22"/>
          <w:szCs w:val="22"/>
        </w:rPr>
      </w:pPr>
      <w:r>
        <w:rPr>
          <w:sz w:val="22"/>
          <w:szCs w:val="22"/>
        </w:rPr>
        <w:t>Կողմերի</w:t>
      </w:r>
      <w:r>
        <w:rPr>
          <w:spacing w:val="-5"/>
          <w:sz w:val="22"/>
          <w:szCs w:val="22"/>
        </w:rPr>
        <w:t> </w:t>
      </w:r>
      <w:r>
        <w:rPr>
          <w:sz w:val="22"/>
          <w:szCs w:val="22"/>
        </w:rPr>
        <w:t>համաձայնությամբ</w:t>
      </w:r>
      <w:r>
        <w:rPr>
          <w:spacing w:val="-4"/>
          <w:sz w:val="22"/>
          <w:szCs w:val="22"/>
        </w:rPr>
        <w:t> </w:t>
      </w:r>
      <w:r>
        <w:rPr>
          <w:sz w:val="22"/>
          <w:szCs w:val="22"/>
        </w:rPr>
        <w:t>կարող</w:t>
      </w:r>
      <w:r>
        <w:rPr>
          <w:spacing w:val="-5"/>
          <w:sz w:val="22"/>
          <w:szCs w:val="22"/>
        </w:rPr>
        <w:t> </w:t>
      </w:r>
      <w:r>
        <w:rPr>
          <w:sz w:val="22"/>
          <w:szCs w:val="22"/>
        </w:rPr>
        <w:t>են</w:t>
      </w:r>
      <w:r>
        <w:rPr>
          <w:spacing w:val="-5"/>
          <w:sz w:val="22"/>
          <w:szCs w:val="22"/>
        </w:rPr>
        <w:t> </w:t>
      </w:r>
      <w:r>
        <w:rPr>
          <w:sz w:val="22"/>
          <w:szCs w:val="22"/>
        </w:rPr>
        <w:t>կիրառվել</w:t>
      </w:r>
      <w:r>
        <w:rPr>
          <w:spacing w:val="-5"/>
          <w:sz w:val="22"/>
          <w:szCs w:val="22"/>
        </w:rPr>
        <w:t> </w:t>
      </w:r>
      <w:r>
        <w:rPr>
          <w:sz w:val="22"/>
          <w:szCs w:val="22"/>
        </w:rPr>
        <w:t>նաև</w:t>
      </w:r>
      <w:r>
        <w:rPr>
          <w:spacing w:val="-5"/>
          <w:sz w:val="22"/>
          <w:szCs w:val="22"/>
        </w:rPr>
        <w:t> </w:t>
      </w:r>
      <w:r>
        <w:rPr>
          <w:sz w:val="22"/>
          <w:szCs w:val="22"/>
        </w:rPr>
        <w:t>այլ</w:t>
      </w:r>
      <w:r>
        <w:rPr>
          <w:spacing w:val="-7"/>
          <w:sz w:val="22"/>
          <w:szCs w:val="22"/>
        </w:rPr>
        <w:t> </w:t>
      </w:r>
      <w:r>
        <w:rPr>
          <w:sz w:val="22"/>
          <w:szCs w:val="22"/>
        </w:rPr>
        <w:t>ապահովագրության</w:t>
      </w:r>
      <w:r>
        <w:rPr>
          <w:spacing w:val="-5"/>
          <w:sz w:val="22"/>
          <w:szCs w:val="22"/>
        </w:rPr>
        <w:t> </w:t>
      </w:r>
      <w:r>
        <w:rPr>
          <w:spacing w:val="-2"/>
          <w:sz w:val="22"/>
          <w:szCs w:val="22"/>
        </w:rPr>
        <w:t>փաթեթներ:</w:t>
      </w:r>
    </w:p>
    <w:p>
      <w:pPr>
        <w:pStyle w:val="BodyText"/>
        <w:spacing w:before="11"/>
        <w:jc w:val="left"/>
        <w:rPr>
          <w:sz w:val="21"/>
        </w:rPr>
      </w:pPr>
    </w:p>
    <w:p>
      <w:pPr>
        <w:pStyle w:val="Heading1"/>
        <w:numPr>
          <w:ilvl w:val="0"/>
          <w:numId w:val="2"/>
        </w:numPr>
        <w:tabs>
          <w:tab w:pos="3709" w:val="left" w:leader="none"/>
        </w:tabs>
        <w:spacing w:line="240" w:lineRule="auto" w:before="0" w:after="0"/>
        <w:ind w:left="3708" w:right="0" w:hanging="265"/>
        <w:jc w:val="left"/>
      </w:pPr>
      <w:bookmarkStart w:name="5. ԱՊԱՀՈՎԱԳՐՈՒԹՅԱՆ ՓԱԹԵԹ I" w:id="9"/>
      <w:bookmarkEnd w:id="9"/>
      <w:r>
        <w:rPr>
          <w:b w:val="0"/>
          <w:bCs w:val="0"/>
        </w:rPr>
      </w:r>
      <w:bookmarkStart w:name="_bookmark4" w:id="10"/>
      <w:bookmarkEnd w:id="10"/>
      <w:r>
        <w:rPr/>
        <w:t>ԱՊԱՀ</w:t>
      </w:r>
      <w:r>
        <w:rPr/>
        <w:t>ՈՎԱԳՐՈՒԹՅԱՆ</w:t>
      </w:r>
      <w:r>
        <w:rPr>
          <w:spacing w:val="-11"/>
        </w:rPr>
        <w:t> </w:t>
      </w:r>
      <w:r>
        <w:rPr/>
        <w:t>ՓԱԹԵԹ</w:t>
      </w:r>
      <w:r>
        <w:rPr>
          <w:spacing w:val="-11"/>
        </w:rPr>
        <w:t> </w:t>
      </w:r>
      <w:r>
        <w:rPr>
          <w:spacing w:val="-10"/>
        </w:rPr>
        <w:t>I</w:t>
      </w:r>
    </w:p>
    <w:p>
      <w:pPr>
        <w:pStyle w:val="BodyText"/>
        <w:spacing w:before="12"/>
        <w:jc w:val="left"/>
        <w:rPr>
          <w:b/>
          <w:sz w:val="21"/>
        </w:rPr>
      </w:pPr>
    </w:p>
    <w:p>
      <w:pPr>
        <w:pStyle w:val="ListParagraph"/>
        <w:numPr>
          <w:ilvl w:val="1"/>
          <w:numId w:val="5"/>
        </w:numPr>
        <w:tabs>
          <w:tab w:pos="829" w:val="left" w:leader="none"/>
        </w:tabs>
        <w:spacing w:line="240" w:lineRule="auto" w:before="0" w:after="0"/>
        <w:ind w:left="828" w:right="0" w:hanging="721"/>
        <w:jc w:val="both"/>
        <w:rPr>
          <w:b/>
          <w:bCs/>
          <w:sz w:val="22"/>
          <w:szCs w:val="22"/>
        </w:rPr>
      </w:pPr>
      <w:r>
        <w:rPr>
          <w:b/>
          <w:bCs/>
          <w:sz w:val="22"/>
          <w:szCs w:val="22"/>
        </w:rPr>
        <w:t>Ապահովագրության</w:t>
      </w:r>
      <w:r>
        <w:rPr>
          <w:b/>
          <w:bCs/>
          <w:spacing w:val="-10"/>
          <w:sz w:val="22"/>
          <w:szCs w:val="22"/>
        </w:rPr>
        <w:t> </w:t>
      </w:r>
      <w:r>
        <w:rPr>
          <w:b/>
          <w:bCs/>
          <w:sz w:val="22"/>
          <w:szCs w:val="22"/>
        </w:rPr>
        <w:t>առարկան</w:t>
      </w:r>
      <w:r>
        <w:rPr>
          <w:b/>
          <w:bCs/>
          <w:spacing w:val="-7"/>
          <w:sz w:val="22"/>
          <w:szCs w:val="22"/>
        </w:rPr>
        <w:t> </w:t>
      </w:r>
      <w:r>
        <w:rPr>
          <w:b/>
          <w:bCs/>
          <w:sz w:val="22"/>
          <w:szCs w:val="22"/>
        </w:rPr>
        <w:t>և</w:t>
      </w:r>
      <w:r>
        <w:rPr>
          <w:b/>
          <w:bCs/>
          <w:spacing w:val="-8"/>
          <w:sz w:val="22"/>
          <w:szCs w:val="22"/>
        </w:rPr>
        <w:t> </w:t>
      </w:r>
      <w:r>
        <w:rPr>
          <w:b/>
          <w:bCs/>
          <w:sz w:val="22"/>
          <w:szCs w:val="22"/>
        </w:rPr>
        <w:t>էական</w:t>
      </w:r>
      <w:r>
        <w:rPr>
          <w:b/>
          <w:bCs/>
          <w:spacing w:val="-9"/>
          <w:sz w:val="22"/>
          <w:szCs w:val="22"/>
        </w:rPr>
        <w:t> </w:t>
      </w:r>
      <w:r>
        <w:rPr>
          <w:b/>
          <w:bCs/>
          <w:spacing w:val="-2"/>
          <w:sz w:val="22"/>
          <w:szCs w:val="22"/>
        </w:rPr>
        <w:t>պայմանները</w:t>
      </w:r>
    </w:p>
    <w:p>
      <w:pPr>
        <w:pStyle w:val="BodyText"/>
        <w:spacing w:before="1"/>
        <w:jc w:val="left"/>
        <w:rPr>
          <w:b/>
        </w:rPr>
      </w:pPr>
    </w:p>
    <w:p>
      <w:pPr>
        <w:pStyle w:val="ListParagraph"/>
        <w:numPr>
          <w:ilvl w:val="2"/>
          <w:numId w:val="5"/>
        </w:numPr>
        <w:tabs>
          <w:tab w:pos="815" w:val="left" w:leader="none"/>
        </w:tabs>
        <w:spacing w:line="240" w:lineRule="auto" w:before="0" w:after="0"/>
        <w:ind w:left="108" w:right="167" w:firstLine="0"/>
        <w:jc w:val="both"/>
        <w:rPr>
          <w:sz w:val="22"/>
          <w:szCs w:val="22"/>
        </w:rPr>
      </w:pPr>
      <w:r>
        <w:rPr>
          <w:sz w:val="22"/>
          <w:szCs w:val="22"/>
        </w:rPr>
        <w:t>Ազգային Հիփոթեքային Ընկերության ծրագրով վերաֆինանսավորման ենթակա Անշարժ գույք ձեռք բերելու նպատակով հիփոթեքային վարկ (այսուհետ` Վարկ) ստանալու համար Վարկատուին դիմած</w:t>
      </w:r>
      <w:r>
        <w:rPr>
          <w:spacing w:val="40"/>
          <w:sz w:val="22"/>
          <w:szCs w:val="22"/>
        </w:rPr>
        <w:t> </w:t>
      </w:r>
      <w:r>
        <w:rPr>
          <w:sz w:val="22"/>
          <w:szCs w:val="22"/>
        </w:rPr>
        <w:t>Վարկառուն կանխավճարի տեսքով վճարման ենթակա գումարի մի մասին համարժեք ապահովագրական գումարով Վկայագիր է ներկայացնում Վարկատուին, իսկ Ապահովագրողը պարտավորվում է Չվճարված կանխավճարի չափով ապահովագրված գումարի (այսուհետ՝</w:t>
      </w:r>
      <w:r>
        <w:rPr>
          <w:spacing w:val="-4"/>
          <w:sz w:val="22"/>
          <w:szCs w:val="22"/>
        </w:rPr>
        <w:t> </w:t>
      </w:r>
      <w:r>
        <w:rPr>
          <w:sz w:val="22"/>
          <w:szCs w:val="22"/>
        </w:rPr>
        <w:t>ՉԿԳ)</w:t>
      </w:r>
      <w:r>
        <w:rPr>
          <w:spacing w:val="-3"/>
          <w:sz w:val="22"/>
          <w:szCs w:val="22"/>
        </w:rPr>
        <w:t> </w:t>
      </w:r>
      <w:r>
        <w:rPr>
          <w:sz w:val="22"/>
          <w:szCs w:val="22"/>
        </w:rPr>
        <w:t>և</w:t>
      </w:r>
      <w:r>
        <w:rPr>
          <w:spacing w:val="-2"/>
          <w:sz w:val="22"/>
          <w:szCs w:val="22"/>
        </w:rPr>
        <w:t> </w:t>
      </w:r>
      <w:r>
        <w:rPr>
          <w:sz w:val="22"/>
          <w:szCs w:val="22"/>
        </w:rPr>
        <w:t>դրա</w:t>
      </w:r>
      <w:r>
        <w:rPr>
          <w:spacing w:val="-5"/>
          <w:sz w:val="22"/>
          <w:szCs w:val="22"/>
        </w:rPr>
        <w:t> </w:t>
      </w:r>
      <w:r>
        <w:rPr>
          <w:sz w:val="22"/>
          <w:szCs w:val="22"/>
        </w:rPr>
        <w:t>նկատմամբ</w:t>
      </w:r>
      <w:r>
        <w:rPr>
          <w:spacing w:val="-2"/>
          <w:sz w:val="22"/>
          <w:szCs w:val="22"/>
        </w:rPr>
        <w:t> </w:t>
      </w:r>
      <w:r>
        <w:rPr>
          <w:sz w:val="22"/>
          <w:szCs w:val="22"/>
        </w:rPr>
        <w:t>սույն</w:t>
      </w:r>
      <w:r>
        <w:rPr>
          <w:spacing w:val="-3"/>
          <w:sz w:val="22"/>
          <w:szCs w:val="22"/>
        </w:rPr>
        <w:t> </w:t>
      </w:r>
      <w:r>
        <w:rPr>
          <w:sz w:val="22"/>
          <w:szCs w:val="22"/>
        </w:rPr>
        <w:t>Վկայագրով</w:t>
      </w:r>
      <w:r>
        <w:rPr>
          <w:spacing w:val="-1"/>
          <w:sz w:val="22"/>
          <w:szCs w:val="22"/>
        </w:rPr>
        <w:t> </w:t>
      </w:r>
      <w:r>
        <w:rPr>
          <w:sz w:val="22"/>
          <w:szCs w:val="22"/>
        </w:rPr>
        <w:t>սահմանված</w:t>
      </w:r>
      <w:r>
        <w:rPr>
          <w:spacing w:val="-3"/>
          <w:sz w:val="22"/>
          <w:szCs w:val="22"/>
        </w:rPr>
        <w:t> </w:t>
      </w:r>
      <w:r>
        <w:rPr>
          <w:sz w:val="22"/>
          <w:szCs w:val="22"/>
        </w:rPr>
        <w:t>չափով</w:t>
      </w:r>
      <w:r>
        <w:rPr>
          <w:spacing w:val="-3"/>
          <w:sz w:val="22"/>
          <w:szCs w:val="22"/>
        </w:rPr>
        <w:t> </w:t>
      </w:r>
      <w:r>
        <w:rPr>
          <w:sz w:val="22"/>
          <w:szCs w:val="22"/>
        </w:rPr>
        <w:t>հաշվարկված</w:t>
      </w:r>
      <w:r>
        <w:rPr>
          <w:spacing w:val="-3"/>
          <w:sz w:val="22"/>
          <w:szCs w:val="22"/>
        </w:rPr>
        <w:t> </w:t>
      </w:r>
      <w:r>
        <w:rPr>
          <w:sz w:val="22"/>
          <w:szCs w:val="22"/>
        </w:rPr>
        <w:t>տոկոսների կորստի մասով ապահովագրել Վարկատուի գույքային շահերը` ֆինանսական վնասների ապահովագրության դասով:</w:t>
      </w:r>
    </w:p>
    <w:p>
      <w:pPr>
        <w:pStyle w:val="ListParagraph"/>
        <w:numPr>
          <w:ilvl w:val="2"/>
          <w:numId w:val="5"/>
        </w:numPr>
        <w:tabs>
          <w:tab w:pos="814" w:val="left" w:leader="none"/>
        </w:tabs>
        <w:spacing w:line="240" w:lineRule="auto" w:before="0" w:after="0"/>
        <w:ind w:left="108" w:right="167" w:firstLine="0"/>
        <w:jc w:val="both"/>
        <w:rPr>
          <w:sz w:val="22"/>
          <w:szCs w:val="22"/>
        </w:rPr>
      </w:pPr>
      <w:r>
        <w:rPr>
          <w:sz w:val="22"/>
          <w:szCs w:val="22"/>
        </w:rPr>
        <w:t>Պայմանների 5.1.1. կետում նշված ՉԿԳ-ն առավելագույնը կարող է կազմել</w:t>
      </w:r>
      <w:r>
        <w:rPr>
          <w:spacing w:val="40"/>
          <w:sz w:val="22"/>
          <w:szCs w:val="22"/>
        </w:rPr>
        <w:t> </w:t>
      </w:r>
      <w:r>
        <w:rPr>
          <w:sz w:val="22"/>
          <w:szCs w:val="22"/>
        </w:rPr>
        <w:t>Անշարժ գույքի շուկայական գնով գնահատված կամ ձեռք բերման արժեքներից նվազագույն գնի 20%-ը, որի ներկայացման պարագայում Պայմանների 5.1.1. կետում նշված նպատակով Վարկատուի կողմից տրամադրվելիք հիփոթեքային վարկի չափը առավելագույնը կարող է կազմել Անշարժ գույքի գնահատված կամ ձեռք բերման արժեքներից նվազագույն գնի 90%-ը:</w:t>
      </w:r>
    </w:p>
    <w:p>
      <w:pPr>
        <w:pStyle w:val="ListParagraph"/>
        <w:numPr>
          <w:ilvl w:val="2"/>
          <w:numId w:val="5"/>
        </w:numPr>
        <w:tabs>
          <w:tab w:pos="814" w:val="left" w:leader="none"/>
        </w:tabs>
        <w:spacing w:line="240" w:lineRule="auto" w:before="0" w:after="0"/>
        <w:ind w:left="108" w:right="168" w:firstLine="0"/>
        <w:jc w:val="both"/>
        <w:rPr>
          <w:sz w:val="22"/>
          <w:szCs w:val="22"/>
        </w:rPr>
      </w:pPr>
      <w:r>
        <w:rPr>
          <w:sz w:val="22"/>
          <w:szCs w:val="22"/>
        </w:rPr>
        <w:t>Պայմանների դրույթներին համապատասխան` Վարկառուի կողմից իր վարկային պարտավորությունների չկատարման հետևանքով ապահովագրական պատահարի ի հայտ գալու դեպքում Ապահովագրողը պարտավորվում է հատուցել ՉԿԳ-ի և դրա գծով երկու տարվա համար հաշվարկված տոկոսների կորստի արդյունքում Վարկատուի կրած ֆինանսական</w:t>
      </w:r>
      <w:r>
        <w:rPr>
          <w:spacing w:val="40"/>
          <w:sz w:val="22"/>
          <w:szCs w:val="22"/>
        </w:rPr>
        <w:t> </w:t>
      </w:r>
      <w:r>
        <w:rPr>
          <w:sz w:val="22"/>
          <w:szCs w:val="22"/>
        </w:rPr>
        <w:t>վնասը` սույն Պայմաններում և Վարկառուի հետ կնքված Վկայագրում</w:t>
      </w:r>
      <w:r>
        <w:rPr>
          <w:spacing w:val="40"/>
          <w:sz w:val="22"/>
          <w:szCs w:val="22"/>
        </w:rPr>
        <w:t> </w:t>
      </w:r>
      <w:r>
        <w:rPr>
          <w:sz w:val="22"/>
          <w:szCs w:val="22"/>
        </w:rPr>
        <w:t>նշված սահմանաչափով ու կարգով:</w:t>
      </w:r>
    </w:p>
    <w:p>
      <w:pPr>
        <w:pStyle w:val="BodyText"/>
        <w:jc w:val="left"/>
      </w:pPr>
    </w:p>
    <w:p>
      <w:pPr>
        <w:pStyle w:val="ListParagraph"/>
        <w:numPr>
          <w:ilvl w:val="1"/>
          <w:numId w:val="5"/>
        </w:numPr>
        <w:tabs>
          <w:tab w:pos="829" w:val="left" w:leader="none"/>
        </w:tabs>
        <w:spacing w:line="240" w:lineRule="auto" w:before="0" w:after="0"/>
        <w:ind w:left="828" w:right="0" w:hanging="721"/>
        <w:jc w:val="both"/>
        <w:rPr>
          <w:b/>
          <w:bCs/>
          <w:sz w:val="22"/>
          <w:szCs w:val="22"/>
        </w:rPr>
      </w:pPr>
      <w:r>
        <w:rPr>
          <w:b/>
          <w:bCs/>
          <w:sz w:val="22"/>
          <w:szCs w:val="22"/>
        </w:rPr>
        <w:t>Ապահովագրական</w:t>
      </w:r>
      <w:r>
        <w:rPr>
          <w:b/>
          <w:bCs/>
          <w:spacing w:val="-8"/>
          <w:sz w:val="22"/>
          <w:szCs w:val="22"/>
        </w:rPr>
        <w:t> </w:t>
      </w:r>
      <w:r>
        <w:rPr>
          <w:b/>
          <w:bCs/>
          <w:sz w:val="22"/>
          <w:szCs w:val="22"/>
        </w:rPr>
        <w:t>ռիսկեր</w:t>
      </w:r>
      <w:r>
        <w:rPr>
          <w:b/>
          <w:bCs/>
          <w:spacing w:val="-7"/>
          <w:sz w:val="22"/>
          <w:szCs w:val="22"/>
        </w:rPr>
        <w:t> </w:t>
      </w:r>
      <w:r>
        <w:rPr>
          <w:b/>
          <w:bCs/>
          <w:sz w:val="22"/>
          <w:szCs w:val="22"/>
        </w:rPr>
        <w:t>և</w:t>
      </w:r>
      <w:r>
        <w:rPr>
          <w:b/>
          <w:bCs/>
          <w:spacing w:val="-9"/>
          <w:sz w:val="22"/>
          <w:szCs w:val="22"/>
        </w:rPr>
        <w:t> </w:t>
      </w:r>
      <w:r>
        <w:rPr>
          <w:b/>
          <w:bCs/>
          <w:spacing w:val="-2"/>
          <w:sz w:val="22"/>
          <w:szCs w:val="22"/>
        </w:rPr>
        <w:t>պատահարներ</w:t>
      </w:r>
    </w:p>
    <w:p>
      <w:pPr>
        <w:pStyle w:val="BodyText"/>
        <w:spacing w:before="1"/>
        <w:jc w:val="left"/>
        <w:rPr>
          <w:b/>
        </w:rPr>
      </w:pPr>
    </w:p>
    <w:p>
      <w:pPr>
        <w:pStyle w:val="ListParagraph"/>
        <w:numPr>
          <w:ilvl w:val="2"/>
          <w:numId w:val="5"/>
        </w:numPr>
        <w:tabs>
          <w:tab w:pos="814" w:val="left" w:leader="none"/>
        </w:tabs>
        <w:spacing w:line="240" w:lineRule="auto" w:before="0" w:after="0"/>
        <w:ind w:left="107" w:right="167" w:firstLine="0"/>
        <w:jc w:val="both"/>
        <w:rPr>
          <w:sz w:val="22"/>
          <w:szCs w:val="22"/>
        </w:rPr>
      </w:pPr>
      <w:r>
        <w:rPr>
          <w:sz w:val="22"/>
          <w:szCs w:val="22"/>
        </w:rPr>
        <w:t>Սույն փաթեթով ապահովագրական պատահար (այսուհետ` Պատահար) է համարվում Վարկատուի կողմից Վարկառուին տրամադրված Վարկի գծով վերջինիս կողմից վարկային պարտավորությունների չկատարման կամ ոչ պատշաճ կատարման հետևանքով Անշարժ գույքի իրացման</w:t>
      </w:r>
      <w:r>
        <w:rPr>
          <w:spacing w:val="69"/>
          <w:w w:val="150"/>
          <w:sz w:val="22"/>
          <w:szCs w:val="22"/>
        </w:rPr>
        <w:t> </w:t>
      </w:r>
      <w:r>
        <w:rPr>
          <w:sz w:val="22"/>
          <w:szCs w:val="22"/>
        </w:rPr>
        <w:t>դեպքում՝`</w:t>
      </w:r>
      <w:r>
        <w:rPr>
          <w:spacing w:val="71"/>
          <w:w w:val="150"/>
          <w:sz w:val="22"/>
          <w:szCs w:val="22"/>
        </w:rPr>
        <w:t> </w:t>
      </w:r>
      <w:r>
        <w:rPr>
          <w:sz w:val="22"/>
          <w:szCs w:val="22"/>
        </w:rPr>
        <w:t>Պայմանների</w:t>
      </w:r>
      <w:r>
        <w:rPr>
          <w:spacing w:val="72"/>
          <w:w w:val="150"/>
          <w:sz w:val="22"/>
          <w:szCs w:val="22"/>
        </w:rPr>
        <w:t> </w:t>
      </w:r>
      <w:r>
        <w:rPr>
          <w:sz w:val="22"/>
          <w:szCs w:val="22"/>
        </w:rPr>
        <w:t>5.1.1.</w:t>
      </w:r>
      <w:r>
        <w:rPr>
          <w:spacing w:val="73"/>
          <w:w w:val="150"/>
          <w:sz w:val="22"/>
          <w:szCs w:val="22"/>
        </w:rPr>
        <w:t> </w:t>
      </w:r>
      <w:r>
        <w:rPr>
          <w:sz w:val="22"/>
          <w:szCs w:val="22"/>
        </w:rPr>
        <w:t>կետում</w:t>
      </w:r>
      <w:r>
        <w:rPr>
          <w:spacing w:val="73"/>
          <w:w w:val="150"/>
          <w:sz w:val="22"/>
          <w:szCs w:val="22"/>
        </w:rPr>
        <w:t> </w:t>
      </w:r>
      <w:r>
        <w:rPr>
          <w:sz w:val="22"/>
          <w:szCs w:val="22"/>
        </w:rPr>
        <w:t>նշված</w:t>
      </w:r>
      <w:r>
        <w:rPr>
          <w:spacing w:val="72"/>
          <w:w w:val="150"/>
          <w:sz w:val="22"/>
          <w:szCs w:val="22"/>
        </w:rPr>
        <w:t> </w:t>
      </w:r>
      <w:r>
        <w:rPr>
          <w:sz w:val="22"/>
          <w:szCs w:val="22"/>
        </w:rPr>
        <w:t>ՉԿԳ-ի</w:t>
      </w:r>
      <w:r>
        <w:rPr>
          <w:spacing w:val="70"/>
          <w:w w:val="150"/>
          <w:sz w:val="22"/>
          <w:szCs w:val="22"/>
        </w:rPr>
        <w:t> </w:t>
      </w:r>
      <w:r>
        <w:rPr>
          <w:sz w:val="22"/>
          <w:szCs w:val="22"/>
        </w:rPr>
        <w:t>ամբողջական</w:t>
      </w:r>
      <w:r>
        <w:rPr>
          <w:spacing w:val="72"/>
          <w:w w:val="150"/>
          <w:sz w:val="22"/>
          <w:szCs w:val="22"/>
        </w:rPr>
        <w:t> </w:t>
      </w:r>
      <w:r>
        <w:rPr>
          <w:sz w:val="22"/>
          <w:szCs w:val="22"/>
        </w:rPr>
        <w:t>կամ</w:t>
      </w:r>
      <w:r>
        <w:rPr>
          <w:spacing w:val="74"/>
          <w:w w:val="150"/>
          <w:sz w:val="22"/>
          <w:szCs w:val="22"/>
        </w:rPr>
        <w:t> </w:t>
      </w:r>
      <w:r>
        <w:rPr>
          <w:spacing w:val="-2"/>
          <w:sz w:val="22"/>
          <w:szCs w:val="22"/>
        </w:rPr>
        <w:t>մասնակի</w:t>
      </w:r>
    </w:p>
    <w:p>
      <w:pPr>
        <w:spacing w:after="0" w:line="240" w:lineRule="auto"/>
        <w:jc w:val="both"/>
        <w:rPr>
          <w:sz w:val="22"/>
          <w:szCs w:val="22"/>
        </w:rPr>
        <w:sectPr>
          <w:pgSz w:w="11910" w:h="16840"/>
          <w:pgMar w:header="0" w:footer="786" w:top="340" w:bottom="980" w:left="600" w:right="820"/>
        </w:sectPr>
      </w:pPr>
    </w:p>
    <w:p>
      <w:pPr>
        <w:pStyle w:val="BodyText"/>
        <w:spacing w:before="91"/>
        <w:ind w:left="108" w:right="166"/>
      </w:pPr>
      <w:r>
        <w:rPr/>
        <w:t>կորուստը և/կամ ՉԿԳի մնացորդային գումարի նկատմամբ փաստացի հաշվարկված, բայց ոչ ավել քան երկու տարվա համար հաշվարկված տոկոսների կորուստը՝ չստացումը Վարկատուի կողմից, որի տեղի ունենալու ուժով Ապահովագրողը պարտավորվում է Վարկատուին վճարել ապահովագրական հատուցում Վկայագրով սահմանված չափով:</w:t>
      </w:r>
    </w:p>
    <w:p>
      <w:pPr>
        <w:pStyle w:val="ListParagraph"/>
        <w:numPr>
          <w:ilvl w:val="2"/>
          <w:numId w:val="5"/>
        </w:numPr>
        <w:tabs>
          <w:tab w:pos="814" w:val="left" w:leader="none"/>
        </w:tabs>
        <w:spacing w:line="240" w:lineRule="auto" w:before="0" w:after="0"/>
        <w:ind w:left="108" w:right="167" w:firstLine="0"/>
        <w:jc w:val="both"/>
        <w:rPr>
          <w:sz w:val="22"/>
          <w:szCs w:val="22"/>
        </w:rPr>
      </w:pPr>
      <w:r>
        <w:rPr>
          <w:sz w:val="22"/>
          <w:szCs w:val="22"/>
        </w:rPr>
        <w:t>Պայմանների 5.2.1. կետում նշված կորուստ համարվում է այն դեպքը, երբ Վարկառուի</w:t>
      </w:r>
      <w:r>
        <w:rPr>
          <w:spacing w:val="40"/>
          <w:sz w:val="22"/>
          <w:szCs w:val="22"/>
        </w:rPr>
        <w:t> </w:t>
      </w:r>
      <w:r>
        <w:rPr>
          <w:sz w:val="22"/>
          <w:szCs w:val="22"/>
        </w:rPr>
        <w:t>կողմից Վարկի մայր գումարի կամ տոկոսի ամբողջ և/կամ հերթական մասի վճարումը չկատարելու պատճառով Վարկատուի կողմից Անշարժ գույքն իրացվում է դրանով ապահովված պահանջի բավարարման նպատակով, և իրացումից ստացված գումարը բավարար չէ Վարկատուի հանդեպ տվյալ պահին առկա վարկի մայր գումարի մնացորդի վճարման ու ՉԿԳ-ի մնացորդի վրա մինչև երկու տարվա համար հաշվարկված տոկոսների վճարման համար:</w:t>
      </w:r>
    </w:p>
    <w:p>
      <w:pPr>
        <w:pStyle w:val="ListParagraph"/>
        <w:numPr>
          <w:ilvl w:val="2"/>
          <w:numId w:val="5"/>
        </w:numPr>
        <w:tabs>
          <w:tab w:pos="814" w:val="left" w:leader="none"/>
        </w:tabs>
        <w:spacing w:line="240" w:lineRule="auto" w:before="0" w:after="0"/>
        <w:ind w:left="108" w:right="167" w:firstLine="0"/>
        <w:jc w:val="both"/>
        <w:rPr>
          <w:sz w:val="22"/>
          <w:szCs w:val="22"/>
        </w:rPr>
      </w:pPr>
      <w:r>
        <w:rPr>
          <w:sz w:val="22"/>
          <w:szCs w:val="22"/>
        </w:rPr>
        <w:t>Ապահովագրողի` Վկայագրով ստանձնած ապահովագրական ռիսկը դադարում է այն</w:t>
      </w:r>
      <w:r>
        <w:rPr>
          <w:spacing w:val="40"/>
          <w:sz w:val="22"/>
          <w:szCs w:val="22"/>
        </w:rPr>
        <w:t> </w:t>
      </w:r>
      <w:r>
        <w:rPr>
          <w:sz w:val="22"/>
          <w:szCs w:val="22"/>
        </w:rPr>
        <w:t>պահից, երբ Վարկառուն մարում է Պայմանների 5.1.1. կետում նշված վկայագրով սահմանված ապահովագրական գումարին համարժեք վարկի մայր գումարի այն մասը, որը Վարկառուի կողմից պետք է վճարված լիներ` որպես կանխավճար (Պայմանների 5.1.1. կետ՝ ՉԿԳ):</w:t>
      </w:r>
    </w:p>
    <w:p>
      <w:pPr>
        <w:pStyle w:val="ListParagraph"/>
        <w:numPr>
          <w:ilvl w:val="2"/>
          <w:numId w:val="5"/>
        </w:numPr>
        <w:tabs>
          <w:tab w:pos="814" w:val="left" w:leader="none"/>
        </w:tabs>
        <w:spacing w:line="240" w:lineRule="auto" w:before="0" w:after="0"/>
        <w:ind w:left="107" w:right="169" w:firstLine="0"/>
        <w:jc w:val="both"/>
        <w:rPr>
          <w:sz w:val="22"/>
          <w:szCs w:val="22"/>
        </w:rPr>
      </w:pPr>
      <w:r>
        <w:rPr>
          <w:sz w:val="22"/>
          <w:szCs w:val="22"/>
        </w:rPr>
        <w:t>Ապահովագրողի կողմից Վարկատուին հատուցման ենթակա են միայն ՉԿԳ-ի մնացորդային գումարը և ՉԿԳ-ի մնացորդային գումարի վրա մինչև երկու տարվա համար հաշվարկված </w:t>
      </w:r>
      <w:r>
        <w:rPr>
          <w:spacing w:val="-2"/>
          <w:sz w:val="22"/>
          <w:szCs w:val="22"/>
        </w:rPr>
        <w:t>տոկոսները:</w:t>
      </w:r>
    </w:p>
    <w:p>
      <w:pPr>
        <w:pStyle w:val="ListParagraph"/>
        <w:numPr>
          <w:ilvl w:val="2"/>
          <w:numId w:val="5"/>
        </w:numPr>
        <w:tabs>
          <w:tab w:pos="814" w:val="left" w:leader="none"/>
        </w:tabs>
        <w:spacing w:line="240" w:lineRule="auto" w:before="0" w:after="0"/>
        <w:ind w:left="107" w:right="171" w:firstLine="0"/>
        <w:jc w:val="both"/>
        <w:rPr>
          <w:sz w:val="22"/>
          <w:szCs w:val="22"/>
        </w:rPr>
      </w:pPr>
      <w:r>
        <w:rPr>
          <w:sz w:val="22"/>
          <w:szCs w:val="22"/>
        </w:rPr>
        <w:t>Եթե Անշարժ գույքի իրացումից ստացված միջոցները բավարար են Վարկի մայր գումարի մնացորդի և ՉԿԳ-ի մնացորդի վրա հաշվարկված մինչև երկու տարվա տոկոսների վճարման համար, ապա Ապահովագրողի ստանձնած ապահովագրական ռիսկը դադարում է:</w:t>
      </w:r>
    </w:p>
    <w:p>
      <w:pPr>
        <w:pStyle w:val="ListParagraph"/>
        <w:numPr>
          <w:ilvl w:val="2"/>
          <w:numId w:val="5"/>
        </w:numPr>
        <w:tabs>
          <w:tab w:pos="814" w:val="left" w:leader="none"/>
        </w:tabs>
        <w:spacing w:line="240" w:lineRule="auto" w:before="0" w:after="0"/>
        <w:ind w:left="108" w:right="171" w:hanging="1"/>
        <w:jc w:val="both"/>
        <w:rPr>
          <w:sz w:val="22"/>
          <w:szCs w:val="22"/>
        </w:rPr>
      </w:pPr>
      <w:r>
        <w:rPr>
          <w:sz w:val="22"/>
          <w:szCs w:val="22"/>
        </w:rPr>
        <w:t>Սույն Պայմաններով Ապահովագրողը չի ստանձնում Վարկառուի կողմից վարկային պարտավորության չկատարման ռիսկը:</w:t>
      </w:r>
    </w:p>
    <w:p>
      <w:pPr>
        <w:pStyle w:val="BodyText"/>
        <w:jc w:val="left"/>
      </w:pPr>
    </w:p>
    <w:p>
      <w:pPr>
        <w:pStyle w:val="ListParagraph"/>
        <w:numPr>
          <w:ilvl w:val="1"/>
          <w:numId w:val="5"/>
        </w:numPr>
        <w:tabs>
          <w:tab w:pos="829" w:val="left" w:leader="none"/>
        </w:tabs>
        <w:spacing w:line="240" w:lineRule="auto" w:before="0" w:after="0"/>
        <w:ind w:left="828" w:right="0" w:hanging="721"/>
        <w:jc w:val="both"/>
        <w:rPr>
          <w:b/>
          <w:bCs/>
          <w:sz w:val="22"/>
          <w:szCs w:val="22"/>
        </w:rPr>
      </w:pPr>
      <w:r>
        <w:rPr>
          <w:b/>
          <w:bCs/>
          <w:sz w:val="22"/>
          <w:szCs w:val="22"/>
        </w:rPr>
        <w:t>Ապահովագրական</w:t>
      </w:r>
      <w:r>
        <w:rPr>
          <w:b/>
          <w:bCs/>
          <w:spacing w:val="-11"/>
          <w:sz w:val="22"/>
          <w:szCs w:val="22"/>
        </w:rPr>
        <w:t> </w:t>
      </w:r>
      <w:r>
        <w:rPr>
          <w:b/>
          <w:bCs/>
          <w:sz w:val="22"/>
          <w:szCs w:val="22"/>
        </w:rPr>
        <w:t>գումարներ</w:t>
      </w:r>
      <w:r>
        <w:rPr>
          <w:b/>
          <w:bCs/>
          <w:spacing w:val="-9"/>
          <w:sz w:val="22"/>
          <w:szCs w:val="22"/>
        </w:rPr>
        <w:t> </w:t>
      </w:r>
      <w:r>
        <w:rPr>
          <w:b/>
          <w:bCs/>
          <w:sz w:val="22"/>
          <w:szCs w:val="22"/>
        </w:rPr>
        <w:t>և</w:t>
      </w:r>
      <w:r>
        <w:rPr>
          <w:b/>
          <w:bCs/>
          <w:spacing w:val="-10"/>
          <w:sz w:val="22"/>
          <w:szCs w:val="22"/>
        </w:rPr>
        <w:t> </w:t>
      </w:r>
      <w:r>
        <w:rPr>
          <w:b/>
          <w:bCs/>
          <w:sz w:val="22"/>
          <w:szCs w:val="22"/>
        </w:rPr>
        <w:t>չհատուցվող</w:t>
      </w:r>
      <w:r>
        <w:rPr>
          <w:b/>
          <w:bCs/>
          <w:spacing w:val="-10"/>
          <w:sz w:val="22"/>
          <w:szCs w:val="22"/>
        </w:rPr>
        <w:t> </w:t>
      </w:r>
      <w:r>
        <w:rPr>
          <w:b/>
          <w:bCs/>
          <w:spacing w:val="-2"/>
          <w:sz w:val="22"/>
          <w:szCs w:val="22"/>
        </w:rPr>
        <w:t>գումարներ</w:t>
      </w:r>
    </w:p>
    <w:p>
      <w:pPr>
        <w:pStyle w:val="BodyText"/>
        <w:spacing w:before="3"/>
        <w:jc w:val="left"/>
        <w:rPr>
          <w:b/>
        </w:rPr>
      </w:pPr>
    </w:p>
    <w:p>
      <w:pPr>
        <w:pStyle w:val="ListParagraph"/>
        <w:numPr>
          <w:ilvl w:val="2"/>
          <w:numId w:val="5"/>
        </w:numPr>
        <w:tabs>
          <w:tab w:pos="814" w:val="left" w:leader="none"/>
        </w:tabs>
        <w:spacing w:line="240" w:lineRule="auto" w:before="0" w:after="0"/>
        <w:ind w:left="108" w:right="166" w:firstLine="0"/>
        <w:jc w:val="both"/>
        <w:rPr>
          <w:sz w:val="22"/>
          <w:szCs w:val="22"/>
        </w:rPr>
      </w:pPr>
      <w:r>
        <w:rPr>
          <w:sz w:val="22"/>
          <w:szCs w:val="22"/>
        </w:rPr>
        <w:t>Վարկառուի հետ կնքվող ապահովագրության Վկայագրով ապահովագրական գումարը սահմանվում է ՉԿԳ-ի</w:t>
      </w:r>
      <w:r>
        <w:rPr>
          <w:spacing w:val="40"/>
          <w:sz w:val="22"/>
          <w:szCs w:val="22"/>
        </w:rPr>
        <w:t> </w:t>
      </w:r>
      <w:r>
        <w:rPr>
          <w:sz w:val="22"/>
          <w:szCs w:val="22"/>
        </w:rPr>
        <w:t>(նվազման դեպքում՝ դրա մնացորդային գումարի) և այդ գումարի նկատմամբ Վարկային պայմանագրով սահմանվող տոկոսադրույքով երկու տարվա համար հաշվարկվող տոկոսների հանրագումարի չափով:</w:t>
      </w:r>
    </w:p>
    <w:p>
      <w:pPr>
        <w:pStyle w:val="ListParagraph"/>
        <w:numPr>
          <w:ilvl w:val="2"/>
          <w:numId w:val="5"/>
        </w:numPr>
        <w:tabs>
          <w:tab w:pos="814" w:val="left" w:leader="none"/>
        </w:tabs>
        <w:spacing w:line="240" w:lineRule="auto" w:before="0" w:after="0"/>
        <w:ind w:left="107" w:right="167" w:firstLine="0"/>
        <w:jc w:val="both"/>
        <w:rPr>
          <w:sz w:val="22"/>
          <w:szCs w:val="22"/>
        </w:rPr>
      </w:pPr>
      <w:r>
        <w:rPr>
          <w:sz w:val="22"/>
          <w:szCs w:val="22"/>
        </w:rPr>
        <w:t>Կախված տրամադրված վարկի ժամկետից ու Վարկառուի կողմից վարկի մայր գումարի և տոկոսների պարբերական մարումների չափից` ապահովագրական գումարը և համապատասխան ապահովագրավճարը յուրաքանչյուր տարի Վարկառուի հետ կնքվող նոր վկայագրում նվազեցվում են`</w:t>
      </w:r>
      <w:r>
        <w:rPr>
          <w:spacing w:val="-3"/>
          <w:sz w:val="22"/>
          <w:szCs w:val="22"/>
        </w:rPr>
        <w:t> </w:t>
      </w:r>
      <w:r>
        <w:rPr>
          <w:sz w:val="22"/>
          <w:szCs w:val="22"/>
        </w:rPr>
        <w:t>հիմք</w:t>
      </w:r>
      <w:r>
        <w:rPr>
          <w:spacing w:val="-3"/>
          <w:sz w:val="22"/>
          <w:szCs w:val="22"/>
        </w:rPr>
        <w:t> </w:t>
      </w:r>
      <w:r>
        <w:rPr>
          <w:sz w:val="22"/>
          <w:szCs w:val="22"/>
        </w:rPr>
        <w:t>ընդունելով</w:t>
      </w:r>
      <w:r>
        <w:rPr>
          <w:spacing w:val="-3"/>
          <w:sz w:val="22"/>
          <w:szCs w:val="22"/>
        </w:rPr>
        <w:t> </w:t>
      </w:r>
      <w:r>
        <w:rPr>
          <w:sz w:val="22"/>
          <w:szCs w:val="22"/>
        </w:rPr>
        <w:t>Վարկատուի</w:t>
      </w:r>
      <w:r>
        <w:rPr>
          <w:spacing w:val="-3"/>
          <w:sz w:val="22"/>
          <w:szCs w:val="22"/>
        </w:rPr>
        <w:t> </w:t>
      </w:r>
      <w:r>
        <w:rPr>
          <w:sz w:val="22"/>
          <w:szCs w:val="22"/>
        </w:rPr>
        <w:t>կողմից</w:t>
      </w:r>
      <w:r>
        <w:rPr>
          <w:spacing w:val="-3"/>
          <w:sz w:val="22"/>
          <w:szCs w:val="22"/>
        </w:rPr>
        <w:t> </w:t>
      </w:r>
      <w:r>
        <w:rPr>
          <w:sz w:val="22"/>
          <w:szCs w:val="22"/>
        </w:rPr>
        <w:t>տրամադրված</w:t>
      </w:r>
      <w:r>
        <w:rPr>
          <w:spacing w:val="-4"/>
          <w:sz w:val="22"/>
          <w:szCs w:val="22"/>
        </w:rPr>
        <w:t> </w:t>
      </w:r>
      <w:r>
        <w:rPr>
          <w:sz w:val="22"/>
          <w:szCs w:val="22"/>
        </w:rPr>
        <w:t>վարկի</w:t>
      </w:r>
      <w:r>
        <w:rPr>
          <w:spacing w:val="-3"/>
          <w:sz w:val="22"/>
          <w:szCs w:val="22"/>
        </w:rPr>
        <w:t> </w:t>
      </w:r>
      <w:r>
        <w:rPr>
          <w:sz w:val="22"/>
          <w:szCs w:val="22"/>
        </w:rPr>
        <w:t>մարման</w:t>
      </w:r>
      <w:r>
        <w:rPr>
          <w:spacing w:val="-4"/>
          <w:sz w:val="22"/>
          <w:szCs w:val="22"/>
        </w:rPr>
        <w:t> </w:t>
      </w:r>
      <w:r>
        <w:rPr>
          <w:sz w:val="22"/>
          <w:szCs w:val="22"/>
        </w:rPr>
        <w:t>ժամանակացույցի</w:t>
      </w:r>
      <w:r>
        <w:rPr>
          <w:spacing w:val="-3"/>
          <w:sz w:val="22"/>
          <w:szCs w:val="22"/>
        </w:rPr>
        <w:t> </w:t>
      </w:r>
      <w:r>
        <w:rPr>
          <w:sz w:val="22"/>
          <w:szCs w:val="22"/>
        </w:rPr>
        <w:t>և</w:t>
      </w:r>
      <w:r>
        <w:rPr>
          <w:spacing w:val="-3"/>
          <w:sz w:val="22"/>
          <w:szCs w:val="22"/>
        </w:rPr>
        <w:t> </w:t>
      </w:r>
      <w:r>
        <w:rPr>
          <w:sz w:val="22"/>
          <w:szCs w:val="22"/>
        </w:rPr>
        <w:t>վարկի և դրա գծով հաշվեգրված փաստացի մնացորդների վերաբերյալ տեղեկանքը:</w:t>
      </w:r>
    </w:p>
    <w:p>
      <w:pPr>
        <w:pStyle w:val="ListParagraph"/>
        <w:numPr>
          <w:ilvl w:val="2"/>
          <w:numId w:val="5"/>
        </w:numPr>
        <w:tabs>
          <w:tab w:pos="813" w:val="left" w:leader="none"/>
        </w:tabs>
        <w:spacing w:line="240" w:lineRule="auto" w:before="0" w:after="0"/>
        <w:ind w:left="812" w:right="0" w:hanging="706"/>
        <w:jc w:val="both"/>
        <w:rPr>
          <w:sz w:val="22"/>
          <w:szCs w:val="22"/>
        </w:rPr>
      </w:pPr>
      <w:r>
        <w:rPr>
          <w:sz w:val="22"/>
          <w:szCs w:val="22"/>
        </w:rPr>
        <w:t>Եթե</w:t>
      </w:r>
      <w:r>
        <w:rPr>
          <w:spacing w:val="-4"/>
          <w:sz w:val="22"/>
          <w:szCs w:val="22"/>
        </w:rPr>
        <w:t> </w:t>
      </w:r>
      <w:r>
        <w:rPr>
          <w:sz w:val="22"/>
          <w:szCs w:val="22"/>
        </w:rPr>
        <w:t>Վկայագրով</w:t>
      </w:r>
      <w:r>
        <w:rPr>
          <w:spacing w:val="-5"/>
          <w:sz w:val="22"/>
          <w:szCs w:val="22"/>
        </w:rPr>
        <w:t> </w:t>
      </w:r>
      <w:r>
        <w:rPr>
          <w:sz w:val="22"/>
          <w:szCs w:val="22"/>
        </w:rPr>
        <w:t>այլ</w:t>
      </w:r>
      <w:r>
        <w:rPr>
          <w:spacing w:val="-6"/>
          <w:sz w:val="22"/>
          <w:szCs w:val="22"/>
        </w:rPr>
        <w:t> </w:t>
      </w:r>
      <w:r>
        <w:rPr>
          <w:sz w:val="22"/>
          <w:szCs w:val="22"/>
        </w:rPr>
        <w:t>բան</w:t>
      </w:r>
      <w:r>
        <w:rPr>
          <w:spacing w:val="-5"/>
          <w:sz w:val="22"/>
          <w:szCs w:val="22"/>
        </w:rPr>
        <w:t> </w:t>
      </w:r>
      <w:r>
        <w:rPr>
          <w:sz w:val="22"/>
          <w:szCs w:val="22"/>
        </w:rPr>
        <w:t>նախատեսված</w:t>
      </w:r>
      <w:r>
        <w:rPr>
          <w:spacing w:val="-5"/>
          <w:sz w:val="22"/>
          <w:szCs w:val="22"/>
        </w:rPr>
        <w:t> </w:t>
      </w:r>
      <w:r>
        <w:rPr>
          <w:sz w:val="22"/>
          <w:szCs w:val="22"/>
        </w:rPr>
        <w:t>չէ,</w:t>
      </w:r>
      <w:r>
        <w:rPr>
          <w:spacing w:val="-4"/>
          <w:sz w:val="22"/>
          <w:szCs w:val="22"/>
        </w:rPr>
        <w:t> </w:t>
      </w:r>
      <w:r>
        <w:rPr>
          <w:sz w:val="22"/>
          <w:szCs w:val="22"/>
        </w:rPr>
        <w:t>ապա</w:t>
      </w:r>
      <w:r>
        <w:rPr>
          <w:spacing w:val="-3"/>
          <w:sz w:val="22"/>
          <w:szCs w:val="22"/>
        </w:rPr>
        <w:t> </w:t>
      </w:r>
      <w:r>
        <w:rPr>
          <w:sz w:val="22"/>
          <w:szCs w:val="22"/>
        </w:rPr>
        <w:t>չհատուցվող</w:t>
      </w:r>
      <w:r>
        <w:rPr>
          <w:spacing w:val="-3"/>
          <w:sz w:val="22"/>
          <w:szCs w:val="22"/>
        </w:rPr>
        <w:t> </w:t>
      </w:r>
      <w:r>
        <w:rPr>
          <w:sz w:val="22"/>
          <w:szCs w:val="22"/>
        </w:rPr>
        <w:t>գումար</w:t>
      </w:r>
      <w:r>
        <w:rPr>
          <w:spacing w:val="-4"/>
          <w:sz w:val="22"/>
          <w:szCs w:val="22"/>
        </w:rPr>
        <w:t> </w:t>
      </w:r>
      <w:r>
        <w:rPr>
          <w:sz w:val="22"/>
          <w:szCs w:val="22"/>
        </w:rPr>
        <w:t>չի</w:t>
      </w:r>
      <w:r>
        <w:rPr>
          <w:spacing w:val="-3"/>
          <w:sz w:val="22"/>
          <w:szCs w:val="22"/>
        </w:rPr>
        <w:t> </w:t>
      </w:r>
      <w:r>
        <w:rPr>
          <w:spacing w:val="-2"/>
          <w:sz w:val="22"/>
          <w:szCs w:val="22"/>
        </w:rPr>
        <w:t>կիրառվում:</w:t>
      </w:r>
    </w:p>
    <w:p>
      <w:pPr>
        <w:pStyle w:val="BodyText"/>
        <w:spacing w:before="11"/>
        <w:jc w:val="left"/>
        <w:rPr>
          <w:sz w:val="21"/>
        </w:rPr>
      </w:pPr>
    </w:p>
    <w:p>
      <w:pPr>
        <w:pStyle w:val="ListParagraph"/>
        <w:numPr>
          <w:ilvl w:val="1"/>
          <w:numId w:val="5"/>
        </w:numPr>
        <w:tabs>
          <w:tab w:pos="827" w:val="left" w:leader="none"/>
        </w:tabs>
        <w:spacing w:line="240" w:lineRule="auto" w:before="0" w:after="0"/>
        <w:ind w:left="826" w:right="0" w:hanging="721"/>
        <w:jc w:val="both"/>
        <w:rPr>
          <w:b/>
          <w:bCs/>
          <w:sz w:val="22"/>
          <w:szCs w:val="22"/>
        </w:rPr>
      </w:pPr>
      <w:r>
        <w:rPr>
          <w:b/>
          <w:bCs/>
          <w:sz w:val="22"/>
          <w:szCs w:val="22"/>
        </w:rPr>
        <w:t>Ապահովագրական</w:t>
      </w:r>
      <w:r>
        <w:rPr>
          <w:b/>
          <w:bCs/>
          <w:spacing w:val="-10"/>
          <w:sz w:val="22"/>
          <w:szCs w:val="22"/>
        </w:rPr>
        <w:t> </w:t>
      </w:r>
      <w:r>
        <w:rPr>
          <w:b/>
          <w:bCs/>
          <w:sz w:val="22"/>
          <w:szCs w:val="22"/>
        </w:rPr>
        <w:t>հատուցման</w:t>
      </w:r>
      <w:r>
        <w:rPr>
          <w:b/>
          <w:bCs/>
          <w:spacing w:val="-10"/>
          <w:sz w:val="22"/>
          <w:szCs w:val="22"/>
        </w:rPr>
        <w:t> </w:t>
      </w:r>
      <w:r>
        <w:rPr>
          <w:b/>
          <w:bCs/>
          <w:sz w:val="22"/>
          <w:szCs w:val="22"/>
        </w:rPr>
        <w:t>հաշվարկման</w:t>
      </w:r>
      <w:r>
        <w:rPr>
          <w:b/>
          <w:bCs/>
          <w:spacing w:val="-8"/>
          <w:sz w:val="22"/>
          <w:szCs w:val="22"/>
        </w:rPr>
        <w:t> </w:t>
      </w:r>
      <w:r>
        <w:rPr>
          <w:b/>
          <w:bCs/>
          <w:sz w:val="22"/>
          <w:szCs w:val="22"/>
        </w:rPr>
        <w:t>և</w:t>
      </w:r>
      <w:r>
        <w:rPr>
          <w:b/>
          <w:bCs/>
          <w:spacing w:val="-9"/>
          <w:sz w:val="22"/>
          <w:szCs w:val="22"/>
        </w:rPr>
        <w:t> </w:t>
      </w:r>
      <w:r>
        <w:rPr>
          <w:b/>
          <w:bCs/>
          <w:sz w:val="22"/>
          <w:szCs w:val="22"/>
        </w:rPr>
        <w:t>վճարման</w:t>
      </w:r>
      <w:r>
        <w:rPr>
          <w:b/>
          <w:bCs/>
          <w:spacing w:val="-10"/>
          <w:sz w:val="22"/>
          <w:szCs w:val="22"/>
        </w:rPr>
        <w:t> </w:t>
      </w:r>
      <w:r>
        <w:rPr>
          <w:b/>
          <w:bCs/>
          <w:spacing w:val="-2"/>
          <w:sz w:val="22"/>
          <w:szCs w:val="22"/>
        </w:rPr>
        <w:t>կարգը</w:t>
      </w:r>
    </w:p>
    <w:p>
      <w:pPr>
        <w:pStyle w:val="BodyText"/>
        <w:spacing w:before="12"/>
        <w:jc w:val="left"/>
        <w:rPr>
          <w:b/>
          <w:sz w:val="21"/>
        </w:rPr>
      </w:pPr>
    </w:p>
    <w:p>
      <w:pPr>
        <w:pStyle w:val="ListParagraph"/>
        <w:numPr>
          <w:ilvl w:val="2"/>
          <w:numId w:val="5"/>
        </w:numPr>
        <w:tabs>
          <w:tab w:pos="814" w:val="left" w:leader="none"/>
          <w:tab w:pos="1973" w:val="left" w:leader="none"/>
          <w:tab w:pos="3230" w:val="left" w:leader="none"/>
          <w:tab w:pos="4070" w:val="left" w:leader="none"/>
          <w:tab w:pos="5420" w:val="left" w:leader="none"/>
          <w:tab w:pos="7860" w:val="left" w:leader="none"/>
          <w:tab w:pos="9118" w:val="left" w:leader="none"/>
        </w:tabs>
        <w:spacing w:line="240" w:lineRule="auto" w:before="0" w:after="0"/>
        <w:ind w:left="107" w:right="166" w:firstLine="0"/>
        <w:jc w:val="both"/>
        <w:rPr>
          <w:sz w:val="22"/>
          <w:szCs w:val="22"/>
        </w:rPr>
      </w:pPr>
      <w:r>
        <w:rPr>
          <w:sz w:val="22"/>
          <w:szCs w:val="22"/>
        </w:rPr>
        <w:t>Ապահովագրական իրադարձություն է համարվում Վարկատուի կողմից Անշարժ գույքի բռնագանձման (իրացման) վերաբերյալ որոշման կայացումը կամ հարկադիր կատարման ծառայության կողմից Անշարժ գույքը հարկադիր էլեկտրոնային աճուրդով իրացնելու կամ ուղղակի վաճառքի վերաբերյալ որոշման կայացումը կամ ՀՀ օրենսդրությամբ նախատեսված այլ իրավասու մարմինների կողմից Անշարժ գույքի բռնագանձման (իրացման, վաճառքի) վերաբերյալ համապատասխան որոշման կայացումը: Անշարժ գույքի բռնագանձման (իրացման) մասին համապատասխան որոշումը կայացվելուց հետո Վարկատուն պարտավոր է այդ հանգամանքների մասին Պայմանագրում/Վկայագրում նշված էլ. փոստի միջոցով կամ Պայմանագրում/Վկայագրում նշված հեռախոսահամարներով 7 (յոթ) աշխատանքային օրվա ընթացքում տեղյակ պահել Ապահովագրողին, իսկ եթե Անշարժ գույքի իրացումն իրականացվում է դատական կարգով կամ ՀՀ օրենսդրությամբ նախատեսված իրավասու մարմինների կողմից Անշարժ գույքի բռնագանձման (իրացման, վաճառքի) վերաբերյալ համապատասխան որոշման հիման վրա, ապա նշված որոշումը </w:t>
      </w:r>
      <w:r>
        <w:rPr>
          <w:spacing w:val="-2"/>
          <w:sz w:val="22"/>
          <w:szCs w:val="22"/>
        </w:rPr>
        <w:t>ստանալուց</w:t>
      </w:r>
      <w:r>
        <w:rPr>
          <w:sz w:val="22"/>
          <w:szCs w:val="22"/>
        </w:rPr>
        <w:tab/>
      </w:r>
      <w:r>
        <w:rPr>
          <w:spacing w:val="-4"/>
          <w:sz w:val="22"/>
          <w:szCs w:val="22"/>
        </w:rPr>
        <w:t>հետո</w:t>
      </w:r>
      <w:r>
        <w:rPr>
          <w:sz w:val="22"/>
          <w:szCs w:val="22"/>
        </w:rPr>
        <w:tab/>
      </w:r>
      <w:r>
        <w:rPr>
          <w:spacing w:val="-10"/>
          <w:sz w:val="22"/>
          <w:szCs w:val="22"/>
        </w:rPr>
        <w:t>5</w:t>
      </w:r>
      <w:r>
        <w:rPr>
          <w:sz w:val="22"/>
          <w:szCs w:val="22"/>
        </w:rPr>
        <w:tab/>
      </w:r>
      <w:r>
        <w:rPr>
          <w:spacing w:val="-2"/>
          <w:sz w:val="22"/>
          <w:szCs w:val="22"/>
        </w:rPr>
        <w:t>(հինգ)</w:t>
      </w:r>
      <w:r>
        <w:rPr>
          <w:sz w:val="22"/>
          <w:szCs w:val="22"/>
        </w:rPr>
        <w:tab/>
      </w:r>
      <w:r>
        <w:rPr>
          <w:spacing w:val="-2"/>
          <w:sz w:val="22"/>
          <w:szCs w:val="22"/>
        </w:rPr>
        <w:t>աշխատանքային</w:t>
      </w:r>
      <w:r>
        <w:rPr>
          <w:sz w:val="22"/>
          <w:szCs w:val="22"/>
        </w:rPr>
        <w:tab/>
      </w:r>
      <w:r>
        <w:rPr>
          <w:spacing w:val="-4"/>
          <w:sz w:val="22"/>
          <w:szCs w:val="22"/>
        </w:rPr>
        <w:t>օրվա</w:t>
      </w:r>
      <w:r>
        <w:rPr>
          <w:sz w:val="22"/>
          <w:szCs w:val="22"/>
        </w:rPr>
        <w:tab/>
      </w:r>
      <w:r>
        <w:rPr>
          <w:spacing w:val="-2"/>
          <w:sz w:val="22"/>
          <w:szCs w:val="22"/>
        </w:rPr>
        <w:t>ընթացքում:</w:t>
      </w:r>
    </w:p>
    <w:p>
      <w:pPr>
        <w:spacing w:after="0" w:line="240" w:lineRule="auto"/>
        <w:jc w:val="both"/>
        <w:rPr>
          <w:sz w:val="22"/>
          <w:szCs w:val="22"/>
        </w:rPr>
        <w:sectPr>
          <w:pgSz w:w="11910" w:h="16840"/>
          <w:pgMar w:header="0" w:footer="786" w:top="340" w:bottom="1040" w:left="600" w:right="820"/>
        </w:sectPr>
      </w:pPr>
    </w:p>
    <w:p>
      <w:pPr>
        <w:pStyle w:val="BodyText"/>
        <w:spacing w:before="91"/>
        <w:ind w:left="107" w:right="166"/>
      </w:pPr>
      <w:r>
        <w:rPr/>
        <w:t>Վարկատուն պարտավոր է</w:t>
      </w:r>
      <w:r>
        <w:rPr>
          <w:spacing w:val="40"/>
        </w:rPr>
        <w:t> </w:t>
      </w:r>
      <w:r>
        <w:rPr/>
        <w:t>15 (տասնհինգ) աշխատանքային օրվա ընթացքում Ապահովագրողին տրամադրել բռնագանձման (իրացման) գործընթաց սկսելու մասին Վարկատուի կամ հարկադիր կատարման ծառայության կամ ՀՀ օրենսդրությամբ նախատեսված այլ իրավասու մարմինների կողմից Անշարժ գույքի բռնագանձման (իրացման, վաճառքի) վերաբերյալ համապատասխան որոշումը: Նշված ժամկետները խախտելու դեպքում Վարկատուն պարտավոր է բաց թողնված ժամկետը հարգելի համարելու համար ներկայացնել հիմնավոր և օբյեկտիվ պատճառներ (ապացույցներ),</w:t>
      </w:r>
      <w:r>
        <w:rPr>
          <w:spacing w:val="-1"/>
        </w:rPr>
        <w:t> </w:t>
      </w:r>
      <w:r>
        <w:rPr/>
        <w:t>իսկ այդպիսիք</w:t>
      </w:r>
      <w:r>
        <w:rPr>
          <w:spacing w:val="-2"/>
        </w:rPr>
        <w:t> </w:t>
      </w:r>
      <w:r>
        <w:rPr/>
        <w:t>չներկայացնելու դեպքում ապահովագրական հատուցումը</w:t>
      </w:r>
      <w:r>
        <w:rPr>
          <w:spacing w:val="-1"/>
        </w:rPr>
        <w:t> </w:t>
      </w:r>
      <w:r>
        <w:rPr/>
        <w:t>ենթակա է </w:t>
      </w:r>
      <w:r>
        <w:rPr>
          <w:spacing w:val="-2"/>
        </w:rPr>
        <w:t>մերժման:</w:t>
      </w:r>
    </w:p>
    <w:p>
      <w:pPr>
        <w:pStyle w:val="ListParagraph"/>
        <w:numPr>
          <w:ilvl w:val="2"/>
          <w:numId w:val="5"/>
        </w:numPr>
        <w:tabs>
          <w:tab w:pos="814" w:val="left" w:leader="none"/>
        </w:tabs>
        <w:spacing w:line="240" w:lineRule="auto" w:before="0" w:after="0"/>
        <w:ind w:left="106" w:right="167" w:firstLine="0"/>
        <w:jc w:val="both"/>
        <w:rPr>
          <w:sz w:val="22"/>
          <w:szCs w:val="22"/>
        </w:rPr>
      </w:pPr>
      <w:r>
        <w:rPr>
          <w:sz w:val="22"/>
          <w:szCs w:val="22"/>
        </w:rPr>
        <w:t>Անշարժ գույքի վրա բռնագանձում տարածելու դեպքում Վարկատուն պարտավոր է, անկախ իրացման եղանակներից, իրացման, այդ թվում` դրա արդյունքների մասին 10 (տասը) աշխատանքային օրվա ընթացքում Պայմանագրում/Վկայագրում նշված էլ. փոստի միջոցով կամ Պայմանագրում/Վկայագրում նշված հեռախոսահամարներով տեղյակ պահել Ապահովագրողին` տրամադրելով Պայմանների 5.4.9 կետով նախատեսված փաստաթողթերը: Նշված ժամկետը խախտելու դեպքում Վարկատուն պարտավոր է բաց թողնված ժամկետը հարգելի համարելու</w:t>
      </w:r>
      <w:r>
        <w:rPr>
          <w:spacing w:val="40"/>
          <w:sz w:val="22"/>
          <w:szCs w:val="22"/>
        </w:rPr>
        <w:t> </w:t>
      </w:r>
      <w:r>
        <w:rPr>
          <w:sz w:val="22"/>
          <w:szCs w:val="22"/>
        </w:rPr>
        <w:t>համար ներկայացնել հիմնավոր և օբյեկտիվ պատճառներ (ապացույցներ), իսկ այդպիսիք չներկայացնելու դեպքում ապահովագրական հատուցումը ենթակա է մերժման:</w:t>
      </w:r>
    </w:p>
    <w:p>
      <w:pPr>
        <w:pStyle w:val="ListParagraph"/>
        <w:numPr>
          <w:ilvl w:val="2"/>
          <w:numId w:val="5"/>
        </w:numPr>
        <w:tabs>
          <w:tab w:pos="814" w:val="left" w:leader="none"/>
        </w:tabs>
        <w:spacing w:line="240" w:lineRule="auto" w:before="0" w:after="0"/>
        <w:ind w:left="107" w:right="169" w:firstLine="0"/>
        <w:jc w:val="both"/>
        <w:rPr>
          <w:sz w:val="22"/>
          <w:szCs w:val="22"/>
        </w:rPr>
      </w:pPr>
      <w:r>
        <w:rPr>
          <w:sz w:val="22"/>
          <w:szCs w:val="22"/>
        </w:rPr>
        <w:t>Անշարժ գույքի վրա բռնագանձում տարածելու (իրացնելու) գործընթացը Վարկատուի կողմից պետք է իրականացվի ՀՀ օրենսդրության, Պայմանների, Վկայագրի/Պայմանագրի, Անշարժ գույքի գրավի և վարկային պայմանագրերի պահանջներին համապատասխան:</w:t>
      </w:r>
    </w:p>
    <w:p>
      <w:pPr>
        <w:pStyle w:val="ListParagraph"/>
        <w:numPr>
          <w:ilvl w:val="2"/>
          <w:numId w:val="5"/>
        </w:numPr>
        <w:tabs>
          <w:tab w:pos="814" w:val="left" w:leader="none"/>
        </w:tabs>
        <w:spacing w:line="240" w:lineRule="auto" w:before="0" w:after="0"/>
        <w:ind w:left="107" w:right="168" w:firstLine="0"/>
        <w:jc w:val="both"/>
        <w:rPr>
          <w:sz w:val="22"/>
          <w:szCs w:val="22"/>
        </w:rPr>
      </w:pPr>
      <w:r>
        <w:rPr>
          <w:sz w:val="22"/>
          <w:szCs w:val="22"/>
        </w:rPr>
        <w:t>Եթե</w:t>
      </w:r>
      <w:r>
        <w:rPr>
          <w:spacing w:val="-3"/>
          <w:sz w:val="22"/>
          <w:szCs w:val="22"/>
        </w:rPr>
        <w:t> </w:t>
      </w:r>
      <w:r>
        <w:rPr>
          <w:sz w:val="22"/>
          <w:szCs w:val="22"/>
        </w:rPr>
        <w:t>Անշարժ</w:t>
      </w:r>
      <w:r>
        <w:rPr>
          <w:spacing w:val="-2"/>
          <w:sz w:val="22"/>
          <w:szCs w:val="22"/>
        </w:rPr>
        <w:t> </w:t>
      </w:r>
      <w:r>
        <w:rPr>
          <w:sz w:val="22"/>
          <w:szCs w:val="22"/>
        </w:rPr>
        <w:t>գույքի</w:t>
      </w:r>
      <w:r>
        <w:rPr>
          <w:spacing w:val="-1"/>
          <w:sz w:val="22"/>
          <w:szCs w:val="22"/>
        </w:rPr>
        <w:t> </w:t>
      </w:r>
      <w:r>
        <w:rPr>
          <w:sz w:val="22"/>
          <w:szCs w:val="22"/>
        </w:rPr>
        <w:t>վրա</w:t>
      </w:r>
      <w:r>
        <w:rPr>
          <w:spacing w:val="-1"/>
          <w:sz w:val="22"/>
          <w:szCs w:val="22"/>
        </w:rPr>
        <w:t> </w:t>
      </w:r>
      <w:r>
        <w:rPr>
          <w:sz w:val="22"/>
          <w:szCs w:val="22"/>
        </w:rPr>
        <w:t>բռնագանձում</w:t>
      </w:r>
      <w:r>
        <w:rPr>
          <w:spacing w:val="-3"/>
          <w:sz w:val="22"/>
          <w:szCs w:val="22"/>
        </w:rPr>
        <w:t> </w:t>
      </w:r>
      <w:r>
        <w:rPr>
          <w:sz w:val="22"/>
          <w:szCs w:val="22"/>
        </w:rPr>
        <w:t>տարածելու</w:t>
      </w:r>
      <w:r>
        <w:rPr>
          <w:spacing w:val="-1"/>
          <w:sz w:val="22"/>
          <w:szCs w:val="22"/>
        </w:rPr>
        <w:t> </w:t>
      </w:r>
      <w:r>
        <w:rPr>
          <w:sz w:val="22"/>
          <w:szCs w:val="22"/>
        </w:rPr>
        <w:t>(իրացնելու)</w:t>
      </w:r>
      <w:r>
        <w:rPr>
          <w:spacing w:val="-1"/>
          <w:sz w:val="22"/>
          <w:szCs w:val="22"/>
        </w:rPr>
        <w:t> </w:t>
      </w:r>
      <w:r>
        <w:rPr>
          <w:sz w:val="22"/>
          <w:szCs w:val="22"/>
        </w:rPr>
        <w:t>գործընթացն</w:t>
      </w:r>
      <w:r>
        <w:rPr>
          <w:spacing w:val="-2"/>
          <w:sz w:val="22"/>
          <w:szCs w:val="22"/>
        </w:rPr>
        <w:t> </w:t>
      </w:r>
      <w:r>
        <w:rPr>
          <w:sz w:val="22"/>
          <w:szCs w:val="22"/>
        </w:rPr>
        <w:t>իրականացվել</w:t>
      </w:r>
      <w:r>
        <w:rPr>
          <w:spacing w:val="-3"/>
          <w:sz w:val="22"/>
          <w:szCs w:val="22"/>
        </w:rPr>
        <w:t> </w:t>
      </w:r>
      <w:r>
        <w:rPr>
          <w:sz w:val="22"/>
          <w:szCs w:val="22"/>
        </w:rPr>
        <w:t>է ՀՀ օրենսդրության, սույն Պայմանագրի, Պայմանների, Վկայագրի, Անշարժ գույքի գրավի և վարկային պայմանագրերի պահանջների խախտմամբ (այդ թվում՝ գործընթացին մասնակից Վարկատուից տարբերվող այլ իրավասու մարմինների կամ անձանց կողմից) (ինչը կարող է հաստատվել միայն դատարանի օրինական ուժի մեջ մտած վերջնական դատական ակտով), որի արդյունքում Վարկատուի նկատմամբ Վարկառուի վարկային պարտավորությունները մնացել են չբավարարված կամ մասնակի բավարարված, ապա Ապահովագրողն ազատվում է ապահովագրական հատուցում վճարելու պարտավորությունից, իսկ եթե Ապահովագրողն արդեն</w:t>
      </w:r>
      <w:r>
        <w:rPr>
          <w:spacing w:val="40"/>
          <w:sz w:val="22"/>
          <w:szCs w:val="22"/>
        </w:rPr>
        <w:t> </w:t>
      </w:r>
      <w:r>
        <w:rPr>
          <w:sz w:val="22"/>
          <w:szCs w:val="22"/>
        </w:rPr>
        <w:t>իսկ վճարել է ապահովագրական հատուցումը, ապա Վարկատուն և Վարկառուն` որպես համապարտ պարտապաններ, պարտավոր են ամբողջությամբ վերադարձնել Ապահովագրողի կողմից հատուցված ապահովագրական գումարը:</w:t>
      </w:r>
    </w:p>
    <w:p>
      <w:pPr>
        <w:pStyle w:val="ListParagraph"/>
        <w:numPr>
          <w:ilvl w:val="2"/>
          <w:numId w:val="5"/>
        </w:numPr>
        <w:tabs>
          <w:tab w:pos="814" w:val="left" w:leader="none"/>
        </w:tabs>
        <w:spacing w:line="240" w:lineRule="auto" w:before="0" w:after="0"/>
        <w:ind w:left="107" w:right="166" w:firstLine="0"/>
        <w:jc w:val="both"/>
        <w:rPr>
          <w:sz w:val="22"/>
          <w:szCs w:val="22"/>
        </w:rPr>
      </w:pPr>
      <w:r>
        <w:rPr>
          <w:sz w:val="22"/>
          <w:szCs w:val="22"/>
        </w:rPr>
        <w:t>Ապահովագրական հատուցում վճարելու համար վնասի հաշվարկն իրականացվում է՝ հիմք ընդունելով ապահովագրական իրադարձությունը տեղի ունենալու օրվա դրությամբ ՉԿԳ-ի գծով վարկի մայր գումարի փաստացի մնացորդի (S) և դրա գծով հաշվեգրված ժամկետանց տոկոսագումարների (R</w:t>
      </w:r>
      <w:r>
        <w:rPr>
          <w:sz w:val="22"/>
          <w:szCs w:val="22"/>
          <w:vertAlign w:val="subscript"/>
        </w:rPr>
        <w:t>1</w:t>
      </w:r>
      <w:r>
        <w:rPr>
          <w:sz w:val="22"/>
          <w:szCs w:val="22"/>
          <w:vertAlign w:val="baseline"/>
        </w:rPr>
        <w:t>), ինչպես նաև ապահովագրական իրադարձությունից մինչ ապահովագրական պատահարը՝ գույքի իրացման ամսաթվի (սակայն ոչ ավել քան 12 ամսվա համար) դրությամբ ՉԿԳ-ի մնացորդի գծով հաշվեգրված տոկոսագումարների չափը (R</w:t>
      </w:r>
      <w:r>
        <w:rPr>
          <w:sz w:val="22"/>
          <w:szCs w:val="22"/>
          <w:vertAlign w:val="subscript"/>
        </w:rPr>
        <w:t>2</w:t>
      </w:r>
      <w:r>
        <w:rPr>
          <w:sz w:val="22"/>
          <w:szCs w:val="22"/>
          <w:vertAlign w:val="baseline"/>
        </w:rPr>
        <w:t>), գույքի իրացումից ստացված հասույթը(առանց իրացման ծախսերի նվազեցման)</w:t>
      </w:r>
      <w:r>
        <w:rPr>
          <w:spacing w:val="40"/>
          <w:sz w:val="22"/>
          <w:szCs w:val="22"/>
          <w:vertAlign w:val="baseline"/>
        </w:rPr>
        <w:t> </w:t>
      </w:r>
      <w:r>
        <w:rPr>
          <w:sz w:val="22"/>
          <w:szCs w:val="22"/>
          <w:vertAlign w:val="baseline"/>
        </w:rPr>
        <w:t>(I), Վարկի մայր գումարի մնացորդային արժեքը (Sm):</w:t>
      </w:r>
    </w:p>
    <w:p>
      <w:pPr>
        <w:pStyle w:val="BodyText"/>
        <w:spacing w:line="292" w:lineRule="exact"/>
        <w:ind w:left="249"/>
      </w:pPr>
      <w:r>
        <w:rPr/>
        <w:t>Այն</w:t>
      </w:r>
      <w:r>
        <w:rPr>
          <w:spacing w:val="-5"/>
        </w:rPr>
        <w:t> </w:t>
      </w:r>
      <w:r>
        <w:rPr/>
        <w:t>պարագայում,</w:t>
      </w:r>
      <w:r>
        <w:rPr>
          <w:spacing w:val="-3"/>
        </w:rPr>
        <w:t> </w:t>
      </w:r>
      <w:r>
        <w:rPr>
          <w:spacing w:val="-5"/>
        </w:rPr>
        <w:t>երբ</w:t>
      </w:r>
    </w:p>
    <w:p>
      <w:pPr>
        <w:pStyle w:val="BodyText"/>
        <w:spacing w:before="2"/>
        <w:ind w:left="1063" w:right="983"/>
        <w:jc w:val="center"/>
      </w:pPr>
      <w:r>
        <w:rPr/>
        <w:t>I ≥ </w:t>
      </w:r>
      <w:r>
        <w:rPr>
          <w:spacing w:val="-2"/>
        </w:rPr>
        <w:t>Sm+R</w:t>
      </w:r>
      <w:r>
        <w:rPr>
          <w:spacing w:val="-2"/>
          <w:vertAlign w:val="subscript"/>
        </w:rPr>
        <w:t>1</w:t>
      </w:r>
      <w:r>
        <w:rPr>
          <w:spacing w:val="-2"/>
          <w:vertAlign w:val="baseline"/>
        </w:rPr>
        <w:t>+R</w:t>
      </w:r>
      <w:r>
        <w:rPr>
          <w:spacing w:val="-2"/>
          <w:vertAlign w:val="subscript"/>
        </w:rPr>
        <w:t>2</w:t>
      </w:r>
    </w:p>
    <w:p>
      <w:pPr>
        <w:pStyle w:val="BodyText"/>
        <w:spacing w:before="13"/>
        <w:jc w:val="left"/>
        <w:rPr>
          <w:sz w:val="21"/>
        </w:rPr>
      </w:pPr>
    </w:p>
    <w:p>
      <w:pPr>
        <w:pStyle w:val="BodyText"/>
        <w:ind w:left="249"/>
        <w:jc w:val="left"/>
        <w:rPr>
          <w:rFonts w:ascii="Times New Roman" w:hAnsi="Times New Roman" w:cs="Times New Roman" w:eastAsia="Times New Roman"/>
        </w:rPr>
      </w:pPr>
      <w:r>
        <w:rPr/>
        <w:t>Ապահովագրական</w:t>
      </w:r>
      <w:r>
        <w:rPr>
          <w:spacing w:val="-5"/>
        </w:rPr>
        <w:t> </w:t>
      </w:r>
      <w:r>
        <w:rPr/>
        <w:t>հատուցումը՝</w:t>
      </w:r>
      <w:r>
        <w:rPr>
          <w:spacing w:val="-1"/>
        </w:rPr>
        <w:t> </w:t>
      </w:r>
      <w:r>
        <w:rPr/>
        <w:t>C-ն</w:t>
      </w:r>
      <w:r>
        <w:rPr>
          <w:spacing w:val="-7"/>
        </w:rPr>
        <w:t> </w:t>
      </w:r>
      <w:r>
        <w:rPr/>
        <w:t>հավասար</w:t>
      </w:r>
      <w:r>
        <w:rPr>
          <w:spacing w:val="-3"/>
        </w:rPr>
        <w:t> </w:t>
      </w:r>
      <w:r>
        <w:rPr/>
        <w:t>է</w:t>
      </w:r>
      <w:r>
        <w:rPr>
          <w:spacing w:val="-4"/>
        </w:rPr>
        <w:t> </w:t>
      </w:r>
      <w:r>
        <w:rPr/>
        <w:t>0</w:t>
      </w:r>
      <w:r>
        <w:rPr>
          <w:spacing w:val="-5"/>
        </w:rPr>
        <w:t> </w:t>
      </w:r>
      <w:r>
        <w:rPr/>
        <w:t>–ի,</w:t>
      </w:r>
      <w:r>
        <w:rPr>
          <w:spacing w:val="-3"/>
        </w:rPr>
        <w:t> </w:t>
      </w:r>
      <w:r>
        <w:rPr/>
        <w:t>հակառակ</w:t>
      </w:r>
      <w:r>
        <w:rPr>
          <w:spacing w:val="-4"/>
        </w:rPr>
        <w:t> </w:t>
      </w:r>
      <w:r>
        <w:rPr>
          <w:spacing w:val="-2"/>
        </w:rPr>
        <w:t>դեպքում</w:t>
      </w:r>
      <w:r>
        <w:rPr>
          <w:rFonts w:ascii="Times New Roman" w:hAnsi="Times New Roman" w:cs="Times New Roman" w:eastAsia="Times New Roman"/>
          <w:spacing w:val="-2"/>
        </w:rPr>
        <w:t>̀</w:t>
      </w:r>
    </w:p>
    <w:p>
      <w:pPr>
        <w:pStyle w:val="BodyText"/>
        <w:spacing w:before="8"/>
        <w:jc w:val="left"/>
        <w:rPr>
          <w:rFonts w:ascii="Times New Roman"/>
          <w:sz w:val="25"/>
        </w:rPr>
      </w:pPr>
    </w:p>
    <w:p>
      <w:pPr>
        <w:pStyle w:val="BodyText"/>
        <w:ind w:left="1063" w:right="986"/>
        <w:jc w:val="center"/>
      </w:pPr>
      <w:r>
        <w:rPr/>
        <w:t>C</w:t>
      </w:r>
      <w:r>
        <w:rPr>
          <w:spacing w:val="4"/>
        </w:rPr>
        <w:t> </w:t>
      </w:r>
      <w:r>
        <w:rPr/>
        <w:t>=</w:t>
      </w:r>
      <w:r>
        <w:rPr>
          <w:spacing w:val="6"/>
        </w:rPr>
        <w:t> </w:t>
      </w:r>
      <w:r>
        <w:rPr/>
        <w:t>S+</w:t>
      </w:r>
      <w:r>
        <w:rPr>
          <w:spacing w:val="4"/>
        </w:rPr>
        <w:t> </w:t>
      </w:r>
      <w:r>
        <w:rPr/>
        <w:t>R</w:t>
      </w:r>
      <w:r>
        <w:rPr>
          <w:vertAlign w:val="subscript"/>
        </w:rPr>
        <w:t>1</w:t>
      </w:r>
      <w:r>
        <w:rPr>
          <w:vertAlign w:val="baseline"/>
        </w:rPr>
        <w:t>+</w:t>
      </w:r>
      <w:r>
        <w:rPr>
          <w:spacing w:val="5"/>
          <w:vertAlign w:val="baseline"/>
        </w:rPr>
        <w:t> </w:t>
      </w:r>
      <w:r>
        <w:rPr>
          <w:spacing w:val="-5"/>
          <w:vertAlign w:val="baseline"/>
        </w:rPr>
        <w:t>R</w:t>
      </w:r>
      <w:r>
        <w:rPr>
          <w:spacing w:val="-5"/>
          <w:vertAlign w:val="subscript"/>
        </w:rPr>
        <w:t>2</w:t>
      </w:r>
    </w:p>
    <w:p>
      <w:pPr>
        <w:pStyle w:val="BodyText"/>
        <w:spacing w:before="13"/>
        <w:jc w:val="left"/>
        <w:rPr>
          <w:sz w:val="21"/>
        </w:rPr>
      </w:pPr>
    </w:p>
    <w:p>
      <w:pPr>
        <w:pStyle w:val="ListParagraph"/>
        <w:numPr>
          <w:ilvl w:val="2"/>
          <w:numId w:val="5"/>
        </w:numPr>
        <w:tabs>
          <w:tab w:pos="814" w:val="left" w:leader="none"/>
        </w:tabs>
        <w:spacing w:line="240" w:lineRule="auto" w:before="0" w:after="0"/>
        <w:ind w:left="107" w:right="166" w:firstLine="0"/>
        <w:jc w:val="both"/>
        <w:rPr>
          <w:sz w:val="22"/>
          <w:szCs w:val="22"/>
        </w:rPr>
      </w:pPr>
      <w:r>
        <w:rPr>
          <w:sz w:val="22"/>
          <w:szCs w:val="22"/>
        </w:rPr>
        <w:t>Անշարժ գույքի իրացման արդյունքում Պայմանների 5.2.1. կետում նշված Պատահարն առաջանալու դեպքում Վարկատուն պարտավոր է 7 (յոթ) աշխատանքային օրվա ընթացքում Ապահովագրողին ներկայացնել հայցային դիմում և ապահովագրական հատուցման համար սույն Պայմանների 5.4.9 կետում նշված անհրաժեշտ փաստաթղթերը: Նշված ժամկետի սկիզբը հաշվարկվում է Անշարժ գույքի իրացման պահից: Ապահովագրական</w:t>
      </w:r>
      <w:r>
        <w:rPr>
          <w:spacing w:val="40"/>
          <w:sz w:val="22"/>
          <w:szCs w:val="22"/>
        </w:rPr>
        <w:t> </w:t>
      </w:r>
      <w:r>
        <w:rPr>
          <w:sz w:val="22"/>
          <w:szCs w:val="22"/>
        </w:rPr>
        <w:t>հատուցումը վճարվում է Վարկատուի կողմից նշված հաշվին` փոխանցումով:</w:t>
      </w:r>
    </w:p>
    <w:p>
      <w:pPr>
        <w:spacing w:after="0" w:line="240" w:lineRule="auto"/>
        <w:jc w:val="both"/>
        <w:rPr>
          <w:sz w:val="22"/>
          <w:szCs w:val="22"/>
        </w:rPr>
        <w:sectPr>
          <w:pgSz w:w="11910" w:h="16840"/>
          <w:pgMar w:header="0" w:footer="786" w:top="340" w:bottom="1040" w:left="600" w:right="820"/>
        </w:sectPr>
      </w:pPr>
    </w:p>
    <w:p>
      <w:pPr>
        <w:pStyle w:val="ListParagraph"/>
        <w:numPr>
          <w:ilvl w:val="2"/>
          <w:numId w:val="5"/>
        </w:numPr>
        <w:tabs>
          <w:tab w:pos="814" w:val="left" w:leader="none"/>
        </w:tabs>
        <w:spacing w:line="240" w:lineRule="auto" w:before="91" w:after="0"/>
        <w:ind w:left="108" w:right="166" w:firstLine="0"/>
        <w:jc w:val="both"/>
        <w:rPr>
          <w:sz w:val="22"/>
          <w:szCs w:val="22"/>
        </w:rPr>
      </w:pPr>
      <w:r>
        <w:rPr>
          <w:sz w:val="22"/>
          <w:szCs w:val="22"/>
        </w:rPr>
        <w:t>Սույն Պայմաններով նշված բոլոր անհրաժեշտ փաստաթղթերը ստանալուց հետո 15 (տասնհինգ) աշխատանքային օրվա ընթացքում Ապահովագրողն ընդունում է որոշում ապահովագրական հատուցումը վճարելու կամ ապահովագրական հատուցման վճարումը մերժելու կամ նվազեցնելու</w:t>
      </w:r>
      <w:r>
        <w:rPr>
          <w:spacing w:val="40"/>
          <w:sz w:val="22"/>
          <w:szCs w:val="22"/>
        </w:rPr>
        <w:t> </w:t>
      </w:r>
      <w:r>
        <w:rPr>
          <w:sz w:val="22"/>
          <w:szCs w:val="22"/>
        </w:rPr>
        <w:t>մասին: Համապատասխան որոշումը, այն կայացվելուց հետո հնգօրյա ժամկետում, Ապահովագրողը փոստային ծառայության միջոցով առաքում է Վարկառուին` նրա մշտական</w:t>
      </w:r>
      <w:r>
        <w:rPr>
          <w:spacing w:val="40"/>
          <w:sz w:val="22"/>
          <w:szCs w:val="22"/>
        </w:rPr>
        <w:t> </w:t>
      </w:r>
      <w:r>
        <w:rPr>
          <w:sz w:val="22"/>
          <w:szCs w:val="22"/>
        </w:rPr>
        <w:t>բնակության հասցեով, և Վարկատուին` նրա գործունեության հասցեով:</w:t>
      </w:r>
    </w:p>
    <w:p>
      <w:pPr>
        <w:pStyle w:val="ListParagraph"/>
        <w:numPr>
          <w:ilvl w:val="2"/>
          <w:numId w:val="5"/>
        </w:numPr>
        <w:tabs>
          <w:tab w:pos="814" w:val="left" w:leader="none"/>
        </w:tabs>
        <w:spacing w:line="240" w:lineRule="auto" w:before="0" w:after="0"/>
        <w:ind w:left="107" w:right="170" w:firstLine="0"/>
        <w:jc w:val="both"/>
        <w:rPr>
          <w:sz w:val="22"/>
          <w:szCs w:val="22"/>
        </w:rPr>
      </w:pPr>
      <w:r>
        <w:rPr>
          <w:sz w:val="22"/>
          <w:szCs w:val="22"/>
        </w:rPr>
        <w:t>Ապահովագրական հատուցումը վճարելու մասին որոշումը կայացնելուց հետո 15 (տասնհինգ) աշխատանքային օրվա ընթացքում Ապահովագրողը Վարկատուին միանվագ վճարում է</w:t>
      </w:r>
      <w:r>
        <w:rPr>
          <w:spacing w:val="40"/>
          <w:sz w:val="22"/>
          <w:szCs w:val="22"/>
        </w:rPr>
        <w:t> </w:t>
      </w:r>
      <w:r>
        <w:rPr>
          <w:spacing w:val="-2"/>
          <w:sz w:val="22"/>
          <w:szCs w:val="22"/>
        </w:rPr>
        <w:t>հատուցումը:</w:t>
      </w:r>
    </w:p>
    <w:p>
      <w:pPr>
        <w:pStyle w:val="ListParagraph"/>
        <w:numPr>
          <w:ilvl w:val="2"/>
          <w:numId w:val="5"/>
        </w:numPr>
        <w:tabs>
          <w:tab w:pos="814" w:val="left" w:leader="none"/>
        </w:tabs>
        <w:spacing w:line="240" w:lineRule="auto" w:before="0" w:after="0"/>
        <w:ind w:left="107" w:right="169" w:firstLine="0"/>
        <w:jc w:val="both"/>
        <w:rPr>
          <w:sz w:val="22"/>
          <w:szCs w:val="22"/>
        </w:rPr>
      </w:pPr>
      <w:r>
        <w:rPr>
          <w:sz w:val="22"/>
          <w:szCs w:val="22"/>
        </w:rPr>
        <w:t>Պայմանների 5.4.2.</w:t>
      </w:r>
      <w:r>
        <w:rPr>
          <w:spacing w:val="-1"/>
          <w:sz w:val="22"/>
          <w:szCs w:val="22"/>
        </w:rPr>
        <w:t> </w:t>
      </w:r>
      <w:r>
        <w:rPr>
          <w:sz w:val="22"/>
          <w:szCs w:val="22"/>
        </w:rPr>
        <w:t>և 5.4.6</w:t>
      </w:r>
      <w:r>
        <w:rPr>
          <w:spacing w:val="40"/>
          <w:sz w:val="22"/>
          <w:szCs w:val="22"/>
        </w:rPr>
        <w:t> </w:t>
      </w:r>
      <w:r>
        <w:rPr>
          <w:sz w:val="22"/>
          <w:szCs w:val="22"/>
        </w:rPr>
        <w:t>կետերում նշված անհրաժեշտ</w:t>
      </w:r>
      <w:r>
        <w:rPr>
          <w:spacing w:val="-1"/>
          <w:sz w:val="22"/>
          <w:szCs w:val="22"/>
        </w:rPr>
        <w:t> </w:t>
      </w:r>
      <w:r>
        <w:rPr>
          <w:sz w:val="22"/>
          <w:szCs w:val="22"/>
        </w:rPr>
        <w:t>փաստաթղթերին են վերաբերվում ապահովագրության վկայագիրը, գրավադրված Անշարժ գույքի առուվաճառքի պայմանագիրը, սեփականության վկայականը, աճուրդի արձանագրության պատճենը, Վարկատուի որոշումները՝ կապված գույքի իրացման հետ, չվճարված Կանխավճարի կամ դրա մասի ու այդ գումարի վրա հաշվարկված տոկոսագումարների վերաբերյալ տեղեկանքը, ինչպես նաև Ապահովագրողի պահանջով գույքի իրացման հետ կապված և ապահովագրական հատուցման համար անհրաժեշտ Վարկատուին հասանելի ցանկացած այլ փաստաթուղթ:</w:t>
      </w:r>
    </w:p>
    <w:p>
      <w:pPr>
        <w:pStyle w:val="ListParagraph"/>
        <w:numPr>
          <w:ilvl w:val="1"/>
          <w:numId w:val="5"/>
        </w:numPr>
        <w:tabs>
          <w:tab w:pos="814" w:val="left" w:leader="none"/>
        </w:tabs>
        <w:spacing w:line="240" w:lineRule="auto" w:before="0" w:after="0"/>
        <w:ind w:left="107" w:right="165" w:hanging="1"/>
        <w:jc w:val="both"/>
        <w:rPr>
          <w:sz w:val="22"/>
          <w:szCs w:val="22"/>
        </w:rPr>
      </w:pPr>
      <w:r>
        <w:rPr>
          <w:sz w:val="22"/>
          <w:szCs w:val="22"/>
        </w:rPr>
        <w:t>Եթե Վարկառուն խախտել է իր ֆինանսական պարտավորությունները, և ի հայտ է եկել</w:t>
      </w:r>
      <w:r>
        <w:rPr>
          <w:spacing w:val="40"/>
          <w:sz w:val="22"/>
          <w:szCs w:val="22"/>
        </w:rPr>
        <w:t> </w:t>
      </w:r>
      <w:r>
        <w:rPr>
          <w:sz w:val="22"/>
          <w:szCs w:val="22"/>
        </w:rPr>
        <w:t>Պայմանների 5.4.1 կետում նշված ապահովագրական իրադարձությունը, հետևաբար առկա է ապահովագրական պատահարի նախադրյալներ ունեցող իրավիճակ, ապա, Կողմերի փոխադարձ համաձայնությամբ,</w:t>
      </w:r>
      <w:r>
        <w:rPr>
          <w:spacing w:val="40"/>
          <w:sz w:val="22"/>
          <w:szCs w:val="22"/>
        </w:rPr>
        <w:t> </w:t>
      </w:r>
      <w:r>
        <w:rPr>
          <w:sz w:val="22"/>
          <w:szCs w:val="22"/>
        </w:rPr>
        <w:t>Ապահովագրողը Վարկատուին կարող է տրամադրել ապահովագրական հատուցման կանխավճար՝ C=S+R</w:t>
      </w:r>
      <w:r>
        <w:rPr>
          <w:sz w:val="22"/>
          <w:szCs w:val="22"/>
          <w:vertAlign w:val="subscript"/>
        </w:rPr>
        <w:t>1</w:t>
      </w:r>
      <w:r>
        <w:rPr>
          <w:sz w:val="22"/>
          <w:szCs w:val="22"/>
          <w:vertAlign w:val="baseline"/>
        </w:rPr>
        <w:t> գումարի չափով, որը սառեցվում է Վարկատուի կողմից մինչև ապահովագրական պատահարի ի հայտ գալու հանգամանքի հաստատումը: Հետագայում, ապահովագրական հատուցման գործընթացը կարգավորելիս կողմերը կատարում են վերջնահաշվարկ՝ հաշվի առնելով Վարկատուին տրված հատուցման կանխավճարը:</w:t>
      </w:r>
    </w:p>
    <w:p>
      <w:pPr>
        <w:pStyle w:val="ListParagraph"/>
        <w:numPr>
          <w:ilvl w:val="1"/>
          <w:numId w:val="5"/>
        </w:numPr>
        <w:tabs>
          <w:tab w:pos="815" w:val="left" w:leader="none"/>
        </w:tabs>
        <w:spacing w:line="240" w:lineRule="auto" w:before="0" w:after="0"/>
        <w:ind w:left="108" w:right="166" w:firstLine="0"/>
        <w:jc w:val="both"/>
        <w:rPr>
          <w:sz w:val="22"/>
          <w:szCs w:val="22"/>
        </w:rPr>
      </w:pPr>
      <w:r>
        <w:rPr>
          <w:sz w:val="22"/>
          <w:szCs w:val="22"/>
        </w:rPr>
        <w:t>Եթե</w:t>
      </w:r>
      <w:r>
        <w:rPr>
          <w:spacing w:val="-2"/>
          <w:sz w:val="22"/>
          <w:szCs w:val="22"/>
        </w:rPr>
        <w:t> </w:t>
      </w:r>
      <w:r>
        <w:rPr>
          <w:sz w:val="22"/>
          <w:szCs w:val="22"/>
        </w:rPr>
        <w:t>Վարկատուին</w:t>
      </w:r>
      <w:r>
        <w:rPr>
          <w:spacing w:val="-3"/>
          <w:sz w:val="22"/>
          <w:szCs w:val="22"/>
        </w:rPr>
        <w:t> </w:t>
      </w:r>
      <w:r>
        <w:rPr>
          <w:sz w:val="22"/>
          <w:szCs w:val="22"/>
        </w:rPr>
        <w:t>տրված</w:t>
      </w:r>
      <w:r>
        <w:rPr>
          <w:spacing w:val="-1"/>
          <w:sz w:val="22"/>
          <w:szCs w:val="22"/>
        </w:rPr>
        <w:t> </w:t>
      </w:r>
      <w:r>
        <w:rPr>
          <w:sz w:val="22"/>
          <w:szCs w:val="22"/>
        </w:rPr>
        <w:t>հատուցման</w:t>
      </w:r>
      <w:r>
        <w:rPr>
          <w:spacing w:val="-3"/>
          <w:sz w:val="22"/>
          <w:szCs w:val="22"/>
        </w:rPr>
        <w:t> </w:t>
      </w:r>
      <w:r>
        <w:rPr>
          <w:sz w:val="22"/>
          <w:szCs w:val="22"/>
        </w:rPr>
        <w:t>կանխավճարի</w:t>
      </w:r>
      <w:r>
        <w:rPr>
          <w:spacing w:val="-2"/>
          <w:sz w:val="22"/>
          <w:szCs w:val="22"/>
        </w:rPr>
        <w:t> </w:t>
      </w:r>
      <w:r>
        <w:rPr>
          <w:sz w:val="22"/>
          <w:szCs w:val="22"/>
        </w:rPr>
        <w:t>գումարը կազմում է</w:t>
      </w:r>
      <w:r>
        <w:rPr>
          <w:spacing w:val="-2"/>
          <w:sz w:val="22"/>
          <w:szCs w:val="22"/>
        </w:rPr>
        <w:t> </w:t>
      </w:r>
      <w:r>
        <w:rPr>
          <w:sz w:val="22"/>
          <w:szCs w:val="22"/>
        </w:rPr>
        <w:t>ավելի</w:t>
      </w:r>
      <w:r>
        <w:rPr>
          <w:spacing w:val="-2"/>
          <w:sz w:val="22"/>
          <w:szCs w:val="22"/>
        </w:rPr>
        <w:t> </w:t>
      </w:r>
      <w:r>
        <w:rPr>
          <w:sz w:val="22"/>
          <w:szCs w:val="22"/>
        </w:rPr>
        <w:t>մեծ</w:t>
      </w:r>
      <w:r>
        <w:rPr>
          <w:spacing w:val="-3"/>
          <w:sz w:val="22"/>
          <w:szCs w:val="22"/>
        </w:rPr>
        <w:t> </w:t>
      </w:r>
      <w:r>
        <w:rPr>
          <w:sz w:val="22"/>
          <w:szCs w:val="22"/>
        </w:rPr>
        <w:t>գումար, քան հատուցման ենթակա վերջնական գումարը, ապա Վարկատուն պարտավորվում է 10 (տասը) աշխատանքային օրվա ընթացքում վերադարձնել Ապահովագրողին այդ գումարների </w:t>
      </w:r>
      <w:r>
        <w:rPr>
          <w:spacing w:val="-2"/>
          <w:sz w:val="22"/>
          <w:szCs w:val="22"/>
        </w:rPr>
        <w:t>տարբերությունը:</w:t>
      </w:r>
    </w:p>
    <w:p>
      <w:pPr>
        <w:pStyle w:val="ListParagraph"/>
        <w:numPr>
          <w:ilvl w:val="1"/>
          <w:numId w:val="5"/>
        </w:numPr>
        <w:tabs>
          <w:tab w:pos="815" w:val="left" w:leader="none"/>
        </w:tabs>
        <w:spacing w:line="240" w:lineRule="auto" w:before="0" w:after="0"/>
        <w:ind w:left="108" w:right="169" w:firstLine="0"/>
        <w:jc w:val="both"/>
        <w:rPr>
          <w:sz w:val="22"/>
          <w:szCs w:val="22"/>
        </w:rPr>
      </w:pPr>
      <w:r>
        <w:rPr>
          <w:sz w:val="22"/>
          <w:szCs w:val="22"/>
        </w:rPr>
        <w:t>Եթե Վարկատուին տրված հատուցման կանխավճարի գումարը կազմում է ավելի փոքր գումար, քան հատուցման ենթակա վերջնական գումարը,</w:t>
      </w:r>
      <w:r>
        <w:rPr>
          <w:spacing w:val="40"/>
          <w:sz w:val="22"/>
          <w:szCs w:val="22"/>
        </w:rPr>
        <w:t> </w:t>
      </w:r>
      <w:r>
        <w:rPr>
          <w:sz w:val="22"/>
          <w:szCs w:val="22"/>
        </w:rPr>
        <w:t>ապա Վարկատուին ենթակա է հատուցման այդ գումարների տարբերությունը:</w:t>
      </w:r>
    </w:p>
    <w:p>
      <w:pPr>
        <w:pStyle w:val="ListParagraph"/>
        <w:numPr>
          <w:ilvl w:val="1"/>
          <w:numId w:val="5"/>
        </w:numPr>
        <w:tabs>
          <w:tab w:pos="815" w:val="left" w:leader="none"/>
        </w:tabs>
        <w:spacing w:line="240" w:lineRule="auto" w:before="0" w:after="0"/>
        <w:ind w:left="108" w:right="166" w:firstLine="0"/>
        <w:jc w:val="both"/>
        <w:rPr>
          <w:sz w:val="22"/>
          <w:szCs w:val="22"/>
        </w:rPr>
      </w:pPr>
      <w:r>
        <w:rPr>
          <w:sz w:val="22"/>
          <w:szCs w:val="22"/>
        </w:rPr>
        <w:t>Եթե վարկառուն վարկային պարտավորությունները կատարում է ապահովագրական իրադարձության և ապահովագրական պատահարի միջև ընկած ժամանակահատվածում, և Ապահովագրողը կանխավճարի ապահովագրական հատուցումն արդեն վճարել է Վարկատուին, ապա վերջնահաշվարկը կատարվում է Վարկատուի կողմից Անշարժ գույքի բռնագանձման (իրացման) վերաբերյալ</w:t>
      </w:r>
      <w:r>
        <w:rPr>
          <w:spacing w:val="40"/>
          <w:sz w:val="22"/>
          <w:szCs w:val="22"/>
        </w:rPr>
        <w:t> </w:t>
      </w:r>
      <w:r>
        <w:rPr>
          <w:sz w:val="22"/>
          <w:szCs w:val="22"/>
        </w:rPr>
        <w:t>որոշման վերացման օրվան հաջորդող 10 (տասը) աշխատանքային օրվա </w:t>
      </w:r>
      <w:r>
        <w:rPr>
          <w:spacing w:val="-2"/>
          <w:sz w:val="22"/>
          <w:szCs w:val="22"/>
        </w:rPr>
        <w:t>ընթացքում։</w:t>
      </w:r>
    </w:p>
    <w:p>
      <w:pPr>
        <w:pStyle w:val="BodyText"/>
        <w:spacing w:before="4"/>
        <w:jc w:val="left"/>
        <w:rPr>
          <w:sz w:val="14"/>
        </w:rPr>
      </w:pPr>
    </w:p>
    <w:p>
      <w:pPr>
        <w:pStyle w:val="Heading1"/>
        <w:numPr>
          <w:ilvl w:val="0"/>
          <w:numId w:val="2"/>
        </w:numPr>
        <w:tabs>
          <w:tab w:pos="3464" w:val="left" w:leader="none"/>
        </w:tabs>
        <w:spacing w:line="240" w:lineRule="auto" w:before="102" w:after="0"/>
        <w:ind w:left="3463" w:right="59" w:hanging="3464"/>
        <w:jc w:val="left"/>
        <w:rPr>
          <w:sz w:val="20"/>
          <w:szCs w:val="20"/>
        </w:rPr>
      </w:pPr>
      <w:bookmarkStart w:name="6.ԱՊԱՀՈՎԱԳՐՈՒԹՅԱՆ ՓԱԹԵԹ II" w:id="11"/>
      <w:bookmarkEnd w:id="11"/>
      <w:r>
        <w:rPr>
          <w:b w:val="0"/>
          <w:bCs w:val="0"/>
        </w:rPr>
      </w:r>
      <w:bookmarkStart w:name="_bookmark5" w:id="12"/>
      <w:bookmarkEnd w:id="12"/>
      <w:r>
        <w:rPr/>
        <w:t>ԱՊԱՀ</w:t>
      </w:r>
      <w:r>
        <w:rPr/>
        <w:t>ՈՎԱԳՐՈՒԹՅԱՆ</w:t>
      </w:r>
      <w:r>
        <w:rPr>
          <w:spacing w:val="-11"/>
        </w:rPr>
        <w:t> </w:t>
      </w:r>
      <w:r>
        <w:rPr/>
        <w:t>ՓԱԹԵԹ</w:t>
      </w:r>
      <w:r>
        <w:rPr>
          <w:spacing w:val="-10"/>
        </w:rPr>
        <w:t> </w:t>
      </w:r>
      <w:r>
        <w:rPr>
          <w:spacing w:val="-5"/>
        </w:rPr>
        <w:t>II</w:t>
      </w:r>
    </w:p>
    <w:p>
      <w:pPr>
        <w:pStyle w:val="BodyText"/>
        <w:jc w:val="left"/>
        <w:rPr>
          <w:b/>
          <w:sz w:val="44"/>
        </w:rPr>
      </w:pPr>
    </w:p>
    <w:p>
      <w:pPr>
        <w:pStyle w:val="ListParagraph"/>
        <w:numPr>
          <w:ilvl w:val="1"/>
          <w:numId w:val="6"/>
        </w:numPr>
        <w:tabs>
          <w:tab w:pos="829" w:val="left" w:leader="none"/>
        </w:tabs>
        <w:spacing w:line="240" w:lineRule="auto" w:before="0" w:after="0"/>
        <w:ind w:left="828" w:right="0" w:hanging="721"/>
        <w:jc w:val="both"/>
        <w:rPr>
          <w:b/>
          <w:bCs/>
          <w:sz w:val="22"/>
          <w:szCs w:val="22"/>
        </w:rPr>
      </w:pPr>
      <w:r>
        <w:rPr>
          <w:b/>
          <w:bCs/>
          <w:sz w:val="22"/>
          <w:szCs w:val="22"/>
        </w:rPr>
        <w:t>Ապահովագրության</w:t>
      </w:r>
      <w:r>
        <w:rPr>
          <w:b/>
          <w:bCs/>
          <w:spacing w:val="-9"/>
          <w:sz w:val="22"/>
          <w:szCs w:val="22"/>
        </w:rPr>
        <w:t> </w:t>
      </w:r>
      <w:r>
        <w:rPr>
          <w:b/>
          <w:bCs/>
          <w:sz w:val="22"/>
          <w:szCs w:val="22"/>
        </w:rPr>
        <w:t>առարկան</w:t>
      </w:r>
      <w:r>
        <w:rPr>
          <w:b/>
          <w:bCs/>
          <w:spacing w:val="-7"/>
          <w:sz w:val="22"/>
          <w:szCs w:val="22"/>
        </w:rPr>
        <w:t> </w:t>
      </w:r>
      <w:r>
        <w:rPr>
          <w:b/>
          <w:bCs/>
          <w:sz w:val="22"/>
          <w:szCs w:val="22"/>
        </w:rPr>
        <w:t>և</w:t>
      </w:r>
      <w:r>
        <w:rPr>
          <w:b/>
          <w:bCs/>
          <w:spacing w:val="-8"/>
          <w:sz w:val="22"/>
          <w:szCs w:val="22"/>
        </w:rPr>
        <w:t> </w:t>
      </w:r>
      <w:r>
        <w:rPr>
          <w:b/>
          <w:bCs/>
          <w:sz w:val="22"/>
          <w:szCs w:val="22"/>
        </w:rPr>
        <w:t>էական</w:t>
      </w:r>
      <w:r>
        <w:rPr>
          <w:b/>
          <w:bCs/>
          <w:spacing w:val="-9"/>
          <w:sz w:val="22"/>
          <w:szCs w:val="22"/>
        </w:rPr>
        <w:t> </w:t>
      </w:r>
      <w:r>
        <w:rPr>
          <w:b/>
          <w:bCs/>
          <w:spacing w:val="-2"/>
          <w:sz w:val="22"/>
          <w:szCs w:val="22"/>
        </w:rPr>
        <w:t>պայմանները</w:t>
      </w:r>
    </w:p>
    <w:p>
      <w:pPr>
        <w:pStyle w:val="BodyText"/>
        <w:spacing w:before="1"/>
        <w:jc w:val="left"/>
        <w:rPr>
          <w:b/>
        </w:rPr>
      </w:pPr>
    </w:p>
    <w:p>
      <w:pPr>
        <w:pStyle w:val="ListParagraph"/>
        <w:numPr>
          <w:ilvl w:val="2"/>
          <w:numId w:val="6"/>
        </w:numPr>
        <w:tabs>
          <w:tab w:pos="814" w:val="left" w:leader="none"/>
        </w:tabs>
        <w:spacing w:line="240" w:lineRule="auto" w:before="0" w:after="0"/>
        <w:ind w:left="108" w:right="165" w:firstLine="0"/>
        <w:jc w:val="both"/>
        <w:rPr>
          <w:sz w:val="22"/>
          <w:szCs w:val="22"/>
        </w:rPr>
      </w:pPr>
      <w:r>
        <w:rPr>
          <w:sz w:val="22"/>
          <w:szCs w:val="22"/>
        </w:rPr>
        <w:t>«Բնակարան երիտասարդներին» վերաֆինանսավորում իրականացնող վարկային կազմակերպության միջոցով «Երիտասարդ ընտանիքին` մատչելի բնակարան» պետական նպատակային ծրագրով ֆինանսավորման ենթակա Անշարժ գույք ձեռք բերելու նպատակով հիփոթեքային վարկ ստանալու համար Վարկատուին դիմած Վարկառուն կանխավճարի տեսքով վճարման ենթակա գումարի մի մասին համարժեք գումարով Վկայագիր է ներկայացնում Վարկատուին, իսկ Ապահովագրողը պարտավորվում է Չվճարված կանխավճարի չափով ապահովագրական գումարի (այսուհետ՝ ՉԿԳ) կորստի մասով ապահովագրել Վարկատուի</w:t>
      </w:r>
      <w:r>
        <w:rPr>
          <w:spacing w:val="40"/>
          <w:sz w:val="22"/>
          <w:szCs w:val="22"/>
        </w:rPr>
        <w:t> </w:t>
      </w:r>
      <w:r>
        <w:rPr>
          <w:sz w:val="22"/>
          <w:szCs w:val="22"/>
        </w:rPr>
        <w:t>գույքային շահերը ֆինանսական վնասների ապահովագրության դասով:</w:t>
      </w:r>
    </w:p>
    <w:p>
      <w:pPr>
        <w:spacing w:after="0" w:line="240" w:lineRule="auto"/>
        <w:jc w:val="both"/>
        <w:rPr>
          <w:sz w:val="22"/>
          <w:szCs w:val="22"/>
        </w:rPr>
        <w:sectPr>
          <w:pgSz w:w="11910" w:h="16840"/>
          <w:pgMar w:header="0" w:footer="786" w:top="340" w:bottom="1040" w:left="600" w:right="820"/>
        </w:sectPr>
      </w:pPr>
    </w:p>
    <w:p>
      <w:pPr>
        <w:pStyle w:val="ListParagraph"/>
        <w:numPr>
          <w:ilvl w:val="2"/>
          <w:numId w:val="6"/>
        </w:numPr>
        <w:tabs>
          <w:tab w:pos="814" w:val="left" w:leader="none"/>
        </w:tabs>
        <w:spacing w:line="240" w:lineRule="auto" w:before="91" w:after="0"/>
        <w:ind w:left="108" w:right="168" w:firstLine="0"/>
        <w:jc w:val="both"/>
        <w:rPr>
          <w:sz w:val="22"/>
          <w:szCs w:val="22"/>
        </w:rPr>
      </w:pPr>
      <w:r>
        <w:rPr>
          <w:sz w:val="22"/>
          <w:szCs w:val="22"/>
        </w:rPr>
        <w:t>Սույն Պայմանների 6.1.1. կետում նշված ՉԿԳ-ն առավելագույնը կարող է կազմել</w:t>
      </w:r>
      <w:r>
        <w:rPr>
          <w:spacing w:val="80"/>
          <w:sz w:val="22"/>
          <w:szCs w:val="22"/>
        </w:rPr>
        <w:t> </w:t>
      </w:r>
      <w:r>
        <w:rPr>
          <w:sz w:val="22"/>
          <w:szCs w:val="22"/>
        </w:rPr>
        <w:t>երկրորդային</w:t>
      </w:r>
      <w:r>
        <w:rPr>
          <w:spacing w:val="-2"/>
          <w:sz w:val="22"/>
          <w:szCs w:val="22"/>
        </w:rPr>
        <w:t> </w:t>
      </w:r>
      <w:r>
        <w:rPr>
          <w:sz w:val="22"/>
          <w:szCs w:val="22"/>
        </w:rPr>
        <w:t>շուկայից</w:t>
      </w:r>
      <w:r>
        <w:rPr>
          <w:spacing w:val="-2"/>
          <w:sz w:val="22"/>
          <w:szCs w:val="22"/>
        </w:rPr>
        <w:t> </w:t>
      </w:r>
      <w:r>
        <w:rPr>
          <w:sz w:val="22"/>
          <w:szCs w:val="22"/>
        </w:rPr>
        <w:t>(ոչ</w:t>
      </w:r>
      <w:r>
        <w:rPr>
          <w:spacing w:val="-2"/>
          <w:sz w:val="22"/>
          <w:szCs w:val="22"/>
        </w:rPr>
        <w:t> </w:t>
      </w:r>
      <w:r>
        <w:rPr>
          <w:sz w:val="22"/>
          <w:szCs w:val="22"/>
        </w:rPr>
        <w:t>անմիջապես</w:t>
      </w:r>
      <w:r>
        <w:rPr>
          <w:spacing w:val="-2"/>
          <w:sz w:val="22"/>
          <w:szCs w:val="22"/>
        </w:rPr>
        <w:t> </w:t>
      </w:r>
      <w:r>
        <w:rPr>
          <w:sz w:val="22"/>
          <w:szCs w:val="22"/>
        </w:rPr>
        <w:t>կառուցապատողից)</w:t>
      </w:r>
      <w:r>
        <w:rPr>
          <w:spacing w:val="-2"/>
          <w:sz w:val="22"/>
          <w:szCs w:val="22"/>
        </w:rPr>
        <w:t> </w:t>
      </w:r>
      <w:r>
        <w:rPr>
          <w:sz w:val="22"/>
          <w:szCs w:val="22"/>
        </w:rPr>
        <w:t>ձեռք</w:t>
      </w:r>
      <w:r>
        <w:rPr>
          <w:spacing w:val="-2"/>
          <w:sz w:val="22"/>
          <w:szCs w:val="22"/>
        </w:rPr>
        <w:t> </w:t>
      </w:r>
      <w:r>
        <w:rPr>
          <w:sz w:val="22"/>
          <w:szCs w:val="22"/>
        </w:rPr>
        <w:t>բերվող</w:t>
      </w:r>
      <w:r>
        <w:rPr>
          <w:spacing w:val="-1"/>
          <w:sz w:val="22"/>
          <w:szCs w:val="22"/>
        </w:rPr>
        <w:t> </w:t>
      </w:r>
      <w:r>
        <w:rPr>
          <w:sz w:val="22"/>
          <w:szCs w:val="22"/>
        </w:rPr>
        <w:t>բնակարանի</w:t>
      </w:r>
      <w:r>
        <w:rPr>
          <w:spacing w:val="-2"/>
          <w:sz w:val="22"/>
          <w:szCs w:val="22"/>
        </w:rPr>
        <w:t> </w:t>
      </w:r>
      <w:r>
        <w:rPr>
          <w:sz w:val="22"/>
          <w:szCs w:val="22"/>
        </w:rPr>
        <w:t>դեպքում`</w:t>
      </w:r>
      <w:r>
        <w:rPr>
          <w:spacing w:val="-1"/>
          <w:sz w:val="22"/>
          <w:szCs w:val="22"/>
        </w:rPr>
        <w:t> </w:t>
      </w:r>
      <w:r>
        <w:rPr>
          <w:sz w:val="22"/>
          <w:szCs w:val="22"/>
        </w:rPr>
        <w:t>այդ բնակարանի արժեքի 30 տոկոսի և վարկառուի կողմից 10 կամ ավելի տոկոսի չափով կատարված կանխավճարի տարբերության չափով, իսկ առաջնային շուկայից (անմիջապես կառուցապատողից) ձեռք բերվող բնակարանի դեպքում՝</w:t>
      </w:r>
      <w:r>
        <w:rPr>
          <w:spacing w:val="40"/>
          <w:sz w:val="22"/>
          <w:szCs w:val="22"/>
        </w:rPr>
        <w:t> </w:t>
      </w:r>
      <w:r>
        <w:rPr>
          <w:sz w:val="22"/>
          <w:szCs w:val="22"/>
        </w:rPr>
        <w:t>այդ բնակարանի արժեքի 20 տոկոսի և վարկառուի կողմից 10 կամ ավելի տոկոսի չափով կատարված կանխավճարի տարբերության չափով:</w:t>
      </w:r>
      <w:r>
        <w:rPr>
          <w:spacing w:val="40"/>
          <w:sz w:val="22"/>
          <w:szCs w:val="22"/>
        </w:rPr>
        <w:t> </w:t>
      </w:r>
      <w:r>
        <w:rPr>
          <w:sz w:val="22"/>
          <w:szCs w:val="22"/>
        </w:rPr>
        <w:t>Ընդ որում՝ որպես անշարժ գույքի արժեք՝ հիմք է ընդունվում անշարժ գույքի՝</w:t>
      </w:r>
      <w:r>
        <w:rPr>
          <w:spacing w:val="80"/>
          <w:sz w:val="22"/>
          <w:szCs w:val="22"/>
        </w:rPr>
        <w:t> </w:t>
      </w:r>
      <w:r>
        <w:rPr>
          <w:sz w:val="22"/>
          <w:szCs w:val="22"/>
        </w:rPr>
        <w:t>շուկայական գնով գնահատված կամ ձեռք բերման արժեքներից նվազագույնը:</w:t>
      </w:r>
    </w:p>
    <w:p>
      <w:pPr>
        <w:pStyle w:val="ListParagraph"/>
        <w:numPr>
          <w:ilvl w:val="2"/>
          <w:numId w:val="6"/>
        </w:numPr>
        <w:tabs>
          <w:tab w:pos="814" w:val="left" w:leader="none"/>
        </w:tabs>
        <w:spacing w:line="240" w:lineRule="auto" w:before="0" w:after="0"/>
        <w:ind w:left="107" w:right="168" w:firstLine="0"/>
        <w:jc w:val="both"/>
        <w:rPr>
          <w:sz w:val="22"/>
          <w:szCs w:val="22"/>
        </w:rPr>
      </w:pPr>
      <w:r>
        <w:rPr>
          <w:sz w:val="22"/>
          <w:szCs w:val="22"/>
        </w:rPr>
        <w:t>Պայմանների դրույթներին համապատասխան` Վարկառուի կողմից իր վարկային պարտավորությունների չկատարման հետևանքով ապահովագրական պատահարի ի հայտ գալու դեպքում Ապահովագրողը պարտավորվում է հատուցել ՉԿԳ-ի կորստի արդյունքումՎարկատուի կրած ֆինանսական</w:t>
      </w:r>
      <w:r>
        <w:rPr>
          <w:spacing w:val="40"/>
          <w:sz w:val="22"/>
          <w:szCs w:val="22"/>
        </w:rPr>
        <w:t> </w:t>
      </w:r>
      <w:r>
        <w:rPr>
          <w:sz w:val="22"/>
          <w:szCs w:val="22"/>
        </w:rPr>
        <w:t>վնասը` սույն Պայմաններով և Վարկառուի հետ կնքված Վկայագրում</w:t>
      </w:r>
      <w:r>
        <w:rPr>
          <w:spacing w:val="40"/>
          <w:sz w:val="22"/>
          <w:szCs w:val="22"/>
        </w:rPr>
        <w:t> </w:t>
      </w:r>
      <w:r>
        <w:rPr>
          <w:sz w:val="22"/>
          <w:szCs w:val="22"/>
        </w:rPr>
        <w:t>նշված սահմանաչափով ու կարգով:</w:t>
      </w:r>
    </w:p>
    <w:p>
      <w:pPr>
        <w:pStyle w:val="BodyText"/>
        <w:jc w:val="left"/>
      </w:pPr>
    </w:p>
    <w:p>
      <w:pPr>
        <w:pStyle w:val="ListParagraph"/>
        <w:numPr>
          <w:ilvl w:val="1"/>
          <w:numId w:val="6"/>
        </w:numPr>
        <w:tabs>
          <w:tab w:pos="829" w:val="left" w:leader="none"/>
        </w:tabs>
        <w:spacing w:line="240" w:lineRule="auto" w:before="0" w:after="0"/>
        <w:ind w:left="828" w:right="0" w:hanging="721"/>
        <w:jc w:val="both"/>
        <w:rPr>
          <w:b/>
          <w:bCs/>
          <w:sz w:val="22"/>
          <w:szCs w:val="22"/>
        </w:rPr>
      </w:pPr>
      <w:r>
        <w:rPr>
          <w:b/>
          <w:bCs/>
          <w:sz w:val="22"/>
          <w:szCs w:val="22"/>
        </w:rPr>
        <w:t>Ապահովագրական</w:t>
      </w:r>
      <w:r>
        <w:rPr>
          <w:b/>
          <w:bCs/>
          <w:spacing w:val="-8"/>
          <w:sz w:val="22"/>
          <w:szCs w:val="22"/>
        </w:rPr>
        <w:t> </w:t>
      </w:r>
      <w:r>
        <w:rPr>
          <w:b/>
          <w:bCs/>
          <w:sz w:val="22"/>
          <w:szCs w:val="22"/>
        </w:rPr>
        <w:t>ռիսկեր</w:t>
      </w:r>
      <w:r>
        <w:rPr>
          <w:b/>
          <w:bCs/>
          <w:spacing w:val="-7"/>
          <w:sz w:val="22"/>
          <w:szCs w:val="22"/>
        </w:rPr>
        <w:t> </w:t>
      </w:r>
      <w:r>
        <w:rPr>
          <w:b/>
          <w:bCs/>
          <w:sz w:val="22"/>
          <w:szCs w:val="22"/>
        </w:rPr>
        <w:t>և</w:t>
      </w:r>
      <w:r>
        <w:rPr>
          <w:b/>
          <w:bCs/>
          <w:spacing w:val="-9"/>
          <w:sz w:val="22"/>
          <w:szCs w:val="22"/>
        </w:rPr>
        <w:t> </w:t>
      </w:r>
      <w:r>
        <w:rPr>
          <w:b/>
          <w:bCs/>
          <w:spacing w:val="-2"/>
          <w:sz w:val="22"/>
          <w:szCs w:val="22"/>
        </w:rPr>
        <w:t>պատահարներ</w:t>
      </w:r>
    </w:p>
    <w:p>
      <w:pPr>
        <w:pStyle w:val="BodyText"/>
        <w:spacing w:before="12"/>
        <w:jc w:val="left"/>
        <w:rPr>
          <w:b/>
          <w:sz w:val="21"/>
        </w:rPr>
      </w:pPr>
    </w:p>
    <w:p>
      <w:pPr>
        <w:pStyle w:val="ListParagraph"/>
        <w:numPr>
          <w:ilvl w:val="2"/>
          <w:numId w:val="6"/>
        </w:numPr>
        <w:tabs>
          <w:tab w:pos="814" w:val="left" w:leader="none"/>
        </w:tabs>
        <w:spacing w:line="240" w:lineRule="auto" w:before="0" w:after="0"/>
        <w:ind w:left="108" w:right="167" w:firstLine="0"/>
        <w:jc w:val="both"/>
        <w:rPr>
          <w:sz w:val="22"/>
          <w:szCs w:val="22"/>
        </w:rPr>
      </w:pPr>
      <w:r>
        <w:rPr>
          <w:sz w:val="22"/>
          <w:szCs w:val="22"/>
        </w:rPr>
        <w:t>Ապահովագրական պատահար է համարվում Վարկատուի կողմից Վարկառուին տրամադրված Վարկի գծով վերջինիս կողմից վարկային պարտավորությունների չկատարման կամ ոչ</w:t>
      </w:r>
      <w:r>
        <w:rPr>
          <w:spacing w:val="-1"/>
          <w:sz w:val="22"/>
          <w:szCs w:val="22"/>
        </w:rPr>
        <w:t> </w:t>
      </w:r>
      <w:r>
        <w:rPr>
          <w:sz w:val="22"/>
          <w:szCs w:val="22"/>
        </w:rPr>
        <w:t>պատշաճ</w:t>
      </w:r>
      <w:r>
        <w:rPr>
          <w:spacing w:val="-1"/>
          <w:sz w:val="22"/>
          <w:szCs w:val="22"/>
        </w:rPr>
        <w:t> </w:t>
      </w:r>
      <w:r>
        <w:rPr>
          <w:sz w:val="22"/>
          <w:szCs w:val="22"/>
        </w:rPr>
        <w:t>կատարման</w:t>
      </w:r>
      <w:r>
        <w:rPr>
          <w:spacing w:val="-1"/>
          <w:sz w:val="22"/>
          <w:szCs w:val="22"/>
        </w:rPr>
        <w:t> </w:t>
      </w:r>
      <w:r>
        <w:rPr>
          <w:sz w:val="22"/>
          <w:szCs w:val="22"/>
        </w:rPr>
        <w:t>հետևանքով</w:t>
      </w:r>
      <w:r>
        <w:rPr>
          <w:spacing w:val="-4"/>
          <w:sz w:val="22"/>
          <w:szCs w:val="22"/>
        </w:rPr>
        <w:t> </w:t>
      </w:r>
      <w:r>
        <w:rPr>
          <w:sz w:val="22"/>
          <w:szCs w:val="22"/>
        </w:rPr>
        <w:t>Անշարժ</w:t>
      </w:r>
      <w:r>
        <w:rPr>
          <w:spacing w:val="-3"/>
          <w:sz w:val="22"/>
          <w:szCs w:val="22"/>
        </w:rPr>
        <w:t> </w:t>
      </w:r>
      <w:r>
        <w:rPr>
          <w:sz w:val="22"/>
          <w:szCs w:val="22"/>
        </w:rPr>
        <w:t>գույքի</w:t>
      </w:r>
      <w:r>
        <w:rPr>
          <w:spacing w:val="-3"/>
          <w:sz w:val="22"/>
          <w:szCs w:val="22"/>
        </w:rPr>
        <w:t> </w:t>
      </w:r>
      <w:r>
        <w:rPr>
          <w:sz w:val="22"/>
          <w:szCs w:val="22"/>
        </w:rPr>
        <w:t>իրացման</w:t>
      </w:r>
      <w:r>
        <w:rPr>
          <w:spacing w:val="-2"/>
          <w:sz w:val="22"/>
          <w:szCs w:val="22"/>
        </w:rPr>
        <w:t> </w:t>
      </w:r>
      <w:r>
        <w:rPr>
          <w:sz w:val="22"/>
          <w:szCs w:val="22"/>
        </w:rPr>
        <w:t>դեպքում` Պայմանների</w:t>
      </w:r>
      <w:r>
        <w:rPr>
          <w:spacing w:val="-1"/>
          <w:sz w:val="22"/>
          <w:szCs w:val="22"/>
        </w:rPr>
        <w:t> </w:t>
      </w:r>
      <w:r>
        <w:rPr>
          <w:sz w:val="22"/>
          <w:szCs w:val="22"/>
        </w:rPr>
        <w:t>6.1.1.</w:t>
      </w:r>
      <w:r>
        <w:rPr>
          <w:spacing w:val="-1"/>
          <w:sz w:val="22"/>
          <w:szCs w:val="22"/>
        </w:rPr>
        <w:t> </w:t>
      </w:r>
      <w:r>
        <w:rPr>
          <w:sz w:val="22"/>
          <w:szCs w:val="22"/>
        </w:rPr>
        <w:t>կետում նշված ՉԿԳ-ի ամբողջական կամ մասնակի կորուստը Վարկատուի կողմից, որի տեղի ունենալու ուժով Ապահովագրողը պարտավորվում է Վարկատուին վճարել ապահովագրական հատուցում Վկայագրով սահմանված չափով:</w:t>
      </w:r>
    </w:p>
    <w:p>
      <w:pPr>
        <w:pStyle w:val="ListParagraph"/>
        <w:numPr>
          <w:ilvl w:val="2"/>
          <w:numId w:val="6"/>
        </w:numPr>
        <w:tabs>
          <w:tab w:pos="814" w:val="left" w:leader="none"/>
        </w:tabs>
        <w:spacing w:line="240" w:lineRule="auto" w:before="0" w:after="0"/>
        <w:ind w:left="107" w:right="167" w:firstLine="0"/>
        <w:jc w:val="both"/>
        <w:rPr>
          <w:sz w:val="22"/>
          <w:szCs w:val="22"/>
        </w:rPr>
      </w:pPr>
      <w:r>
        <w:rPr>
          <w:sz w:val="22"/>
          <w:szCs w:val="22"/>
        </w:rPr>
        <w:t>Պայմանների</w:t>
      </w:r>
      <w:r>
        <w:rPr>
          <w:spacing w:val="-2"/>
          <w:sz w:val="22"/>
          <w:szCs w:val="22"/>
        </w:rPr>
        <w:t> </w:t>
      </w:r>
      <w:r>
        <w:rPr>
          <w:sz w:val="22"/>
          <w:szCs w:val="22"/>
        </w:rPr>
        <w:t>6.2.1 կետում նշված</w:t>
      </w:r>
      <w:r>
        <w:rPr>
          <w:spacing w:val="-1"/>
          <w:sz w:val="22"/>
          <w:szCs w:val="22"/>
        </w:rPr>
        <w:t> </w:t>
      </w:r>
      <w:r>
        <w:rPr>
          <w:sz w:val="22"/>
          <w:szCs w:val="22"/>
        </w:rPr>
        <w:t>կորուստ համարվում է այն</w:t>
      </w:r>
      <w:r>
        <w:rPr>
          <w:spacing w:val="-1"/>
          <w:sz w:val="22"/>
          <w:szCs w:val="22"/>
        </w:rPr>
        <w:t> </w:t>
      </w:r>
      <w:r>
        <w:rPr>
          <w:sz w:val="22"/>
          <w:szCs w:val="22"/>
        </w:rPr>
        <w:t>դեպքը, երբ Վարկառուի կողմից Վարկի մայր գումարի կամ տոկոսի ամբողջ և/կամ հերթական մասի վճարումը չկատարելու պատճառով Վարկատուի կողմից Անշարժ գույքն իրացվում է դրանով ապահովված պահանջի բավարարման նպատակով, և իրացումից ստացված գումարը բավարար չէ Վարկատուի հանդեպ տվյալ պահին առկա վարկի մայր գումարի մնացորդի վճարման համար:</w:t>
      </w:r>
    </w:p>
    <w:p>
      <w:pPr>
        <w:pStyle w:val="ListParagraph"/>
        <w:numPr>
          <w:ilvl w:val="2"/>
          <w:numId w:val="6"/>
        </w:numPr>
        <w:tabs>
          <w:tab w:pos="814" w:val="left" w:leader="none"/>
        </w:tabs>
        <w:spacing w:line="240" w:lineRule="auto" w:before="0" w:after="0"/>
        <w:ind w:left="107" w:right="168" w:firstLine="0"/>
        <w:jc w:val="both"/>
        <w:rPr>
          <w:sz w:val="22"/>
          <w:szCs w:val="22"/>
        </w:rPr>
      </w:pPr>
      <w:r>
        <w:rPr>
          <w:sz w:val="22"/>
          <w:szCs w:val="22"/>
        </w:rPr>
        <w:t>Ապահովագրողի` Վկայագրով ստանձնած ապահովագրական ռիսկը դադարում է այն</w:t>
      </w:r>
      <w:r>
        <w:rPr>
          <w:spacing w:val="40"/>
          <w:sz w:val="22"/>
          <w:szCs w:val="22"/>
        </w:rPr>
        <w:t> </w:t>
      </w:r>
      <w:r>
        <w:rPr>
          <w:sz w:val="22"/>
          <w:szCs w:val="22"/>
        </w:rPr>
        <w:t>պահից, երբ Վարկառուն մարում է Վկայագրով սահմանված ապահովագրական գումարին համարժեք վարկի մայր գումարի այն մասը, որը Վարկառուի կողմից պետք է վճարված լիներ`</w:t>
      </w:r>
      <w:r>
        <w:rPr>
          <w:spacing w:val="40"/>
          <w:sz w:val="22"/>
          <w:szCs w:val="22"/>
        </w:rPr>
        <w:t> </w:t>
      </w:r>
      <w:r>
        <w:rPr>
          <w:sz w:val="22"/>
          <w:szCs w:val="22"/>
        </w:rPr>
        <w:t>որպես կանխավճար (Պայմանների 6.1.1. կետ՝ ՉԿԳ):</w:t>
      </w:r>
    </w:p>
    <w:p>
      <w:pPr>
        <w:pStyle w:val="ListParagraph"/>
        <w:numPr>
          <w:ilvl w:val="2"/>
          <w:numId w:val="6"/>
        </w:numPr>
        <w:tabs>
          <w:tab w:pos="814" w:val="left" w:leader="none"/>
        </w:tabs>
        <w:spacing w:line="240" w:lineRule="auto" w:before="2" w:after="0"/>
        <w:ind w:left="107" w:right="166" w:firstLine="0"/>
        <w:jc w:val="both"/>
        <w:rPr>
          <w:sz w:val="22"/>
          <w:szCs w:val="22"/>
        </w:rPr>
      </w:pPr>
      <w:r>
        <w:rPr>
          <w:sz w:val="22"/>
          <w:szCs w:val="22"/>
        </w:rPr>
        <w:t>Ապահովագրողի կողմից Վարկատուին հատուցման ենթակա է միայն ՉԿԳ-ի մնացորդային </w:t>
      </w:r>
      <w:r>
        <w:rPr>
          <w:spacing w:val="-2"/>
          <w:sz w:val="22"/>
          <w:szCs w:val="22"/>
        </w:rPr>
        <w:t>գումարը:</w:t>
      </w:r>
    </w:p>
    <w:p>
      <w:pPr>
        <w:pStyle w:val="ListParagraph"/>
        <w:numPr>
          <w:ilvl w:val="2"/>
          <w:numId w:val="6"/>
        </w:numPr>
        <w:tabs>
          <w:tab w:pos="814" w:val="left" w:leader="none"/>
        </w:tabs>
        <w:spacing w:line="240" w:lineRule="auto" w:before="0" w:after="0"/>
        <w:ind w:left="107" w:right="172" w:firstLine="0"/>
        <w:jc w:val="both"/>
        <w:rPr>
          <w:sz w:val="22"/>
          <w:szCs w:val="22"/>
        </w:rPr>
      </w:pPr>
      <w:r>
        <w:rPr>
          <w:sz w:val="22"/>
          <w:szCs w:val="22"/>
        </w:rPr>
        <w:t>Եթե Անշարժ գույքի իրացումից ստացված միջոցները բավարար են Վարկի մայր գումարի մնացորդի վճարման համար, ապա Ապահովագրողի ստանձնած ապահովագրական ռիսկը դադարում է:</w:t>
      </w:r>
    </w:p>
    <w:p>
      <w:pPr>
        <w:pStyle w:val="ListParagraph"/>
        <w:numPr>
          <w:ilvl w:val="2"/>
          <w:numId w:val="6"/>
        </w:numPr>
        <w:tabs>
          <w:tab w:pos="814" w:val="left" w:leader="none"/>
        </w:tabs>
        <w:spacing w:line="240" w:lineRule="auto" w:before="0" w:after="0"/>
        <w:ind w:left="107" w:right="173" w:firstLine="0"/>
        <w:jc w:val="both"/>
        <w:rPr>
          <w:sz w:val="22"/>
          <w:szCs w:val="22"/>
        </w:rPr>
      </w:pPr>
      <w:r>
        <w:rPr>
          <w:sz w:val="22"/>
          <w:szCs w:val="22"/>
        </w:rPr>
        <w:t>Վկայագրով ապահովագրողը չի ստանձնում Վարկառուի կողմից վարկային պարտավորության չկատարման ռիսկը:</w:t>
      </w:r>
    </w:p>
    <w:p>
      <w:pPr>
        <w:pStyle w:val="BodyText"/>
        <w:jc w:val="left"/>
      </w:pPr>
    </w:p>
    <w:p>
      <w:pPr>
        <w:pStyle w:val="ListParagraph"/>
        <w:numPr>
          <w:ilvl w:val="1"/>
          <w:numId w:val="6"/>
        </w:numPr>
        <w:tabs>
          <w:tab w:pos="829" w:val="left" w:leader="none"/>
        </w:tabs>
        <w:spacing w:line="240" w:lineRule="auto" w:before="0" w:after="0"/>
        <w:ind w:left="828" w:right="0" w:hanging="722"/>
        <w:jc w:val="both"/>
        <w:rPr>
          <w:b/>
          <w:bCs/>
          <w:sz w:val="22"/>
          <w:szCs w:val="22"/>
        </w:rPr>
      </w:pPr>
      <w:r>
        <w:rPr>
          <w:b/>
          <w:bCs/>
          <w:sz w:val="22"/>
          <w:szCs w:val="22"/>
        </w:rPr>
        <w:t>Ապահովագրական</w:t>
      </w:r>
      <w:r>
        <w:rPr>
          <w:b/>
          <w:bCs/>
          <w:spacing w:val="-10"/>
          <w:sz w:val="22"/>
          <w:szCs w:val="22"/>
        </w:rPr>
        <w:t> </w:t>
      </w:r>
      <w:r>
        <w:rPr>
          <w:b/>
          <w:bCs/>
          <w:sz w:val="22"/>
          <w:szCs w:val="22"/>
        </w:rPr>
        <w:t>գումար</w:t>
      </w:r>
      <w:r>
        <w:rPr>
          <w:b/>
          <w:bCs/>
          <w:spacing w:val="-8"/>
          <w:sz w:val="22"/>
          <w:szCs w:val="22"/>
        </w:rPr>
        <w:t> </w:t>
      </w:r>
      <w:r>
        <w:rPr>
          <w:b/>
          <w:bCs/>
          <w:sz w:val="22"/>
          <w:szCs w:val="22"/>
        </w:rPr>
        <w:t>և</w:t>
      </w:r>
      <w:r>
        <w:rPr>
          <w:b/>
          <w:bCs/>
          <w:spacing w:val="-9"/>
          <w:sz w:val="22"/>
          <w:szCs w:val="22"/>
        </w:rPr>
        <w:t> </w:t>
      </w:r>
      <w:r>
        <w:rPr>
          <w:b/>
          <w:bCs/>
          <w:sz w:val="22"/>
          <w:szCs w:val="22"/>
        </w:rPr>
        <w:t>չհատուցվող</w:t>
      </w:r>
      <w:r>
        <w:rPr>
          <w:b/>
          <w:bCs/>
          <w:spacing w:val="-8"/>
          <w:sz w:val="22"/>
          <w:szCs w:val="22"/>
        </w:rPr>
        <w:t> </w:t>
      </w:r>
      <w:r>
        <w:rPr>
          <w:b/>
          <w:bCs/>
          <w:spacing w:val="-2"/>
          <w:sz w:val="22"/>
          <w:szCs w:val="22"/>
        </w:rPr>
        <w:t>գումար</w:t>
      </w:r>
    </w:p>
    <w:p>
      <w:pPr>
        <w:pStyle w:val="BodyText"/>
        <w:spacing w:before="1"/>
        <w:jc w:val="left"/>
        <w:rPr>
          <w:b/>
        </w:rPr>
      </w:pPr>
    </w:p>
    <w:p>
      <w:pPr>
        <w:pStyle w:val="ListParagraph"/>
        <w:numPr>
          <w:ilvl w:val="2"/>
          <w:numId w:val="6"/>
        </w:numPr>
        <w:tabs>
          <w:tab w:pos="814" w:val="left" w:leader="none"/>
        </w:tabs>
        <w:spacing w:line="240" w:lineRule="auto" w:before="0" w:after="0"/>
        <w:ind w:left="108" w:right="166" w:hanging="1"/>
        <w:jc w:val="both"/>
        <w:rPr>
          <w:sz w:val="22"/>
          <w:szCs w:val="22"/>
        </w:rPr>
      </w:pPr>
      <w:r>
        <w:rPr>
          <w:sz w:val="22"/>
          <w:szCs w:val="22"/>
        </w:rPr>
        <w:t>Վարկառուի հետ կնքվող ապահովագրության Վկայագրով ապահովագրական գումարը սահմանվում է ՉԿԳ-ի</w:t>
      </w:r>
      <w:r>
        <w:rPr>
          <w:spacing w:val="40"/>
          <w:sz w:val="22"/>
          <w:szCs w:val="22"/>
        </w:rPr>
        <w:t> </w:t>
      </w:r>
      <w:r>
        <w:rPr>
          <w:sz w:val="22"/>
          <w:szCs w:val="22"/>
        </w:rPr>
        <w:t>(նվազման դեպքում՝ դրա մնացորդային գումարի) չափով:</w:t>
      </w:r>
    </w:p>
    <w:p>
      <w:pPr>
        <w:pStyle w:val="ListParagraph"/>
        <w:numPr>
          <w:ilvl w:val="2"/>
          <w:numId w:val="6"/>
        </w:numPr>
        <w:tabs>
          <w:tab w:pos="814" w:val="left" w:leader="none"/>
        </w:tabs>
        <w:spacing w:line="240" w:lineRule="auto" w:before="0" w:after="0"/>
        <w:ind w:left="106" w:right="168" w:firstLine="0"/>
        <w:jc w:val="both"/>
        <w:rPr>
          <w:sz w:val="22"/>
          <w:szCs w:val="22"/>
        </w:rPr>
      </w:pPr>
      <w:r>
        <w:rPr>
          <w:sz w:val="22"/>
          <w:szCs w:val="22"/>
        </w:rPr>
        <w:t>Կախված տրամադրված վարկի ժամկետից ու Վարկառուի կողմից վարկի մայր գումարի և տոկոսների պարբերական մարումների չափից` ապահովագրական գումարը և համապատասխան ապահովագրավճարը յուրաքանչյուր տարի Վարկառուի հետ կնքված նոր վկայագրում նվազեցվում են`</w:t>
      </w:r>
      <w:r>
        <w:rPr>
          <w:spacing w:val="-3"/>
          <w:sz w:val="22"/>
          <w:szCs w:val="22"/>
        </w:rPr>
        <w:t> </w:t>
      </w:r>
      <w:r>
        <w:rPr>
          <w:sz w:val="22"/>
          <w:szCs w:val="22"/>
        </w:rPr>
        <w:t>հիմք</w:t>
      </w:r>
      <w:r>
        <w:rPr>
          <w:spacing w:val="-3"/>
          <w:sz w:val="22"/>
          <w:szCs w:val="22"/>
        </w:rPr>
        <w:t> </w:t>
      </w:r>
      <w:r>
        <w:rPr>
          <w:sz w:val="22"/>
          <w:szCs w:val="22"/>
        </w:rPr>
        <w:t>ընդունելով</w:t>
      </w:r>
      <w:r>
        <w:rPr>
          <w:spacing w:val="-3"/>
          <w:sz w:val="22"/>
          <w:szCs w:val="22"/>
        </w:rPr>
        <w:t> </w:t>
      </w:r>
      <w:r>
        <w:rPr>
          <w:sz w:val="22"/>
          <w:szCs w:val="22"/>
        </w:rPr>
        <w:t>Վարկատուի</w:t>
      </w:r>
      <w:r>
        <w:rPr>
          <w:spacing w:val="-3"/>
          <w:sz w:val="22"/>
          <w:szCs w:val="22"/>
        </w:rPr>
        <w:t> </w:t>
      </w:r>
      <w:r>
        <w:rPr>
          <w:sz w:val="22"/>
          <w:szCs w:val="22"/>
        </w:rPr>
        <w:t>կողմից</w:t>
      </w:r>
      <w:r>
        <w:rPr>
          <w:spacing w:val="-3"/>
          <w:sz w:val="22"/>
          <w:szCs w:val="22"/>
        </w:rPr>
        <w:t> </w:t>
      </w:r>
      <w:r>
        <w:rPr>
          <w:sz w:val="22"/>
          <w:szCs w:val="22"/>
        </w:rPr>
        <w:t>տրամադրված</w:t>
      </w:r>
      <w:r>
        <w:rPr>
          <w:spacing w:val="-4"/>
          <w:sz w:val="22"/>
          <w:szCs w:val="22"/>
        </w:rPr>
        <w:t> </w:t>
      </w:r>
      <w:r>
        <w:rPr>
          <w:sz w:val="22"/>
          <w:szCs w:val="22"/>
        </w:rPr>
        <w:t>վարկի</w:t>
      </w:r>
      <w:r>
        <w:rPr>
          <w:spacing w:val="-3"/>
          <w:sz w:val="22"/>
          <w:szCs w:val="22"/>
        </w:rPr>
        <w:t> </w:t>
      </w:r>
      <w:r>
        <w:rPr>
          <w:sz w:val="22"/>
          <w:szCs w:val="22"/>
        </w:rPr>
        <w:t>մարման</w:t>
      </w:r>
      <w:r>
        <w:rPr>
          <w:spacing w:val="-4"/>
          <w:sz w:val="22"/>
          <w:szCs w:val="22"/>
        </w:rPr>
        <w:t> </w:t>
      </w:r>
      <w:r>
        <w:rPr>
          <w:sz w:val="22"/>
          <w:szCs w:val="22"/>
        </w:rPr>
        <w:t>ժամանակացույցի</w:t>
      </w:r>
      <w:r>
        <w:rPr>
          <w:spacing w:val="-3"/>
          <w:sz w:val="22"/>
          <w:szCs w:val="22"/>
        </w:rPr>
        <w:t> </w:t>
      </w:r>
      <w:r>
        <w:rPr>
          <w:sz w:val="22"/>
          <w:szCs w:val="22"/>
        </w:rPr>
        <w:t>և</w:t>
      </w:r>
      <w:r>
        <w:rPr>
          <w:spacing w:val="-3"/>
          <w:sz w:val="22"/>
          <w:szCs w:val="22"/>
        </w:rPr>
        <w:t> </w:t>
      </w:r>
      <w:r>
        <w:rPr>
          <w:sz w:val="22"/>
          <w:szCs w:val="22"/>
        </w:rPr>
        <w:t>վարկի փաստացի մնացորդի վերաբերյալ տեղեկանքը:</w:t>
      </w:r>
    </w:p>
    <w:p>
      <w:pPr>
        <w:pStyle w:val="ListParagraph"/>
        <w:numPr>
          <w:ilvl w:val="2"/>
          <w:numId w:val="6"/>
        </w:numPr>
        <w:tabs>
          <w:tab w:pos="813" w:val="left" w:leader="none"/>
        </w:tabs>
        <w:spacing w:line="240" w:lineRule="auto" w:before="2" w:after="0"/>
        <w:ind w:left="812" w:right="0" w:hanging="707"/>
        <w:jc w:val="both"/>
        <w:rPr>
          <w:sz w:val="22"/>
          <w:szCs w:val="22"/>
        </w:rPr>
      </w:pPr>
      <w:r>
        <w:rPr>
          <w:sz w:val="22"/>
          <w:szCs w:val="22"/>
        </w:rPr>
        <w:t>Եթե</w:t>
      </w:r>
      <w:r>
        <w:rPr>
          <w:spacing w:val="-4"/>
          <w:sz w:val="22"/>
          <w:szCs w:val="22"/>
        </w:rPr>
        <w:t> </w:t>
      </w:r>
      <w:r>
        <w:rPr>
          <w:sz w:val="22"/>
          <w:szCs w:val="22"/>
        </w:rPr>
        <w:t>Վկայագրով</w:t>
      </w:r>
      <w:r>
        <w:rPr>
          <w:spacing w:val="-4"/>
          <w:sz w:val="22"/>
          <w:szCs w:val="22"/>
        </w:rPr>
        <w:t> </w:t>
      </w:r>
      <w:r>
        <w:rPr>
          <w:sz w:val="22"/>
          <w:szCs w:val="22"/>
        </w:rPr>
        <w:t>այլ</w:t>
      </w:r>
      <w:r>
        <w:rPr>
          <w:spacing w:val="-7"/>
          <w:sz w:val="22"/>
          <w:szCs w:val="22"/>
        </w:rPr>
        <w:t> </w:t>
      </w:r>
      <w:r>
        <w:rPr>
          <w:sz w:val="22"/>
          <w:szCs w:val="22"/>
        </w:rPr>
        <w:t>բան</w:t>
      </w:r>
      <w:r>
        <w:rPr>
          <w:spacing w:val="-4"/>
          <w:sz w:val="22"/>
          <w:szCs w:val="22"/>
        </w:rPr>
        <w:t> </w:t>
      </w:r>
      <w:r>
        <w:rPr>
          <w:sz w:val="22"/>
          <w:szCs w:val="22"/>
        </w:rPr>
        <w:t>նախատեսված</w:t>
      </w:r>
      <w:r>
        <w:rPr>
          <w:spacing w:val="-5"/>
          <w:sz w:val="22"/>
          <w:szCs w:val="22"/>
        </w:rPr>
        <w:t> </w:t>
      </w:r>
      <w:r>
        <w:rPr>
          <w:sz w:val="22"/>
          <w:szCs w:val="22"/>
        </w:rPr>
        <w:t>չէ,</w:t>
      </w:r>
      <w:r>
        <w:rPr>
          <w:spacing w:val="-3"/>
          <w:sz w:val="22"/>
          <w:szCs w:val="22"/>
        </w:rPr>
        <w:t> </w:t>
      </w:r>
      <w:r>
        <w:rPr>
          <w:sz w:val="22"/>
          <w:szCs w:val="22"/>
        </w:rPr>
        <w:t>չհատուցվող</w:t>
      </w:r>
      <w:r>
        <w:rPr>
          <w:spacing w:val="-3"/>
          <w:sz w:val="22"/>
          <w:szCs w:val="22"/>
        </w:rPr>
        <w:t> </w:t>
      </w:r>
      <w:r>
        <w:rPr>
          <w:sz w:val="22"/>
          <w:szCs w:val="22"/>
        </w:rPr>
        <w:t>գումար</w:t>
      </w:r>
      <w:r>
        <w:rPr>
          <w:spacing w:val="-3"/>
          <w:sz w:val="22"/>
          <w:szCs w:val="22"/>
        </w:rPr>
        <w:t> </w:t>
      </w:r>
      <w:r>
        <w:rPr>
          <w:sz w:val="22"/>
          <w:szCs w:val="22"/>
        </w:rPr>
        <w:t>չի</w:t>
      </w:r>
      <w:r>
        <w:rPr>
          <w:spacing w:val="-3"/>
          <w:sz w:val="22"/>
          <w:szCs w:val="22"/>
        </w:rPr>
        <w:t> </w:t>
      </w:r>
      <w:r>
        <w:rPr>
          <w:spacing w:val="-2"/>
          <w:sz w:val="22"/>
          <w:szCs w:val="22"/>
        </w:rPr>
        <w:t>կիրառվում:</w:t>
      </w:r>
    </w:p>
    <w:p>
      <w:pPr>
        <w:pStyle w:val="BodyText"/>
        <w:jc w:val="left"/>
      </w:pPr>
    </w:p>
    <w:p>
      <w:pPr>
        <w:pStyle w:val="ListParagraph"/>
        <w:numPr>
          <w:ilvl w:val="1"/>
          <w:numId w:val="6"/>
        </w:numPr>
        <w:tabs>
          <w:tab w:pos="827" w:val="left" w:leader="none"/>
        </w:tabs>
        <w:spacing w:line="240" w:lineRule="auto" w:before="0" w:after="0"/>
        <w:ind w:left="826" w:right="0" w:hanging="721"/>
        <w:jc w:val="both"/>
        <w:rPr>
          <w:b/>
          <w:bCs/>
          <w:sz w:val="22"/>
          <w:szCs w:val="22"/>
        </w:rPr>
      </w:pPr>
      <w:r>
        <w:rPr>
          <w:b/>
          <w:bCs/>
          <w:sz w:val="22"/>
          <w:szCs w:val="22"/>
        </w:rPr>
        <w:t>Ապահովագրական</w:t>
      </w:r>
      <w:r>
        <w:rPr>
          <w:b/>
          <w:bCs/>
          <w:spacing w:val="-10"/>
          <w:sz w:val="22"/>
          <w:szCs w:val="22"/>
        </w:rPr>
        <w:t> </w:t>
      </w:r>
      <w:r>
        <w:rPr>
          <w:b/>
          <w:bCs/>
          <w:sz w:val="22"/>
          <w:szCs w:val="22"/>
        </w:rPr>
        <w:t>հատուցման</w:t>
      </w:r>
      <w:r>
        <w:rPr>
          <w:b/>
          <w:bCs/>
          <w:spacing w:val="-10"/>
          <w:sz w:val="22"/>
          <w:szCs w:val="22"/>
        </w:rPr>
        <w:t> </w:t>
      </w:r>
      <w:r>
        <w:rPr>
          <w:b/>
          <w:bCs/>
          <w:sz w:val="22"/>
          <w:szCs w:val="22"/>
        </w:rPr>
        <w:t>հաշվարկման</w:t>
      </w:r>
      <w:r>
        <w:rPr>
          <w:b/>
          <w:bCs/>
          <w:spacing w:val="-8"/>
          <w:sz w:val="22"/>
          <w:szCs w:val="22"/>
        </w:rPr>
        <w:t> </w:t>
      </w:r>
      <w:r>
        <w:rPr>
          <w:b/>
          <w:bCs/>
          <w:sz w:val="22"/>
          <w:szCs w:val="22"/>
        </w:rPr>
        <w:t>և</w:t>
      </w:r>
      <w:r>
        <w:rPr>
          <w:b/>
          <w:bCs/>
          <w:spacing w:val="-9"/>
          <w:sz w:val="22"/>
          <w:szCs w:val="22"/>
        </w:rPr>
        <w:t> </w:t>
      </w:r>
      <w:r>
        <w:rPr>
          <w:b/>
          <w:bCs/>
          <w:sz w:val="22"/>
          <w:szCs w:val="22"/>
        </w:rPr>
        <w:t>վճարման</w:t>
      </w:r>
      <w:r>
        <w:rPr>
          <w:b/>
          <w:bCs/>
          <w:spacing w:val="-10"/>
          <w:sz w:val="22"/>
          <w:szCs w:val="22"/>
        </w:rPr>
        <w:t> </w:t>
      </w:r>
      <w:r>
        <w:rPr>
          <w:b/>
          <w:bCs/>
          <w:spacing w:val="-2"/>
          <w:sz w:val="22"/>
          <w:szCs w:val="22"/>
        </w:rPr>
        <w:t>կարգը</w:t>
      </w:r>
    </w:p>
    <w:p>
      <w:pPr>
        <w:spacing w:after="0" w:line="240" w:lineRule="auto"/>
        <w:jc w:val="both"/>
        <w:rPr>
          <w:sz w:val="22"/>
          <w:szCs w:val="22"/>
        </w:rPr>
        <w:sectPr>
          <w:pgSz w:w="11910" w:h="16840"/>
          <w:pgMar w:header="0" w:footer="786" w:top="340" w:bottom="1040" w:left="600" w:right="820"/>
        </w:sectPr>
      </w:pPr>
    </w:p>
    <w:p>
      <w:pPr>
        <w:pStyle w:val="ListParagraph"/>
        <w:numPr>
          <w:ilvl w:val="2"/>
          <w:numId w:val="6"/>
        </w:numPr>
        <w:tabs>
          <w:tab w:pos="814" w:val="left" w:leader="none"/>
          <w:tab w:pos="1973" w:val="left" w:leader="none"/>
          <w:tab w:pos="3230" w:val="left" w:leader="none"/>
          <w:tab w:pos="4070" w:val="left" w:leader="none"/>
          <w:tab w:pos="5419" w:val="left" w:leader="none"/>
          <w:tab w:pos="7859" w:val="left" w:leader="none"/>
          <w:tab w:pos="9116" w:val="left" w:leader="none"/>
        </w:tabs>
        <w:spacing w:line="240" w:lineRule="auto" w:before="82" w:after="0"/>
        <w:ind w:left="107" w:right="166" w:firstLine="0"/>
        <w:jc w:val="both"/>
        <w:rPr>
          <w:sz w:val="22"/>
          <w:szCs w:val="22"/>
        </w:rPr>
      </w:pPr>
      <w:r>
        <w:rPr>
          <w:sz w:val="22"/>
          <w:szCs w:val="22"/>
        </w:rPr>
        <w:t>Ապահովագրական իրադարձություն է համարվում Վարկատուի կողմից Անշարժ գույքի բռնագանձման (իրացման) վերաբերյալ որոշման կայացումը կամ հարկադիր կատարման ծառայության կողմից Անշարժ գույքը հարկադիր էլեկտրոնային աճուրդով իրացնելու կամ ուղղակի վաճառքի վերաբերյալ որոշման կայացումը կամ ՀՀ օրենսդրությամբ նախատեսված այլ իրավասու մարմինների կողմից Անշարժ գույքի բռնագանձման (իրացման, վաճառքի) վերաբերյալ համապատասխան որոշման կայացումը: Անշարժ գույքի բռնագանձման (իրացման) մասին համապատասխան որոշումը կայացվելուց հետո Վարկատուն պարտավոր է այդ հանգամանքների մասին Պայմանագրում/Վկայագրում նշված էլ. փոստի միջոցով կամ Պայմանագրում/Վկայագրում նշված հեռախոսահամարներով 7 (յոթ) աշխատանքային օրվա ընթացքում տեղյակ պահել Ապահովագրողին, իսկ եթե Անշարժ գույքի իրացումն իրականացվում է դատական կարգով կամ ՀՀ օրենսդրությամբ նախատեսված իրավասու մարմինների կողմից Անշարժ գույքի բռնագանձման (իրացման, վաճառքի) վերաբերյալ համապատասխան որոշման հիման վրա, ապա նշված որոշումը </w:t>
      </w:r>
      <w:r>
        <w:rPr>
          <w:spacing w:val="-2"/>
          <w:sz w:val="22"/>
          <w:szCs w:val="22"/>
        </w:rPr>
        <w:t>ստանալուց</w:t>
      </w:r>
      <w:r>
        <w:rPr>
          <w:sz w:val="22"/>
          <w:szCs w:val="22"/>
        </w:rPr>
        <w:tab/>
      </w:r>
      <w:r>
        <w:rPr>
          <w:spacing w:val="-4"/>
          <w:sz w:val="22"/>
          <w:szCs w:val="22"/>
        </w:rPr>
        <w:t>հետո</w:t>
      </w:r>
      <w:r>
        <w:rPr>
          <w:sz w:val="22"/>
          <w:szCs w:val="22"/>
        </w:rPr>
        <w:tab/>
      </w:r>
      <w:r>
        <w:rPr>
          <w:spacing w:val="-10"/>
          <w:sz w:val="22"/>
          <w:szCs w:val="22"/>
        </w:rPr>
        <w:t>5</w:t>
      </w:r>
      <w:r>
        <w:rPr>
          <w:sz w:val="22"/>
          <w:szCs w:val="22"/>
        </w:rPr>
        <w:tab/>
      </w:r>
      <w:r>
        <w:rPr>
          <w:spacing w:val="-2"/>
          <w:sz w:val="22"/>
          <w:szCs w:val="22"/>
        </w:rPr>
        <w:t>(հինգ)</w:t>
      </w:r>
      <w:r>
        <w:rPr>
          <w:sz w:val="22"/>
          <w:szCs w:val="22"/>
        </w:rPr>
        <w:tab/>
      </w:r>
      <w:r>
        <w:rPr>
          <w:spacing w:val="-2"/>
          <w:sz w:val="22"/>
          <w:szCs w:val="22"/>
        </w:rPr>
        <w:t>աշխատանքային</w:t>
      </w:r>
      <w:r>
        <w:rPr>
          <w:sz w:val="22"/>
          <w:szCs w:val="22"/>
        </w:rPr>
        <w:tab/>
      </w:r>
      <w:r>
        <w:rPr>
          <w:spacing w:val="-4"/>
          <w:sz w:val="22"/>
          <w:szCs w:val="22"/>
        </w:rPr>
        <w:t>օրվա</w:t>
      </w:r>
      <w:r>
        <w:rPr>
          <w:sz w:val="22"/>
          <w:szCs w:val="22"/>
        </w:rPr>
        <w:tab/>
      </w:r>
      <w:r>
        <w:rPr>
          <w:spacing w:val="-2"/>
          <w:sz w:val="22"/>
          <w:szCs w:val="22"/>
        </w:rPr>
        <w:t>ընթացքում:</w:t>
      </w:r>
      <w:r>
        <w:rPr>
          <w:spacing w:val="-2"/>
          <w:sz w:val="22"/>
          <w:szCs w:val="22"/>
        </w:rPr>
        <w:t> </w:t>
      </w:r>
      <w:r>
        <w:rPr>
          <w:sz w:val="22"/>
          <w:szCs w:val="22"/>
        </w:rPr>
        <w:t>Վարկատուն պարտավոր է</w:t>
      </w:r>
      <w:r>
        <w:rPr>
          <w:spacing w:val="40"/>
          <w:sz w:val="22"/>
          <w:szCs w:val="22"/>
        </w:rPr>
        <w:t> </w:t>
      </w:r>
      <w:r>
        <w:rPr>
          <w:sz w:val="22"/>
          <w:szCs w:val="22"/>
        </w:rPr>
        <w:t>15 (տասնհինգ) աշխատանքային օրվա ընթացքում Ապահովագրողին տրամադրել բռնագանձման (իրացման) գործընթաց սկսելու մասին Վարկատուի կամ հարկադիր կատարման ծառայության կամ ՀՀ օրենսդրությամբ նախատեսված այլ իրավասու մարմինների կողմից Անշարժ գույքի բռնագանձման (իրացման, վաճառքի) վերաբերյալ համապատասխան որոշումը: Նշված ժամկետները խախտելու դեպքում Վարկատուն պարտավոր է բաց թողնված ժամկետը հարգելի համարելու համար ներկայացնել հիմնավոր և օբյեկտիվ պատճառներ (ապացույցներ),</w:t>
      </w:r>
      <w:r>
        <w:rPr>
          <w:spacing w:val="-1"/>
          <w:sz w:val="22"/>
          <w:szCs w:val="22"/>
        </w:rPr>
        <w:t> </w:t>
      </w:r>
      <w:r>
        <w:rPr>
          <w:sz w:val="22"/>
          <w:szCs w:val="22"/>
        </w:rPr>
        <w:t>իսկ այդպիսիք</w:t>
      </w:r>
      <w:r>
        <w:rPr>
          <w:spacing w:val="-2"/>
          <w:sz w:val="22"/>
          <w:szCs w:val="22"/>
        </w:rPr>
        <w:t> </w:t>
      </w:r>
      <w:r>
        <w:rPr>
          <w:sz w:val="22"/>
          <w:szCs w:val="22"/>
        </w:rPr>
        <w:t>չներկայացնելու դեպքում ապահովագրական հատուցումը</w:t>
      </w:r>
      <w:r>
        <w:rPr>
          <w:spacing w:val="-1"/>
          <w:sz w:val="22"/>
          <w:szCs w:val="22"/>
        </w:rPr>
        <w:t> </w:t>
      </w:r>
      <w:r>
        <w:rPr>
          <w:sz w:val="22"/>
          <w:szCs w:val="22"/>
        </w:rPr>
        <w:t>ենթակա է </w:t>
      </w:r>
      <w:r>
        <w:rPr>
          <w:spacing w:val="-2"/>
          <w:sz w:val="22"/>
          <w:szCs w:val="22"/>
        </w:rPr>
        <w:t>մերժման:</w:t>
      </w:r>
    </w:p>
    <w:p>
      <w:pPr>
        <w:pStyle w:val="ListParagraph"/>
        <w:numPr>
          <w:ilvl w:val="2"/>
          <w:numId w:val="6"/>
        </w:numPr>
        <w:tabs>
          <w:tab w:pos="814" w:val="left" w:leader="none"/>
        </w:tabs>
        <w:spacing w:line="240" w:lineRule="auto" w:before="1" w:after="0"/>
        <w:ind w:left="106" w:right="166" w:firstLine="1"/>
        <w:jc w:val="both"/>
        <w:rPr>
          <w:sz w:val="22"/>
          <w:szCs w:val="22"/>
        </w:rPr>
      </w:pPr>
      <w:r>
        <w:rPr>
          <w:sz w:val="22"/>
          <w:szCs w:val="22"/>
        </w:rPr>
        <w:t>Անշարժ գույքի վրա բռնագանձում տարածելու դեպքում Վարկատուն պարտավոր է, անկախ իրացման եղանակներից, իրացման, այդ թվում` դրա արդյունքների մասին 10 (տասը) աշխատանքային օրվա ընթացքում Պայմանագրում/</w:t>
      </w:r>
      <w:hyperlink r:id="rId7">
        <w:r>
          <w:rPr>
            <w:sz w:val="22"/>
            <w:szCs w:val="22"/>
          </w:rPr>
          <w:t>Վկայագրում</w:t>
        </w:r>
      </w:hyperlink>
      <w:r>
        <w:rPr>
          <w:sz w:val="22"/>
          <w:szCs w:val="22"/>
        </w:rPr>
        <w:t> նշված</w:t>
      </w:r>
      <w:r>
        <w:rPr>
          <w:spacing w:val="40"/>
          <w:sz w:val="22"/>
          <w:szCs w:val="22"/>
        </w:rPr>
        <w:t> </w:t>
      </w:r>
      <w:r>
        <w:rPr>
          <w:sz w:val="22"/>
          <w:szCs w:val="22"/>
        </w:rPr>
        <w:t>էլ. փոստի միջոցով կամ հեռախոսահամարներով տեղյակ պահել Ապահովագրողին՝ տրամադրելով Պայմանների 6.4.9 կետում նշված փաստաթղթերը: Նշված ժամկետը խախտելու դեպքում Վարկատուն պարտավոր է բաց թողնված ժամկետը հարգելի համարելու համար ներկայացնել հիմնավոր և օբյեկտիվ պատճառներ (ապացույցներ), իսկ այդպիսիք չներկայացնելու դեպքում ապահովագրական հատուցումը ենթակա է մերժման:</w:t>
      </w:r>
    </w:p>
    <w:p>
      <w:pPr>
        <w:pStyle w:val="ListParagraph"/>
        <w:numPr>
          <w:ilvl w:val="2"/>
          <w:numId w:val="6"/>
        </w:numPr>
        <w:tabs>
          <w:tab w:pos="813" w:val="left" w:leader="none"/>
        </w:tabs>
        <w:spacing w:line="240" w:lineRule="auto" w:before="0" w:after="0"/>
        <w:ind w:left="107" w:right="170" w:firstLine="0"/>
        <w:jc w:val="both"/>
        <w:rPr>
          <w:sz w:val="22"/>
          <w:szCs w:val="22"/>
        </w:rPr>
      </w:pPr>
      <w:r>
        <w:rPr>
          <w:sz w:val="22"/>
          <w:szCs w:val="22"/>
        </w:rPr>
        <w:t>Անշարժ գույքի վրա բռնագանձում տարածելու (իրացնելու) գործընթացը Վարկատուի կողմից պետք է իրականացվի ՀՀ օրենսդրության, Պայմանների, Վկայագրի/Պայմանագրի, Անշարժ գույքի գրավի և վարկային պայմանագրերի պահանջներին համապատասխան:</w:t>
      </w:r>
    </w:p>
    <w:p>
      <w:pPr>
        <w:pStyle w:val="ListParagraph"/>
        <w:numPr>
          <w:ilvl w:val="2"/>
          <w:numId w:val="6"/>
        </w:numPr>
        <w:tabs>
          <w:tab w:pos="813" w:val="left" w:leader="none"/>
        </w:tabs>
        <w:spacing w:line="240" w:lineRule="auto" w:before="0" w:after="0"/>
        <w:ind w:left="106" w:right="167" w:firstLine="0"/>
        <w:jc w:val="both"/>
        <w:rPr>
          <w:sz w:val="22"/>
          <w:szCs w:val="22"/>
        </w:rPr>
      </w:pPr>
      <w:r>
        <w:rPr>
          <w:sz w:val="22"/>
          <w:szCs w:val="22"/>
        </w:rPr>
        <w:t>Եթե</w:t>
      </w:r>
      <w:r>
        <w:rPr>
          <w:spacing w:val="-3"/>
          <w:sz w:val="22"/>
          <w:szCs w:val="22"/>
        </w:rPr>
        <w:t> </w:t>
      </w:r>
      <w:r>
        <w:rPr>
          <w:sz w:val="22"/>
          <w:szCs w:val="22"/>
        </w:rPr>
        <w:t>Անշարժ</w:t>
      </w:r>
      <w:r>
        <w:rPr>
          <w:spacing w:val="-2"/>
          <w:sz w:val="22"/>
          <w:szCs w:val="22"/>
        </w:rPr>
        <w:t> </w:t>
      </w:r>
      <w:r>
        <w:rPr>
          <w:sz w:val="22"/>
          <w:szCs w:val="22"/>
        </w:rPr>
        <w:t>գույքի</w:t>
      </w:r>
      <w:r>
        <w:rPr>
          <w:spacing w:val="-1"/>
          <w:sz w:val="22"/>
          <w:szCs w:val="22"/>
        </w:rPr>
        <w:t> </w:t>
      </w:r>
      <w:r>
        <w:rPr>
          <w:sz w:val="22"/>
          <w:szCs w:val="22"/>
        </w:rPr>
        <w:t>վրա</w:t>
      </w:r>
      <w:r>
        <w:rPr>
          <w:spacing w:val="-1"/>
          <w:sz w:val="22"/>
          <w:szCs w:val="22"/>
        </w:rPr>
        <w:t> </w:t>
      </w:r>
      <w:r>
        <w:rPr>
          <w:sz w:val="22"/>
          <w:szCs w:val="22"/>
        </w:rPr>
        <w:t>բռնագանձում</w:t>
      </w:r>
      <w:r>
        <w:rPr>
          <w:spacing w:val="-3"/>
          <w:sz w:val="22"/>
          <w:szCs w:val="22"/>
        </w:rPr>
        <w:t> </w:t>
      </w:r>
      <w:r>
        <w:rPr>
          <w:sz w:val="22"/>
          <w:szCs w:val="22"/>
        </w:rPr>
        <w:t>տարածելու</w:t>
      </w:r>
      <w:r>
        <w:rPr>
          <w:spacing w:val="-1"/>
          <w:sz w:val="22"/>
          <w:szCs w:val="22"/>
        </w:rPr>
        <w:t> </w:t>
      </w:r>
      <w:r>
        <w:rPr>
          <w:sz w:val="22"/>
          <w:szCs w:val="22"/>
        </w:rPr>
        <w:t>(իրացնելու)</w:t>
      </w:r>
      <w:r>
        <w:rPr>
          <w:spacing w:val="-1"/>
          <w:sz w:val="22"/>
          <w:szCs w:val="22"/>
        </w:rPr>
        <w:t> </w:t>
      </w:r>
      <w:r>
        <w:rPr>
          <w:sz w:val="22"/>
          <w:szCs w:val="22"/>
        </w:rPr>
        <w:t>գործընթացն</w:t>
      </w:r>
      <w:r>
        <w:rPr>
          <w:spacing w:val="-1"/>
          <w:sz w:val="22"/>
          <w:szCs w:val="22"/>
        </w:rPr>
        <w:t> </w:t>
      </w:r>
      <w:r>
        <w:rPr>
          <w:sz w:val="22"/>
          <w:szCs w:val="22"/>
        </w:rPr>
        <w:t>իրականացվել</w:t>
      </w:r>
      <w:r>
        <w:rPr>
          <w:spacing w:val="-3"/>
          <w:sz w:val="22"/>
          <w:szCs w:val="22"/>
        </w:rPr>
        <w:t> </w:t>
      </w:r>
      <w:r>
        <w:rPr>
          <w:sz w:val="22"/>
          <w:szCs w:val="22"/>
        </w:rPr>
        <w:t>է ՀՀ օրենսդրության, Պայմանների, Վկայագրի/Պայմանագրի, Անշարժ գույքի գրավի և վարկային պայմանագրերի պահանջների խախտմամբ (այդ թվում՝ գործընթացին մասնակից Վարկատուից տարբերվող այլ իրավասու մարմինների կամ անձանց կողմից) (ինչը կարող է հաստատվել միայն դատարանի օրինական ուժի մեջ մտած վերջնական դատական ակտով), որի արդյունքում Վարկատուի նկատմամբ Վարկառուի վարկային պարտավորությունները մնացել են չբավարարված կամ մասնակի բավարարված, ապա Ապահովագրողը ազատվում է ապահովագրական հատուցում վճարելու պարտավորությունից, իսկ եթե Ապահովագրողն արդեն իսկ վճարել է ապահովագրական հատուցումը, ապա Վարկատուն և Վարկառուն` որպես համապարտ պարտապաններ, պարտավոր են ամբողջությամբ վերադարձնել Ապահովագրողի կողմից հատուցված ապահովագրական</w:t>
      </w:r>
      <w:r>
        <w:rPr>
          <w:spacing w:val="40"/>
          <w:sz w:val="22"/>
          <w:szCs w:val="22"/>
        </w:rPr>
        <w:t> </w:t>
      </w:r>
      <w:r>
        <w:rPr>
          <w:spacing w:val="-2"/>
          <w:sz w:val="22"/>
          <w:szCs w:val="22"/>
        </w:rPr>
        <w:t>գումարը:</w:t>
      </w:r>
    </w:p>
    <w:p>
      <w:pPr>
        <w:pStyle w:val="ListParagraph"/>
        <w:numPr>
          <w:ilvl w:val="2"/>
          <w:numId w:val="6"/>
        </w:numPr>
        <w:tabs>
          <w:tab w:pos="814" w:val="left" w:leader="none"/>
        </w:tabs>
        <w:spacing w:line="240" w:lineRule="auto" w:before="0" w:after="0"/>
        <w:ind w:left="107" w:right="167" w:firstLine="0"/>
        <w:jc w:val="both"/>
        <w:rPr>
          <w:sz w:val="22"/>
          <w:szCs w:val="22"/>
        </w:rPr>
      </w:pPr>
      <w:r>
        <w:rPr>
          <w:sz w:val="22"/>
          <w:szCs w:val="22"/>
        </w:rPr>
        <w:t>Ապահովագրական հատուցում վճարելու համար վնասի հաշվարկն իրականացվում է</w:t>
      </w:r>
      <w:r>
        <w:rPr>
          <w:spacing w:val="80"/>
          <w:sz w:val="22"/>
          <w:szCs w:val="22"/>
        </w:rPr>
        <w:t> </w:t>
      </w:r>
      <w:r>
        <w:rPr>
          <w:sz w:val="22"/>
          <w:szCs w:val="22"/>
        </w:rPr>
        <w:t>հետևյալ բանաձևով՝</w:t>
      </w:r>
    </w:p>
    <w:p>
      <w:pPr>
        <w:pStyle w:val="BodyText"/>
        <w:tabs>
          <w:tab w:pos="1434" w:val="left" w:leader="none"/>
        </w:tabs>
        <w:ind w:left="249"/>
      </w:pPr>
      <w:r>
        <w:rPr>
          <w:b/>
          <w:bCs/>
          <w:spacing w:val="-5"/>
        </w:rPr>
        <w:t>Եթե</w:t>
      </w:r>
      <w:r>
        <w:rPr>
          <w:b/>
          <w:bCs/>
        </w:rPr>
        <w:tab/>
      </w:r>
      <w:r>
        <w:rPr/>
        <w:t>I</w:t>
      </w:r>
      <w:r>
        <w:rPr>
          <w:spacing w:val="-5"/>
        </w:rPr>
        <w:t> </w:t>
      </w:r>
      <w:r>
        <w:rPr/>
        <w:t>≥</w:t>
      </w:r>
      <w:r>
        <w:rPr>
          <w:spacing w:val="-1"/>
        </w:rPr>
        <w:t> </w:t>
      </w:r>
      <w:r>
        <w:rPr/>
        <w:t>Sm,</w:t>
      </w:r>
      <w:r>
        <w:rPr>
          <w:spacing w:val="-2"/>
        </w:rPr>
        <w:t> </w:t>
      </w:r>
      <w:r>
        <w:rPr/>
        <w:t>ապա</w:t>
      </w:r>
      <w:r>
        <w:rPr>
          <w:spacing w:val="-1"/>
        </w:rPr>
        <w:t> </w:t>
      </w:r>
      <w:r>
        <w:rPr>
          <w:spacing w:val="-4"/>
        </w:rPr>
        <w:t>C=0,</w:t>
      </w:r>
    </w:p>
    <w:p>
      <w:pPr>
        <w:pStyle w:val="BodyText"/>
        <w:spacing w:before="13"/>
        <w:jc w:val="left"/>
        <w:rPr>
          <w:sz w:val="21"/>
        </w:rPr>
      </w:pPr>
    </w:p>
    <w:p>
      <w:pPr>
        <w:pStyle w:val="BodyText"/>
        <w:tabs>
          <w:tab w:pos="1433" w:val="left" w:leader="none"/>
        </w:tabs>
        <w:ind w:left="249"/>
      </w:pPr>
      <w:r>
        <w:rPr>
          <w:b/>
          <w:bCs/>
          <w:spacing w:val="-5"/>
        </w:rPr>
        <w:t>Եթե</w:t>
      </w:r>
      <w:r>
        <w:rPr>
          <w:b/>
          <w:bCs/>
        </w:rPr>
        <w:tab/>
      </w:r>
      <w:r>
        <w:rPr/>
        <w:t>I&lt;Sm,</w:t>
      </w:r>
      <w:r>
        <w:rPr>
          <w:spacing w:val="-7"/>
        </w:rPr>
        <w:t> </w:t>
      </w:r>
      <w:r>
        <w:rPr/>
        <w:t>ապա</w:t>
      </w:r>
      <w:r>
        <w:rPr>
          <w:spacing w:val="-4"/>
        </w:rPr>
        <w:t> </w:t>
      </w:r>
      <w:r>
        <w:rPr/>
        <w:t>C=S,</w:t>
      </w:r>
      <w:r>
        <w:rPr>
          <w:spacing w:val="-1"/>
        </w:rPr>
        <w:t> </w:t>
      </w:r>
      <w:r>
        <w:rPr>
          <w:spacing w:val="-2"/>
        </w:rPr>
        <w:t>որտեղ՝</w:t>
      </w:r>
    </w:p>
    <w:p>
      <w:pPr>
        <w:pStyle w:val="BodyText"/>
        <w:jc w:val="left"/>
      </w:pPr>
    </w:p>
    <w:p>
      <w:pPr>
        <w:pStyle w:val="BodyText"/>
        <w:ind w:left="249"/>
        <w:jc w:val="left"/>
      </w:pPr>
      <w:r>
        <w:rPr/>
        <w:t>(Sm)-</w:t>
      </w:r>
      <w:r>
        <w:rPr>
          <w:spacing w:val="-8"/>
        </w:rPr>
        <w:t> </w:t>
      </w:r>
      <w:r>
        <w:rPr/>
        <w:t>Վարկի</w:t>
      </w:r>
      <w:r>
        <w:rPr>
          <w:spacing w:val="-4"/>
        </w:rPr>
        <w:t> </w:t>
      </w:r>
      <w:r>
        <w:rPr/>
        <w:t>մայր</w:t>
      </w:r>
      <w:r>
        <w:rPr>
          <w:spacing w:val="-5"/>
        </w:rPr>
        <w:t> </w:t>
      </w:r>
      <w:r>
        <w:rPr/>
        <w:t>գումարի</w:t>
      </w:r>
      <w:r>
        <w:rPr>
          <w:spacing w:val="-5"/>
        </w:rPr>
        <w:t> </w:t>
      </w:r>
      <w:r>
        <w:rPr/>
        <w:t>մնացորդային</w:t>
      </w:r>
      <w:r>
        <w:rPr>
          <w:spacing w:val="-5"/>
        </w:rPr>
        <w:t> </w:t>
      </w:r>
      <w:r>
        <w:rPr/>
        <w:t>արժեքն</w:t>
      </w:r>
      <w:r>
        <w:rPr>
          <w:spacing w:val="-5"/>
        </w:rPr>
        <w:t> է,</w:t>
      </w:r>
    </w:p>
    <w:p>
      <w:pPr>
        <w:spacing w:after="0"/>
        <w:jc w:val="left"/>
        <w:sectPr>
          <w:pgSz w:w="11910" w:h="16840"/>
          <w:pgMar w:header="0" w:footer="786" w:top="640" w:bottom="1040" w:left="600" w:right="820"/>
        </w:sectPr>
      </w:pPr>
    </w:p>
    <w:p>
      <w:pPr>
        <w:pStyle w:val="BodyText"/>
        <w:spacing w:before="82"/>
        <w:ind w:left="249" w:hanging="1"/>
        <w:jc w:val="left"/>
      </w:pPr>
      <w:r>
        <w:rPr/>
        <w:t>(S)-</w:t>
      </w:r>
      <w:r>
        <w:rPr>
          <w:spacing w:val="40"/>
        </w:rPr>
        <w:t> </w:t>
      </w:r>
      <w:r>
        <w:rPr/>
        <w:t>ապահովագրական</w:t>
      </w:r>
      <w:r>
        <w:rPr>
          <w:spacing w:val="37"/>
        </w:rPr>
        <w:t> </w:t>
      </w:r>
      <w:r>
        <w:rPr/>
        <w:t>իրադարձությունը</w:t>
      </w:r>
      <w:r>
        <w:rPr>
          <w:spacing w:val="40"/>
        </w:rPr>
        <w:t> </w:t>
      </w:r>
      <w:r>
        <w:rPr/>
        <w:t>տեղի</w:t>
      </w:r>
      <w:r>
        <w:rPr>
          <w:spacing w:val="40"/>
        </w:rPr>
        <w:t> </w:t>
      </w:r>
      <w:r>
        <w:rPr/>
        <w:t>ունենալու</w:t>
      </w:r>
      <w:r>
        <w:rPr>
          <w:spacing w:val="40"/>
        </w:rPr>
        <w:t> </w:t>
      </w:r>
      <w:r>
        <w:rPr/>
        <w:t>օրվա</w:t>
      </w:r>
      <w:r>
        <w:rPr>
          <w:spacing w:val="40"/>
        </w:rPr>
        <w:t> </w:t>
      </w:r>
      <w:r>
        <w:rPr/>
        <w:t>դրությամբ</w:t>
      </w:r>
      <w:r>
        <w:rPr>
          <w:spacing w:val="40"/>
        </w:rPr>
        <w:t> </w:t>
      </w:r>
      <w:r>
        <w:rPr/>
        <w:t>ՉԿԳ-ի</w:t>
      </w:r>
      <w:r>
        <w:rPr>
          <w:spacing w:val="40"/>
        </w:rPr>
        <w:t> </w:t>
      </w:r>
      <w:r>
        <w:rPr/>
        <w:t>գծով</w:t>
      </w:r>
      <w:r>
        <w:rPr>
          <w:spacing w:val="40"/>
        </w:rPr>
        <w:t> </w:t>
      </w:r>
      <w:r>
        <w:rPr/>
        <w:t>վարկի մայր գումարի փաստացի մնացորդն է,</w:t>
      </w:r>
    </w:p>
    <w:p>
      <w:pPr>
        <w:pStyle w:val="BodyText"/>
        <w:spacing w:before="13"/>
        <w:jc w:val="left"/>
        <w:rPr>
          <w:sz w:val="21"/>
        </w:rPr>
      </w:pPr>
    </w:p>
    <w:p>
      <w:pPr>
        <w:pStyle w:val="BodyText"/>
        <w:ind w:left="249" w:right="1628"/>
        <w:jc w:val="left"/>
      </w:pPr>
      <w:r>
        <w:rPr/>
        <w:t>(I)</w:t>
      </w:r>
      <w:r>
        <w:rPr>
          <w:b/>
          <w:bCs/>
        </w:rPr>
        <w:t>-</w:t>
      </w:r>
      <w:r>
        <w:rPr/>
        <w:t>գույքի</w:t>
      </w:r>
      <w:r>
        <w:rPr>
          <w:spacing w:val="-6"/>
        </w:rPr>
        <w:t> </w:t>
      </w:r>
      <w:r>
        <w:rPr/>
        <w:t>իրացումից</w:t>
      </w:r>
      <w:r>
        <w:rPr>
          <w:spacing w:val="-4"/>
        </w:rPr>
        <w:t> </w:t>
      </w:r>
      <w:r>
        <w:rPr/>
        <w:t>ստացված</w:t>
      </w:r>
      <w:r>
        <w:rPr>
          <w:spacing w:val="-4"/>
        </w:rPr>
        <w:t> </w:t>
      </w:r>
      <w:r>
        <w:rPr/>
        <w:t>հասույթն</w:t>
      </w:r>
      <w:r>
        <w:rPr>
          <w:spacing w:val="-4"/>
        </w:rPr>
        <w:t> </w:t>
      </w:r>
      <w:r>
        <w:rPr/>
        <w:t>է՝</w:t>
      </w:r>
      <w:r>
        <w:rPr>
          <w:spacing w:val="-3"/>
        </w:rPr>
        <w:t> </w:t>
      </w:r>
      <w:r>
        <w:rPr/>
        <w:t>առանց</w:t>
      </w:r>
      <w:r>
        <w:rPr>
          <w:spacing w:val="-4"/>
        </w:rPr>
        <w:t> </w:t>
      </w:r>
      <w:r>
        <w:rPr/>
        <w:t>իրացման</w:t>
      </w:r>
      <w:r>
        <w:rPr>
          <w:spacing w:val="-4"/>
        </w:rPr>
        <w:t> </w:t>
      </w:r>
      <w:r>
        <w:rPr/>
        <w:t>ծախսերի</w:t>
      </w:r>
      <w:r>
        <w:rPr>
          <w:spacing w:val="-3"/>
        </w:rPr>
        <w:t> </w:t>
      </w:r>
      <w:r>
        <w:rPr/>
        <w:t>նվազեցման, (C)-ապահովագրական հատուցման գումարն է:</w:t>
      </w:r>
    </w:p>
    <w:p>
      <w:pPr>
        <w:pStyle w:val="BodyText"/>
        <w:jc w:val="left"/>
      </w:pPr>
    </w:p>
    <w:p>
      <w:pPr>
        <w:pStyle w:val="ListParagraph"/>
        <w:numPr>
          <w:ilvl w:val="2"/>
          <w:numId w:val="6"/>
        </w:numPr>
        <w:tabs>
          <w:tab w:pos="815" w:val="left" w:leader="none"/>
        </w:tabs>
        <w:spacing w:line="240" w:lineRule="auto" w:before="0" w:after="0"/>
        <w:ind w:left="108" w:right="165" w:firstLine="0"/>
        <w:jc w:val="both"/>
        <w:rPr>
          <w:sz w:val="22"/>
          <w:szCs w:val="22"/>
        </w:rPr>
      </w:pPr>
      <w:r>
        <w:rPr>
          <w:sz w:val="22"/>
          <w:szCs w:val="22"/>
        </w:rPr>
        <w:t>Անշարժ գույքի իրացման արդյունքում Պայմանների 6.2.1. կետում նշված Պատահարն առաջանալու դեպքում Վարկատուն պարտավոր է</w:t>
      </w:r>
      <w:r>
        <w:rPr>
          <w:spacing w:val="40"/>
          <w:sz w:val="22"/>
          <w:szCs w:val="22"/>
        </w:rPr>
        <w:t> </w:t>
      </w:r>
      <w:r>
        <w:rPr>
          <w:sz w:val="22"/>
          <w:szCs w:val="22"/>
        </w:rPr>
        <w:t>7 (յոթ) աշխատանքային օրվա ընթացքում Ապահովագրողին ներկայացնել հայցային դիմում և ապահովագրական հատուցման համար սույն Պայմանների 6.4.9. կետում նշված փաստաթղթերը: Նշված ժամկետի սկիզբը հաշվարկվում է Անշարժ գույքի իրացման պահից: Ապահովագրական</w:t>
      </w:r>
      <w:r>
        <w:rPr>
          <w:spacing w:val="40"/>
          <w:sz w:val="22"/>
          <w:szCs w:val="22"/>
        </w:rPr>
        <w:t> </w:t>
      </w:r>
      <w:r>
        <w:rPr>
          <w:sz w:val="22"/>
          <w:szCs w:val="22"/>
        </w:rPr>
        <w:t>հատուցումը վճարվում է Վարկատուի կողմից նշված հաշվին` փոխանցումով:</w:t>
      </w:r>
    </w:p>
    <w:p>
      <w:pPr>
        <w:pStyle w:val="ListParagraph"/>
        <w:numPr>
          <w:ilvl w:val="2"/>
          <w:numId w:val="6"/>
        </w:numPr>
        <w:tabs>
          <w:tab w:pos="815" w:val="left" w:leader="none"/>
        </w:tabs>
        <w:spacing w:line="240" w:lineRule="auto" w:before="0" w:after="0"/>
        <w:ind w:left="108" w:right="165" w:hanging="1"/>
        <w:jc w:val="both"/>
        <w:rPr>
          <w:sz w:val="22"/>
          <w:szCs w:val="22"/>
        </w:rPr>
      </w:pPr>
      <w:r>
        <w:rPr>
          <w:sz w:val="22"/>
          <w:szCs w:val="22"/>
        </w:rPr>
        <w:t>Սույն Պայմաններով նշված բոլոր անհրաժեշտ փաստաթղթերը ստանալուց հետո 15 (տասնհինգ) աշխատանքային օրվա ընթացքում Ապահովագրողն ընդունում է որոշում ապահովագրական հատուցումը վճարելու կամ ապահովագրական հատուցման վճարումը մերժելու կամ նվազեցնելու</w:t>
      </w:r>
      <w:r>
        <w:rPr>
          <w:spacing w:val="40"/>
          <w:sz w:val="22"/>
          <w:szCs w:val="22"/>
        </w:rPr>
        <w:t> </w:t>
      </w:r>
      <w:r>
        <w:rPr>
          <w:sz w:val="22"/>
          <w:szCs w:val="22"/>
        </w:rPr>
        <w:t>մասին: Համապատասխան որոշումը, այն կայացվելուց հետո հնգօրյա ժամկետում, Ապահովագրողը փոստային ծառայության միջոցով առաքում է Վարկառուին` նրա մշտական</w:t>
      </w:r>
      <w:r>
        <w:rPr>
          <w:spacing w:val="40"/>
          <w:sz w:val="22"/>
          <w:szCs w:val="22"/>
        </w:rPr>
        <w:t> </w:t>
      </w:r>
      <w:r>
        <w:rPr>
          <w:sz w:val="22"/>
          <w:szCs w:val="22"/>
        </w:rPr>
        <w:t>բնակության հասցեով, և Վարկատուին` նրա գործունեության հասցեով:</w:t>
      </w:r>
    </w:p>
    <w:p>
      <w:pPr>
        <w:pStyle w:val="ListParagraph"/>
        <w:numPr>
          <w:ilvl w:val="2"/>
          <w:numId w:val="6"/>
        </w:numPr>
        <w:tabs>
          <w:tab w:pos="815" w:val="left" w:leader="none"/>
        </w:tabs>
        <w:spacing w:line="240" w:lineRule="auto" w:before="2" w:after="0"/>
        <w:ind w:left="108" w:right="168" w:firstLine="0"/>
        <w:jc w:val="both"/>
        <w:rPr>
          <w:sz w:val="22"/>
          <w:szCs w:val="22"/>
        </w:rPr>
      </w:pPr>
      <w:r>
        <w:rPr>
          <w:sz w:val="22"/>
          <w:szCs w:val="22"/>
        </w:rPr>
        <w:t>Ապահովագրական հատուցումը վճարելու մասին որոշումը կայացնելուց հետո 15 (տասնհինգ) աշխատանքային օրվա ընթացքում Ապահովագրողը Վարկատուին միանվագ վճարում է</w:t>
      </w:r>
      <w:r>
        <w:rPr>
          <w:spacing w:val="40"/>
          <w:sz w:val="22"/>
          <w:szCs w:val="22"/>
        </w:rPr>
        <w:t> </w:t>
      </w:r>
      <w:r>
        <w:rPr>
          <w:spacing w:val="-2"/>
          <w:sz w:val="22"/>
          <w:szCs w:val="22"/>
        </w:rPr>
        <w:t>հատուցումը:</w:t>
      </w:r>
    </w:p>
    <w:p>
      <w:pPr>
        <w:pStyle w:val="ListParagraph"/>
        <w:numPr>
          <w:ilvl w:val="2"/>
          <w:numId w:val="6"/>
        </w:numPr>
        <w:tabs>
          <w:tab w:pos="815" w:val="left" w:leader="none"/>
        </w:tabs>
        <w:spacing w:line="240" w:lineRule="auto" w:before="0" w:after="0"/>
        <w:ind w:left="108" w:right="165" w:hanging="1"/>
        <w:jc w:val="both"/>
        <w:rPr>
          <w:sz w:val="22"/>
          <w:szCs w:val="22"/>
        </w:rPr>
      </w:pPr>
      <w:r>
        <w:rPr>
          <w:sz w:val="22"/>
          <w:szCs w:val="22"/>
        </w:rPr>
        <w:t>Պայմանների 6.4.2 և 6.4.6. կետերում նշված անհրաժեշտ փաստաթղթերին են վերաբերվում ապահովագրության վկայագիրը, գրավադրված Անշարժ գույքի առուվաճառքի պայմանագիրը, սեփականության վկայականը, աճուրդի արձանագրության պատճենը, Վարկատուի որոշումները՝ կապված գույքի իրացման հետ, չվճարված Կանխավճարի կամ դրա մասի չափի վերաբերյալ տեղեկանքը, ինչպես նաև Ապահովագրողի պահանջով գույքի իրացման հետ կապված և ապահովագրական հատուցման համար անհրաժեշտ Վարկատուին հասանելի ցանկացած այլ </w:t>
      </w:r>
      <w:r>
        <w:rPr>
          <w:spacing w:val="-2"/>
          <w:sz w:val="22"/>
          <w:szCs w:val="22"/>
        </w:rPr>
        <w:t>փաստաթուղթ:</w:t>
      </w:r>
    </w:p>
    <w:p>
      <w:pPr>
        <w:pStyle w:val="ListParagraph"/>
        <w:numPr>
          <w:ilvl w:val="2"/>
          <w:numId w:val="6"/>
        </w:numPr>
        <w:tabs>
          <w:tab w:pos="815" w:val="left" w:leader="none"/>
        </w:tabs>
        <w:spacing w:line="240" w:lineRule="auto" w:before="0" w:after="0"/>
        <w:ind w:left="108" w:right="166" w:firstLine="0"/>
        <w:jc w:val="both"/>
        <w:rPr>
          <w:sz w:val="22"/>
          <w:szCs w:val="22"/>
        </w:rPr>
      </w:pPr>
      <w:r>
        <w:rPr>
          <w:sz w:val="22"/>
          <w:szCs w:val="22"/>
        </w:rPr>
        <w:t>Եթե Վարկառուն խախտում է իր ֆինանսական պարտավորությունները, և ի հայտ է եկել Պայմանների 6.4.1 կետում նշված ապահովագրական իրադարձությունը, հետևաբար առկա է ապահովագրական պատահարի նախադրյալներ ունեցող իրավիճակ, ապա Ապահովագրողը, կողմերի փոխադարձ համաձայնությամբ, կարող է Վարկատուին տրամադրել ապահովագրական հատուցման կանխավճար՝ C=S գումարի սահմաններում, որը սառեցվում է Վարկատուի կողմից մինչև ապահովագրական պատահարի ի հայտ գալու հանգամանքի հաստատումը: Հետագայում, ապահովագրական հատուցման գործընթացը կարգավորելիս կողմերը կատարում են վերջնահաշվարկ, հաշվի առնելով Վարկատուին տրված հատուցման կանխավճարը:</w:t>
      </w:r>
    </w:p>
    <w:p>
      <w:pPr>
        <w:pStyle w:val="ListParagraph"/>
        <w:numPr>
          <w:ilvl w:val="2"/>
          <w:numId w:val="6"/>
        </w:numPr>
        <w:tabs>
          <w:tab w:pos="816" w:val="left" w:leader="none"/>
        </w:tabs>
        <w:spacing w:line="240" w:lineRule="auto" w:before="0" w:after="0"/>
        <w:ind w:left="110" w:right="164" w:firstLine="0"/>
        <w:jc w:val="both"/>
        <w:rPr>
          <w:sz w:val="22"/>
          <w:szCs w:val="22"/>
        </w:rPr>
      </w:pPr>
      <w:r>
        <w:rPr>
          <w:sz w:val="22"/>
          <w:szCs w:val="22"/>
        </w:rPr>
        <w:t>Եթե</w:t>
      </w:r>
      <w:r>
        <w:rPr>
          <w:spacing w:val="-2"/>
          <w:sz w:val="22"/>
          <w:szCs w:val="22"/>
        </w:rPr>
        <w:t> </w:t>
      </w:r>
      <w:r>
        <w:rPr>
          <w:sz w:val="22"/>
          <w:szCs w:val="22"/>
        </w:rPr>
        <w:t>Վարկատուին</w:t>
      </w:r>
      <w:r>
        <w:rPr>
          <w:spacing w:val="-3"/>
          <w:sz w:val="22"/>
          <w:szCs w:val="22"/>
        </w:rPr>
        <w:t> </w:t>
      </w:r>
      <w:r>
        <w:rPr>
          <w:sz w:val="22"/>
          <w:szCs w:val="22"/>
        </w:rPr>
        <w:t>տրված</w:t>
      </w:r>
      <w:r>
        <w:rPr>
          <w:spacing w:val="-1"/>
          <w:sz w:val="22"/>
          <w:szCs w:val="22"/>
        </w:rPr>
        <w:t> </w:t>
      </w:r>
      <w:r>
        <w:rPr>
          <w:sz w:val="22"/>
          <w:szCs w:val="22"/>
        </w:rPr>
        <w:t>հատուցման</w:t>
      </w:r>
      <w:r>
        <w:rPr>
          <w:spacing w:val="-3"/>
          <w:sz w:val="22"/>
          <w:szCs w:val="22"/>
        </w:rPr>
        <w:t> </w:t>
      </w:r>
      <w:r>
        <w:rPr>
          <w:sz w:val="22"/>
          <w:szCs w:val="22"/>
        </w:rPr>
        <w:t>կանխավճարի</w:t>
      </w:r>
      <w:r>
        <w:rPr>
          <w:spacing w:val="-2"/>
          <w:sz w:val="22"/>
          <w:szCs w:val="22"/>
        </w:rPr>
        <w:t> </w:t>
      </w:r>
      <w:r>
        <w:rPr>
          <w:sz w:val="22"/>
          <w:szCs w:val="22"/>
        </w:rPr>
        <w:t>գումարը կազմում է</w:t>
      </w:r>
      <w:r>
        <w:rPr>
          <w:spacing w:val="-2"/>
          <w:sz w:val="22"/>
          <w:szCs w:val="22"/>
        </w:rPr>
        <w:t> </w:t>
      </w:r>
      <w:r>
        <w:rPr>
          <w:sz w:val="22"/>
          <w:szCs w:val="22"/>
        </w:rPr>
        <w:t>ավելի</w:t>
      </w:r>
      <w:r>
        <w:rPr>
          <w:spacing w:val="-2"/>
          <w:sz w:val="22"/>
          <w:szCs w:val="22"/>
        </w:rPr>
        <w:t> </w:t>
      </w:r>
      <w:r>
        <w:rPr>
          <w:sz w:val="22"/>
          <w:szCs w:val="22"/>
        </w:rPr>
        <w:t>մեծ</w:t>
      </w:r>
      <w:r>
        <w:rPr>
          <w:spacing w:val="-3"/>
          <w:sz w:val="22"/>
          <w:szCs w:val="22"/>
        </w:rPr>
        <w:t> </w:t>
      </w:r>
      <w:r>
        <w:rPr>
          <w:sz w:val="22"/>
          <w:szCs w:val="22"/>
        </w:rPr>
        <w:t>գումար, քան հատուցման ենթակա վերջնական գումարը, ապա Վարկատուն պարտավորվում է 10 (տաս) աշխատանքային օրվա ընթացքում վերադարձնել Ապահովագրողին այդ գումարների </w:t>
      </w:r>
      <w:r>
        <w:rPr>
          <w:spacing w:val="-2"/>
          <w:sz w:val="22"/>
          <w:szCs w:val="22"/>
        </w:rPr>
        <w:t>տարբերությունը:</w:t>
      </w:r>
    </w:p>
    <w:p>
      <w:pPr>
        <w:pStyle w:val="ListParagraph"/>
        <w:numPr>
          <w:ilvl w:val="2"/>
          <w:numId w:val="6"/>
        </w:numPr>
        <w:tabs>
          <w:tab w:pos="816" w:val="left" w:leader="none"/>
        </w:tabs>
        <w:spacing w:line="240" w:lineRule="auto" w:before="0" w:after="0"/>
        <w:ind w:left="109" w:right="168" w:firstLine="0"/>
        <w:jc w:val="both"/>
        <w:rPr>
          <w:sz w:val="22"/>
          <w:szCs w:val="22"/>
        </w:rPr>
      </w:pPr>
      <w:r>
        <w:rPr>
          <w:sz w:val="22"/>
          <w:szCs w:val="22"/>
        </w:rPr>
        <w:t>Եթե Վարկատուին տրված հատուցման կանխավճարի գումարը կազմում է ավելի փոքր գումար, քան հատուցման ենթակա վերջնական գումարը, ապա Վարկատուին հատուցման ենթակա կլինի այդ գումարների տարբերությունը:</w:t>
      </w:r>
    </w:p>
    <w:p>
      <w:pPr>
        <w:pStyle w:val="ListParagraph"/>
        <w:numPr>
          <w:ilvl w:val="2"/>
          <w:numId w:val="6"/>
        </w:numPr>
        <w:tabs>
          <w:tab w:pos="816" w:val="left" w:leader="none"/>
        </w:tabs>
        <w:spacing w:line="240" w:lineRule="auto" w:before="0" w:after="0"/>
        <w:ind w:left="109" w:right="166" w:firstLine="0"/>
        <w:jc w:val="both"/>
        <w:rPr>
          <w:sz w:val="22"/>
          <w:szCs w:val="22"/>
        </w:rPr>
      </w:pPr>
      <w:r>
        <w:rPr>
          <w:sz w:val="22"/>
          <w:szCs w:val="22"/>
        </w:rPr>
        <w:t>Եթե վարկառուն վարկային պարտավորությունները կատարում է ապահովագրական իրադարձության և ապահովագրական պատահարի միջև ընկած ժամանակահատվածում, և Ապահովագրողը կանխավճարի ապահովագրական հատուցումն արդեն վճարել է Վարկատուին, ապա վերջնահաշվարկը կատարվում է Վարկատուի կողմից Անշարժ գույքի բռնագանձման (իրացման) վերաբերյալ</w:t>
      </w:r>
      <w:r>
        <w:rPr>
          <w:spacing w:val="40"/>
          <w:sz w:val="22"/>
          <w:szCs w:val="22"/>
        </w:rPr>
        <w:t> </w:t>
      </w:r>
      <w:r>
        <w:rPr>
          <w:sz w:val="22"/>
          <w:szCs w:val="22"/>
        </w:rPr>
        <w:t>որոշման վերացման օրվան հաջորդող 10 (տասը) աշխատանքային օրվա </w:t>
      </w:r>
      <w:r>
        <w:rPr>
          <w:spacing w:val="-2"/>
          <w:sz w:val="22"/>
          <w:szCs w:val="22"/>
        </w:rPr>
        <w:t>ընթացքում։</w:t>
      </w:r>
    </w:p>
    <w:p>
      <w:pPr>
        <w:spacing w:after="0" w:line="240" w:lineRule="auto"/>
        <w:jc w:val="both"/>
        <w:rPr>
          <w:sz w:val="22"/>
          <w:szCs w:val="22"/>
        </w:rPr>
        <w:sectPr>
          <w:pgSz w:w="11910" w:h="16840"/>
          <w:pgMar w:header="0" w:footer="786" w:top="640" w:bottom="1040" w:left="600" w:right="820"/>
        </w:sectPr>
      </w:pPr>
    </w:p>
    <w:p>
      <w:pPr>
        <w:pStyle w:val="Heading1"/>
        <w:numPr>
          <w:ilvl w:val="0"/>
          <w:numId w:val="2"/>
        </w:numPr>
        <w:tabs>
          <w:tab w:pos="3804" w:val="left" w:leader="none"/>
        </w:tabs>
        <w:spacing w:line="240" w:lineRule="auto" w:before="91" w:after="0"/>
        <w:ind w:left="3803" w:right="59" w:hanging="3804"/>
        <w:jc w:val="left"/>
        <w:rPr>
          <w:sz w:val="20"/>
          <w:szCs w:val="20"/>
        </w:rPr>
      </w:pPr>
      <w:bookmarkStart w:name="7.ԸՆԴՀԱՆՈՒՐ ՊԱՅՄԱՆՆԵՐ" w:id="13"/>
      <w:bookmarkEnd w:id="13"/>
      <w:r>
        <w:rPr>
          <w:b w:val="0"/>
          <w:bCs w:val="0"/>
        </w:rPr>
      </w:r>
      <w:bookmarkStart w:name="_bookmark6" w:id="14"/>
      <w:bookmarkEnd w:id="14"/>
      <w:r>
        <w:rPr/>
        <w:t>Ը</w:t>
      </w:r>
      <w:r>
        <w:rPr/>
        <w:t>ՆԴՀԱՆՈՒՐ</w:t>
      </w:r>
      <w:r>
        <w:rPr>
          <w:spacing w:val="-11"/>
        </w:rPr>
        <w:t> </w:t>
      </w:r>
      <w:r>
        <w:rPr>
          <w:spacing w:val="-2"/>
        </w:rPr>
        <w:t>ՊԱՅՄԱՆՆԵՐ</w:t>
      </w:r>
    </w:p>
    <w:p>
      <w:pPr>
        <w:pStyle w:val="BodyText"/>
        <w:spacing w:before="1"/>
        <w:jc w:val="left"/>
        <w:rPr>
          <w:b/>
        </w:rPr>
      </w:pPr>
    </w:p>
    <w:p>
      <w:pPr>
        <w:pStyle w:val="ListParagraph"/>
        <w:numPr>
          <w:ilvl w:val="1"/>
          <w:numId w:val="7"/>
        </w:numPr>
        <w:tabs>
          <w:tab w:pos="829" w:val="left" w:leader="none"/>
        </w:tabs>
        <w:spacing w:line="240" w:lineRule="auto" w:before="1" w:after="0"/>
        <w:ind w:left="828" w:right="0" w:hanging="721"/>
        <w:jc w:val="both"/>
        <w:rPr>
          <w:b/>
          <w:bCs/>
          <w:sz w:val="22"/>
          <w:szCs w:val="22"/>
        </w:rPr>
      </w:pPr>
      <w:r>
        <w:rPr>
          <w:b/>
          <w:bCs/>
          <w:sz w:val="22"/>
          <w:szCs w:val="22"/>
        </w:rPr>
        <w:t>Ապահովագրական</w:t>
      </w:r>
      <w:r>
        <w:rPr>
          <w:b/>
          <w:bCs/>
          <w:spacing w:val="-8"/>
          <w:sz w:val="22"/>
          <w:szCs w:val="22"/>
        </w:rPr>
        <w:t> </w:t>
      </w:r>
      <w:r>
        <w:rPr>
          <w:b/>
          <w:bCs/>
          <w:sz w:val="22"/>
          <w:szCs w:val="22"/>
        </w:rPr>
        <w:t>վճար</w:t>
      </w:r>
      <w:r>
        <w:rPr>
          <w:b/>
          <w:bCs/>
          <w:spacing w:val="-6"/>
          <w:sz w:val="22"/>
          <w:szCs w:val="22"/>
        </w:rPr>
        <w:t> </w:t>
      </w:r>
      <w:r>
        <w:rPr>
          <w:b/>
          <w:bCs/>
          <w:sz w:val="22"/>
          <w:szCs w:val="22"/>
        </w:rPr>
        <w:t>և</w:t>
      </w:r>
      <w:r>
        <w:rPr>
          <w:b/>
          <w:bCs/>
          <w:spacing w:val="-6"/>
          <w:sz w:val="22"/>
          <w:szCs w:val="22"/>
        </w:rPr>
        <w:t> </w:t>
      </w:r>
      <w:r>
        <w:rPr>
          <w:b/>
          <w:bCs/>
          <w:spacing w:val="-2"/>
          <w:sz w:val="22"/>
          <w:szCs w:val="22"/>
        </w:rPr>
        <w:t>սակագներ</w:t>
      </w:r>
    </w:p>
    <w:p>
      <w:pPr>
        <w:pStyle w:val="BodyText"/>
        <w:spacing w:before="1"/>
        <w:jc w:val="left"/>
        <w:rPr>
          <w:b/>
        </w:rPr>
      </w:pPr>
    </w:p>
    <w:p>
      <w:pPr>
        <w:pStyle w:val="ListParagraph"/>
        <w:numPr>
          <w:ilvl w:val="2"/>
          <w:numId w:val="7"/>
        </w:numPr>
        <w:tabs>
          <w:tab w:pos="814" w:val="left" w:leader="none"/>
        </w:tabs>
        <w:spacing w:line="240" w:lineRule="auto" w:before="0" w:after="0"/>
        <w:ind w:left="107" w:right="168" w:firstLine="0"/>
        <w:jc w:val="both"/>
        <w:rPr>
          <w:sz w:val="22"/>
          <w:szCs w:val="22"/>
        </w:rPr>
      </w:pPr>
      <w:r>
        <w:rPr>
          <w:sz w:val="22"/>
          <w:szCs w:val="22"/>
        </w:rPr>
        <w:t>Ապահովագրավճարն ապահովագրության համար նախատեսված գումար է, որն Ապահովադիրը Վկայագրի համաձայն պարտավոր է վճարել Ապահովագրողին:</w:t>
      </w:r>
    </w:p>
    <w:p>
      <w:pPr>
        <w:pStyle w:val="ListParagraph"/>
        <w:numPr>
          <w:ilvl w:val="2"/>
          <w:numId w:val="7"/>
        </w:numPr>
        <w:tabs>
          <w:tab w:pos="814" w:val="left" w:leader="none"/>
        </w:tabs>
        <w:spacing w:line="240" w:lineRule="auto" w:before="0" w:after="0"/>
        <w:ind w:left="107" w:right="166" w:firstLine="0"/>
        <w:jc w:val="both"/>
        <w:rPr>
          <w:sz w:val="22"/>
          <w:szCs w:val="22"/>
        </w:rPr>
      </w:pPr>
      <w:r>
        <w:rPr>
          <w:sz w:val="22"/>
          <w:szCs w:val="22"/>
        </w:rPr>
        <w:t>Ապահովագրավճարը հաշվարկվում է՝ ելնելով Ապահովադրի կողմից հաստատված ապահովագրության սակագնից (ապահովագրական գումարի նկատմամբ ապահովագրավճարի </w:t>
      </w:r>
      <w:r>
        <w:rPr>
          <w:spacing w:val="-2"/>
          <w:sz w:val="22"/>
          <w:szCs w:val="22"/>
        </w:rPr>
        <w:t>դրույքաչափ):</w:t>
      </w:r>
    </w:p>
    <w:p>
      <w:pPr>
        <w:pStyle w:val="ListParagraph"/>
        <w:numPr>
          <w:ilvl w:val="2"/>
          <w:numId w:val="7"/>
        </w:numPr>
        <w:tabs>
          <w:tab w:pos="814" w:val="left" w:leader="none"/>
        </w:tabs>
        <w:spacing w:line="240" w:lineRule="auto" w:before="0" w:after="0"/>
        <w:ind w:left="107" w:right="173" w:firstLine="0"/>
        <w:jc w:val="both"/>
        <w:rPr>
          <w:sz w:val="22"/>
          <w:szCs w:val="22"/>
        </w:rPr>
      </w:pPr>
      <w:r>
        <w:rPr>
          <w:sz w:val="22"/>
          <w:szCs w:val="22"/>
        </w:rPr>
        <w:t>Ապահովագրավճարի վճարման կարգը և պայմանները սահմանվում են </w:t>
      </w:r>
      <w:r>
        <w:rPr>
          <w:spacing w:val="-2"/>
          <w:sz w:val="22"/>
          <w:szCs w:val="22"/>
        </w:rPr>
        <w:t>Վկայագրով/Պայմանագրով:</w:t>
      </w:r>
    </w:p>
    <w:p>
      <w:pPr>
        <w:pStyle w:val="BodyText"/>
        <w:spacing w:before="13"/>
        <w:jc w:val="left"/>
        <w:rPr>
          <w:sz w:val="21"/>
        </w:rPr>
      </w:pPr>
    </w:p>
    <w:p>
      <w:pPr>
        <w:pStyle w:val="Heading2"/>
        <w:numPr>
          <w:ilvl w:val="0"/>
          <w:numId w:val="2"/>
        </w:numPr>
        <w:tabs>
          <w:tab w:pos="2879" w:val="left" w:leader="none"/>
        </w:tabs>
        <w:spacing w:line="240" w:lineRule="auto" w:before="0" w:after="0"/>
        <w:ind w:left="2878" w:right="62" w:hanging="2879"/>
        <w:jc w:val="left"/>
        <w:rPr>
          <w:sz w:val="20"/>
          <w:szCs w:val="20"/>
        </w:rPr>
      </w:pPr>
      <w:bookmarkStart w:name="8.ԲԱՑԱՌՈՒԹՅՈՒՆՆԵՐ և ՄԵՐԺՄԱՆ ՀԻՄՔԵՐ" w:id="15"/>
      <w:bookmarkEnd w:id="15"/>
      <w:r>
        <w:rPr>
          <w:b w:val="0"/>
          <w:bCs w:val="0"/>
        </w:rPr>
      </w:r>
      <w:bookmarkStart w:name="_bookmark7" w:id="16"/>
      <w:bookmarkEnd w:id="16"/>
      <w:r>
        <w:rPr/>
        <w:t>Բ</w:t>
      </w:r>
      <w:r>
        <w:rPr/>
        <w:t>ԱՑԱՌՈՒԹՅՈՒՆՆԵՐ</w:t>
      </w:r>
      <w:r>
        <w:rPr>
          <w:spacing w:val="-8"/>
        </w:rPr>
        <w:t> </w:t>
      </w:r>
      <w:r>
        <w:rPr/>
        <w:t>և</w:t>
      </w:r>
      <w:r>
        <w:rPr>
          <w:spacing w:val="-8"/>
        </w:rPr>
        <w:t> </w:t>
      </w:r>
      <w:r>
        <w:rPr/>
        <w:t>ՄԵՐԺՄԱՆ</w:t>
      </w:r>
      <w:r>
        <w:rPr>
          <w:spacing w:val="-8"/>
        </w:rPr>
        <w:t> </w:t>
      </w:r>
      <w:r>
        <w:rPr>
          <w:spacing w:val="-2"/>
        </w:rPr>
        <w:t>ՀԻՄՔԵՐ</w:t>
      </w:r>
    </w:p>
    <w:p>
      <w:pPr>
        <w:pStyle w:val="BodyText"/>
        <w:spacing w:before="12"/>
        <w:jc w:val="left"/>
        <w:rPr>
          <w:b/>
          <w:sz w:val="21"/>
        </w:rPr>
      </w:pPr>
    </w:p>
    <w:p>
      <w:pPr>
        <w:pStyle w:val="ListParagraph"/>
        <w:numPr>
          <w:ilvl w:val="1"/>
          <w:numId w:val="8"/>
        </w:numPr>
        <w:tabs>
          <w:tab w:pos="814" w:val="left" w:leader="none"/>
        </w:tabs>
        <w:spacing w:line="240" w:lineRule="auto" w:before="0" w:after="0"/>
        <w:ind w:left="107" w:right="168" w:firstLine="0"/>
        <w:jc w:val="both"/>
        <w:rPr>
          <w:sz w:val="22"/>
          <w:szCs w:val="22"/>
        </w:rPr>
      </w:pPr>
      <w:r>
        <w:rPr>
          <w:sz w:val="22"/>
          <w:szCs w:val="22"/>
        </w:rPr>
        <w:t>Հետևյալ դեպքերը և/կամ իրադարձությունները չեն համարվում ապահովագրական պատահար և ենթակա չեն հատուցման.</w:t>
      </w:r>
    </w:p>
    <w:p>
      <w:pPr>
        <w:pStyle w:val="ListParagraph"/>
        <w:numPr>
          <w:ilvl w:val="2"/>
          <w:numId w:val="8"/>
        </w:numPr>
        <w:tabs>
          <w:tab w:pos="813" w:val="left" w:leader="none"/>
        </w:tabs>
        <w:spacing w:line="240" w:lineRule="auto" w:before="0" w:after="0"/>
        <w:ind w:left="107" w:right="168" w:firstLine="0"/>
        <w:jc w:val="both"/>
        <w:rPr>
          <w:sz w:val="22"/>
          <w:szCs w:val="22"/>
        </w:rPr>
      </w:pPr>
      <w:r>
        <w:rPr>
          <w:sz w:val="22"/>
          <w:szCs w:val="22"/>
        </w:rPr>
        <w:t>գրավադրված և կառուցման մեջ գտնվող անշարժ գույքի բացակայությունը շինարարությունը չավարտելու կամ կառուցապատողի սնանկացման պատճառով, եթե այլ բան նախատեսված չէ Վկայագրով և/կամ Պայմանագրով:</w:t>
      </w:r>
    </w:p>
    <w:p>
      <w:pPr>
        <w:pStyle w:val="ListParagraph"/>
        <w:numPr>
          <w:ilvl w:val="2"/>
          <w:numId w:val="8"/>
        </w:numPr>
        <w:tabs>
          <w:tab w:pos="813" w:val="left" w:leader="none"/>
        </w:tabs>
        <w:spacing w:line="240" w:lineRule="auto" w:before="0" w:after="0"/>
        <w:ind w:left="107" w:right="166" w:hanging="1"/>
        <w:jc w:val="both"/>
        <w:rPr>
          <w:sz w:val="22"/>
          <w:szCs w:val="22"/>
        </w:rPr>
      </w:pPr>
      <w:r>
        <w:rPr>
          <w:sz w:val="22"/>
          <w:szCs w:val="22"/>
        </w:rPr>
        <w:t>Վարկատուի կրած այլ ֆինանսական և/կամ Վարկի հետ կապված այլ վնասներ և/կամ կորուստներ, այդ թվում` հաշվարկված տոկոսագումարներ, վարկի չմարման կամ ոչ պատշաճ ձևով մարման հետևանքով առաջացած տույժեր, տուգանքներ, պարտադիր վճարներ, կոմիսիոն վճարներ կամ Վարկառուի կողմից այլ ֆինանսական պարտավորությունների կատարում կամ թերի կատարում, եթե այլ բան նախատեսված չէ Վկայագրով և/կամ Պայմանագրով:</w:t>
      </w:r>
    </w:p>
    <w:p>
      <w:pPr>
        <w:pStyle w:val="ListParagraph"/>
        <w:numPr>
          <w:ilvl w:val="1"/>
          <w:numId w:val="8"/>
        </w:numPr>
        <w:tabs>
          <w:tab w:pos="814" w:val="left" w:leader="none"/>
        </w:tabs>
        <w:spacing w:line="240" w:lineRule="auto" w:before="2" w:after="0"/>
        <w:ind w:left="108" w:right="166" w:firstLine="0"/>
        <w:jc w:val="both"/>
        <w:rPr>
          <w:sz w:val="22"/>
          <w:szCs w:val="22"/>
        </w:rPr>
      </w:pPr>
      <w:r>
        <w:rPr>
          <w:sz w:val="22"/>
          <w:szCs w:val="22"/>
        </w:rPr>
        <w:t>Ապահովագրողի կողմից պահովագրական հատուցման մերժման հիմք է ապահովագրական հատուցում ստանալու համար Վարկատուի կողմից հայցային դիմումը և (կամ) ապահովագրական հատուցման համար անհրաժեշտ փաստաթղթերը Պայմաններով սահմանված ժամկետներում չներկայացնելը կամ</w:t>
      </w:r>
      <w:r>
        <w:rPr>
          <w:spacing w:val="40"/>
          <w:sz w:val="22"/>
          <w:szCs w:val="22"/>
        </w:rPr>
        <w:t> </w:t>
      </w:r>
      <w:r>
        <w:rPr>
          <w:sz w:val="22"/>
          <w:szCs w:val="22"/>
        </w:rPr>
        <w:t>իրականությանը չհամապատասխանող փաստաթղթեր ներկայացնելը:</w:t>
      </w:r>
    </w:p>
    <w:p>
      <w:pPr>
        <w:pStyle w:val="ListParagraph"/>
        <w:numPr>
          <w:ilvl w:val="1"/>
          <w:numId w:val="8"/>
        </w:numPr>
        <w:tabs>
          <w:tab w:pos="814" w:val="left" w:leader="none"/>
        </w:tabs>
        <w:spacing w:line="240" w:lineRule="auto" w:before="0" w:after="0"/>
        <w:ind w:left="107" w:right="170" w:firstLine="0"/>
        <w:jc w:val="both"/>
        <w:rPr>
          <w:sz w:val="22"/>
          <w:szCs w:val="22"/>
        </w:rPr>
      </w:pPr>
      <w:r>
        <w:rPr>
          <w:sz w:val="22"/>
          <w:szCs w:val="22"/>
        </w:rPr>
        <w:t>Ապահովագրողն իրավունք ունի ապահովագրական հատուցման վճարումը մերժել նաև ՀՀ օրենսդրությամբ և Վկայագրով նախատեսված դեպքերում:</w:t>
      </w:r>
    </w:p>
    <w:p>
      <w:pPr>
        <w:pStyle w:val="BodyText"/>
        <w:jc w:val="left"/>
      </w:pPr>
    </w:p>
    <w:p>
      <w:pPr>
        <w:pStyle w:val="Heading1"/>
        <w:numPr>
          <w:ilvl w:val="0"/>
          <w:numId w:val="2"/>
        </w:numPr>
        <w:tabs>
          <w:tab w:pos="977" w:val="left" w:leader="none"/>
        </w:tabs>
        <w:spacing w:line="240" w:lineRule="auto" w:before="0" w:after="0"/>
        <w:ind w:left="976" w:right="62" w:hanging="977"/>
        <w:jc w:val="left"/>
        <w:rPr>
          <w:sz w:val="20"/>
          <w:szCs w:val="20"/>
        </w:rPr>
      </w:pPr>
      <w:bookmarkStart w:name="9.Վարկառուի հետ ապահովագրական պայմանԱգրի" w:id="17"/>
      <w:bookmarkEnd w:id="17"/>
      <w:r>
        <w:rPr>
          <w:b w:val="0"/>
          <w:bCs w:val="0"/>
        </w:rPr>
      </w:r>
      <w:bookmarkStart w:name="_bookmark8" w:id="18"/>
      <w:bookmarkEnd w:id="18"/>
      <w:r>
        <w:rPr/>
        <w:t>Վ</w:t>
      </w:r>
      <w:r>
        <w:rPr/>
        <w:t>ԱՐԿԱՌՈՒԻ</w:t>
      </w:r>
      <w:r>
        <w:rPr>
          <w:spacing w:val="-8"/>
        </w:rPr>
        <w:t> </w:t>
      </w:r>
      <w:r>
        <w:rPr/>
        <w:t>ՀԵՏ</w:t>
      </w:r>
      <w:r>
        <w:rPr>
          <w:spacing w:val="-8"/>
        </w:rPr>
        <w:t> </w:t>
      </w:r>
      <w:r>
        <w:rPr/>
        <w:t>ԱՊԱՀՈՎԱԳՐԱԿԱՆ</w:t>
      </w:r>
      <w:r>
        <w:rPr>
          <w:spacing w:val="-8"/>
        </w:rPr>
        <w:t> </w:t>
      </w:r>
      <w:r>
        <w:rPr/>
        <w:t>ՊԱՅՄԱՆԱԳՐԻ</w:t>
      </w:r>
      <w:r>
        <w:rPr>
          <w:spacing w:val="-10"/>
        </w:rPr>
        <w:t> </w:t>
      </w:r>
      <w:r>
        <w:rPr/>
        <w:t>ԿՆՔՄԱՆ</w:t>
      </w:r>
      <w:r>
        <w:rPr>
          <w:spacing w:val="-8"/>
        </w:rPr>
        <w:t> </w:t>
      </w:r>
      <w:r>
        <w:rPr>
          <w:spacing w:val="-2"/>
        </w:rPr>
        <w:t>ԳՈՐԾԸՆԹԱՑԸ</w:t>
      </w:r>
    </w:p>
    <w:p>
      <w:pPr>
        <w:pStyle w:val="BodyText"/>
        <w:spacing w:before="1"/>
        <w:jc w:val="left"/>
        <w:rPr>
          <w:b/>
        </w:rPr>
      </w:pPr>
    </w:p>
    <w:p>
      <w:pPr>
        <w:pStyle w:val="ListParagraph"/>
        <w:numPr>
          <w:ilvl w:val="1"/>
          <w:numId w:val="9"/>
        </w:numPr>
        <w:tabs>
          <w:tab w:pos="814" w:val="left" w:leader="none"/>
        </w:tabs>
        <w:spacing w:line="240" w:lineRule="auto" w:before="0" w:after="0"/>
        <w:ind w:left="107" w:right="170" w:firstLine="0"/>
        <w:jc w:val="both"/>
        <w:rPr>
          <w:sz w:val="22"/>
          <w:szCs w:val="22"/>
        </w:rPr>
      </w:pPr>
      <w:r>
        <w:rPr>
          <w:sz w:val="22"/>
          <w:szCs w:val="22"/>
        </w:rPr>
        <w:t>Պոտենցիալ Վարկառուի ցանկության և Վարկատուի համաձայնության դեպքում Ապահովագրողի և Վարկառուի միջև կնքվում է Վկայագիր՝ ֆինանսական վնասներից ապահովագրության դասով:</w:t>
      </w:r>
    </w:p>
    <w:p>
      <w:pPr>
        <w:pStyle w:val="ListParagraph"/>
        <w:numPr>
          <w:ilvl w:val="1"/>
          <w:numId w:val="9"/>
        </w:numPr>
        <w:tabs>
          <w:tab w:pos="814" w:val="left" w:leader="none"/>
        </w:tabs>
        <w:spacing w:line="240" w:lineRule="auto" w:before="0" w:after="0"/>
        <w:ind w:left="813" w:right="0" w:hanging="707"/>
        <w:jc w:val="both"/>
        <w:rPr>
          <w:sz w:val="22"/>
          <w:szCs w:val="22"/>
        </w:rPr>
      </w:pPr>
      <w:r>
        <w:rPr>
          <w:sz w:val="22"/>
          <w:szCs w:val="22"/>
        </w:rPr>
        <w:t>Վկայագրով</w:t>
      </w:r>
      <w:r>
        <w:rPr>
          <w:spacing w:val="-4"/>
          <w:sz w:val="22"/>
          <w:szCs w:val="22"/>
        </w:rPr>
        <w:t> </w:t>
      </w:r>
      <w:r>
        <w:rPr>
          <w:sz w:val="22"/>
          <w:szCs w:val="22"/>
        </w:rPr>
        <w:t>Շահառու</w:t>
      </w:r>
      <w:r>
        <w:rPr>
          <w:spacing w:val="-3"/>
          <w:sz w:val="22"/>
          <w:szCs w:val="22"/>
        </w:rPr>
        <w:t> </w:t>
      </w:r>
      <w:r>
        <w:rPr>
          <w:sz w:val="22"/>
          <w:szCs w:val="22"/>
        </w:rPr>
        <w:t>հանդես</w:t>
      </w:r>
      <w:r>
        <w:rPr>
          <w:spacing w:val="-3"/>
          <w:sz w:val="22"/>
          <w:szCs w:val="22"/>
        </w:rPr>
        <w:t> </w:t>
      </w:r>
      <w:r>
        <w:rPr>
          <w:sz w:val="22"/>
          <w:szCs w:val="22"/>
        </w:rPr>
        <w:t>է</w:t>
      </w:r>
      <w:r>
        <w:rPr>
          <w:spacing w:val="-5"/>
          <w:sz w:val="22"/>
          <w:szCs w:val="22"/>
        </w:rPr>
        <w:t> </w:t>
      </w:r>
      <w:r>
        <w:rPr>
          <w:sz w:val="22"/>
          <w:szCs w:val="22"/>
        </w:rPr>
        <w:t>գալիս</w:t>
      </w:r>
      <w:r>
        <w:rPr>
          <w:spacing w:val="-2"/>
          <w:sz w:val="22"/>
          <w:szCs w:val="22"/>
        </w:rPr>
        <w:t> Վարկատուն:</w:t>
      </w:r>
    </w:p>
    <w:p>
      <w:pPr>
        <w:pStyle w:val="ListParagraph"/>
        <w:numPr>
          <w:ilvl w:val="1"/>
          <w:numId w:val="9"/>
        </w:numPr>
        <w:tabs>
          <w:tab w:pos="814" w:val="left" w:leader="none"/>
        </w:tabs>
        <w:spacing w:line="240" w:lineRule="auto" w:before="0" w:after="0"/>
        <w:ind w:left="107" w:right="167" w:firstLine="0"/>
        <w:jc w:val="both"/>
        <w:rPr>
          <w:sz w:val="22"/>
          <w:szCs w:val="22"/>
        </w:rPr>
      </w:pPr>
      <w:r>
        <w:rPr>
          <w:sz w:val="22"/>
          <w:szCs w:val="22"/>
        </w:rPr>
        <w:t>Մինչև Վկայագիր կնքելը Վարկատուն և/կամ Վարկառուն Ապահովագրողին է տրամադրում բոլոր պահանջվող տվյալները և փաստաթղթերը, որոնց հիման վրա Ապահովագրողը կազմում է Վկայագիրը: Ապահովագրողը պարտավոր է պահպանել Վարկառուի և/կամ Վարկատուի</w:t>
      </w:r>
      <w:r>
        <w:rPr>
          <w:spacing w:val="40"/>
          <w:sz w:val="22"/>
          <w:szCs w:val="22"/>
        </w:rPr>
        <w:t> </w:t>
      </w:r>
      <w:r>
        <w:rPr>
          <w:sz w:val="22"/>
          <w:szCs w:val="22"/>
        </w:rPr>
        <w:t>կողմից իրեն տրամադրված փաստաթղթերի գաղտնիությունը, բացառությամբ ՀՀ օրենսդրությամբ նախատեսված դեպքերի:</w:t>
      </w:r>
    </w:p>
    <w:p>
      <w:pPr>
        <w:pStyle w:val="ListParagraph"/>
        <w:numPr>
          <w:ilvl w:val="1"/>
          <w:numId w:val="9"/>
        </w:numPr>
        <w:tabs>
          <w:tab w:pos="814" w:val="left" w:leader="none"/>
        </w:tabs>
        <w:spacing w:line="240" w:lineRule="auto" w:before="2" w:after="0"/>
        <w:ind w:left="107" w:right="169" w:firstLine="0"/>
        <w:jc w:val="both"/>
        <w:rPr>
          <w:sz w:val="22"/>
          <w:szCs w:val="22"/>
        </w:rPr>
      </w:pPr>
      <w:r>
        <w:rPr>
          <w:sz w:val="22"/>
          <w:szCs w:val="22"/>
        </w:rPr>
        <w:t>Վարկառուն վարկային պայմանագրի կնքման գործընթացում տալիս է իր գրավոր համաձայնությունն առ այն, որ Վարկատուն, Ապահովագրողի պահանջով, կարող է Ապահովագրողին տրամադրել բանկային գաղտնիք հանդիսացող Վարկառուի վարկի վերաբերյալ </w:t>
      </w:r>
      <w:r>
        <w:rPr>
          <w:spacing w:val="-2"/>
          <w:sz w:val="22"/>
          <w:szCs w:val="22"/>
        </w:rPr>
        <w:t>տեղեկատվություն:</w:t>
      </w:r>
    </w:p>
    <w:p>
      <w:pPr>
        <w:pStyle w:val="ListParagraph"/>
        <w:numPr>
          <w:ilvl w:val="1"/>
          <w:numId w:val="9"/>
        </w:numPr>
        <w:tabs>
          <w:tab w:pos="814" w:val="left" w:leader="none"/>
        </w:tabs>
        <w:spacing w:line="240" w:lineRule="auto" w:before="0" w:after="0"/>
        <w:ind w:left="107" w:right="170" w:firstLine="0"/>
        <w:jc w:val="both"/>
        <w:rPr>
          <w:sz w:val="22"/>
          <w:szCs w:val="22"/>
        </w:rPr>
      </w:pPr>
      <w:r>
        <w:rPr>
          <w:sz w:val="22"/>
          <w:szCs w:val="22"/>
        </w:rPr>
        <w:t>Առաջին տարվա համար կնքվող Վկայագիրն ուժի մեջ է մտնում Վարկատուի և Վարկառուի հետ կնքվելիք վարկային պայմանագիրն ուժի մեջ մտնելու օրը:</w:t>
      </w:r>
    </w:p>
    <w:p>
      <w:pPr>
        <w:pStyle w:val="ListParagraph"/>
        <w:numPr>
          <w:ilvl w:val="1"/>
          <w:numId w:val="9"/>
        </w:numPr>
        <w:tabs>
          <w:tab w:pos="814" w:val="left" w:leader="none"/>
        </w:tabs>
        <w:spacing w:line="240" w:lineRule="auto" w:before="0" w:after="0"/>
        <w:ind w:left="107" w:right="170" w:firstLine="0"/>
        <w:jc w:val="both"/>
        <w:rPr>
          <w:sz w:val="22"/>
          <w:szCs w:val="22"/>
        </w:rPr>
      </w:pPr>
      <w:r>
        <w:rPr>
          <w:sz w:val="22"/>
          <w:szCs w:val="22"/>
        </w:rPr>
        <w:t>Ապահովագրական պատահար տեղի ունենալու դեպքում Ապահովագրողի կողմից Պայմաններով ստանձնած պարտավորությունը կատարելուց հետո հաջորդ տարվա համար Ապահովագրողի և Վարկառուի միջև նոր Վկայագիր չի կնքվում:</w:t>
      </w:r>
    </w:p>
    <w:p>
      <w:pPr>
        <w:spacing w:after="0" w:line="240" w:lineRule="auto"/>
        <w:jc w:val="both"/>
        <w:rPr>
          <w:sz w:val="22"/>
          <w:szCs w:val="22"/>
        </w:rPr>
        <w:sectPr>
          <w:pgSz w:w="11910" w:h="16840"/>
          <w:pgMar w:header="0" w:footer="786" w:top="340" w:bottom="1040" w:left="600" w:right="820"/>
        </w:sectPr>
      </w:pPr>
    </w:p>
    <w:p>
      <w:pPr>
        <w:pStyle w:val="ListParagraph"/>
        <w:numPr>
          <w:ilvl w:val="1"/>
          <w:numId w:val="9"/>
        </w:numPr>
        <w:tabs>
          <w:tab w:pos="814" w:val="left" w:leader="none"/>
        </w:tabs>
        <w:spacing w:line="240" w:lineRule="auto" w:before="91" w:after="0"/>
        <w:ind w:left="107" w:right="172" w:firstLine="0"/>
        <w:jc w:val="both"/>
        <w:rPr>
          <w:sz w:val="22"/>
          <w:szCs w:val="22"/>
        </w:rPr>
      </w:pPr>
      <w:r>
        <w:rPr>
          <w:sz w:val="22"/>
          <w:szCs w:val="22"/>
        </w:rPr>
        <w:t>Վկայագրի թողարկումը կարող է իրականացվել ինչպես Ապահովագրողի, այնպես ել Վարկատուի կողմից՝ Ապահովագրողի համապատասխան համակարգչային ծրագրի միջոցով:</w:t>
      </w:r>
    </w:p>
    <w:p>
      <w:pPr>
        <w:pStyle w:val="ListParagraph"/>
        <w:numPr>
          <w:ilvl w:val="1"/>
          <w:numId w:val="9"/>
        </w:numPr>
        <w:tabs>
          <w:tab w:pos="814" w:val="left" w:leader="none"/>
        </w:tabs>
        <w:spacing w:line="240" w:lineRule="auto" w:before="0" w:after="0"/>
        <w:ind w:left="107" w:right="169" w:firstLine="0"/>
        <w:jc w:val="both"/>
        <w:rPr>
          <w:sz w:val="22"/>
          <w:szCs w:val="22"/>
        </w:rPr>
      </w:pPr>
      <w:r>
        <w:rPr>
          <w:sz w:val="22"/>
          <w:szCs w:val="22"/>
        </w:rPr>
        <w:t>Ապահովագրության Վկայագիր կարող է կնքվել նաև Ապահովագրողի և Վարկատուի միջև՝ համաձայն վերջիններիս միջև կնքված համագործակցության պայմանագրի և/կամ Պայմանագրի:</w:t>
      </w:r>
    </w:p>
    <w:p>
      <w:pPr>
        <w:pStyle w:val="BodyText"/>
        <w:jc w:val="left"/>
      </w:pPr>
    </w:p>
    <w:p>
      <w:pPr>
        <w:pStyle w:val="Heading1"/>
        <w:numPr>
          <w:ilvl w:val="0"/>
          <w:numId w:val="2"/>
        </w:numPr>
        <w:tabs>
          <w:tab w:pos="2073" w:val="left" w:leader="none"/>
        </w:tabs>
        <w:spacing w:line="240" w:lineRule="auto" w:before="0" w:after="0"/>
        <w:ind w:left="2072" w:right="62" w:hanging="2073"/>
        <w:jc w:val="left"/>
        <w:rPr>
          <w:sz w:val="20"/>
          <w:szCs w:val="20"/>
        </w:rPr>
      </w:pPr>
      <w:bookmarkStart w:name="10.Կողմերի իրավունքներն ու պարտականությո" w:id="19"/>
      <w:bookmarkEnd w:id="19"/>
      <w:r>
        <w:rPr>
          <w:b w:val="0"/>
          <w:bCs w:val="0"/>
        </w:rPr>
      </w:r>
      <w:bookmarkStart w:name="_bookmark9" w:id="20"/>
      <w:bookmarkEnd w:id="20"/>
      <w:r>
        <w:rPr/>
        <w:t>ԿՈ</w:t>
      </w:r>
      <w:r>
        <w:rPr/>
        <w:t>ՂՄԵՐԻ</w:t>
      </w:r>
      <w:r>
        <w:rPr>
          <w:spacing w:val="-9"/>
        </w:rPr>
        <w:t> </w:t>
      </w:r>
      <w:r>
        <w:rPr/>
        <w:t>ԻՐԱՎՈՒՆՔՆԵՐՆ</w:t>
      </w:r>
      <w:r>
        <w:rPr>
          <w:spacing w:val="-8"/>
        </w:rPr>
        <w:t> </w:t>
      </w:r>
      <w:r>
        <w:rPr/>
        <w:t>ՈՒ</w:t>
      </w:r>
      <w:r>
        <w:rPr>
          <w:spacing w:val="-7"/>
        </w:rPr>
        <w:t> </w:t>
      </w:r>
      <w:r>
        <w:rPr>
          <w:spacing w:val="-2"/>
        </w:rPr>
        <w:t>ՊԱՐՏԱԿԱՆՈՒԹՅՈՒՆՆԵՐԸ</w:t>
      </w:r>
    </w:p>
    <w:p>
      <w:pPr>
        <w:pStyle w:val="BodyText"/>
        <w:spacing w:before="9"/>
        <w:jc w:val="left"/>
        <w:rPr>
          <w:b/>
          <w:sz w:val="20"/>
        </w:rPr>
      </w:pPr>
    </w:p>
    <w:p>
      <w:pPr>
        <w:pStyle w:val="ListParagraph"/>
        <w:numPr>
          <w:ilvl w:val="1"/>
          <w:numId w:val="10"/>
        </w:numPr>
        <w:tabs>
          <w:tab w:pos="829" w:val="left" w:leader="none"/>
        </w:tabs>
        <w:spacing w:line="240" w:lineRule="auto" w:before="0" w:after="0"/>
        <w:ind w:left="828" w:right="0" w:hanging="722"/>
        <w:jc w:val="both"/>
        <w:rPr>
          <w:b/>
          <w:bCs/>
          <w:sz w:val="22"/>
          <w:szCs w:val="22"/>
        </w:rPr>
      </w:pPr>
      <w:r>
        <w:rPr>
          <w:b/>
          <w:bCs/>
          <w:sz w:val="22"/>
          <w:szCs w:val="22"/>
        </w:rPr>
        <w:t>Վարկատուն</w:t>
      </w:r>
      <w:r>
        <w:rPr>
          <w:b/>
          <w:bCs/>
          <w:spacing w:val="-10"/>
          <w:sz w:val="22"/>
          <w:szCs w:val="22"/>
        </w:rPr>
        <w:t> </w:t>
      </w:r>
      <w:r>
        <w:rPr>
          <w:b/>
          <w:bCs/>
          <w:sz w:val="22"/>
          <w:szCs w:val="22"/>
        </w:rPr>
        <w:t>իրավունք</w:t>
      </w:r>
      <w:r>
        <w:rPr>
          <w:b/>
          <w:bCs/>
          <w:spacing w:val="-10"/>
          <w:sz w:val="22"/>
          <w:szCs w:val="22"/>
        </w:rPr>
        <w:t> </w:t>
      </w:r>
      <w:r>
        <w:rPr>
          <w:b/>
          <w:bCs/>
          <w:spacing w:val="-2"/>
          <w:sz w:val="22"/>
          <w:szCs w:val="22"/>
        </w:rPr>
        <w:t>ունի.</w:t>
      </w:r>
    </w:p>
    <w:p>
      <w:pPr>
        <w:pStyle w:val="ListParagraph"/>
        <w:numPr>
          <w:ilvl w:val="2"/>
          <w:numId w:val="10"/>
        </w:numPr>
        <w:tabs>
          <w:tab w:pos="881" w:val="left" w:leader="none"/>
        </w:tabs>
        <w:spacing w:line="240" w:lineRule="auto" w:before="0" w:after="0"/>
        <w:ind w:left="107" w:right="168" w:firstLine="0"/>
        <w:jc w:val="both"/>
        <w:rPr>
          <w:sz w:val="22"/>
          <w:szCs w:val="22"/>
        </w:rPr>
      </w:pPr>
      <w:r>
        <w:rPr>
          <w:sz w:val="22"/>
          <w:szCs w:val="22"/>
        </w:rPr>
        <w:t>Ապահովագրողի և Վարկառուի հետ փոխադարձ համաձայնությամբ պահանջել փոփոխել ապահովագրական ռիսկերի, ապահովագրական ծրագրերի, ապահովագրական գումարի չափը՝ լրացուցիչ համաձայնագիր կնքելու և, անհրաժեշտության դեպքում, Վարկառուի կողմից լրացուցիչ ապահովագրավճարի վճարման պայմանով,</w:t>
      </w:r>
    </w:p>
    <w:p>
      <w:pPr>
        <w:pStyle w:val="ListParagraph"/>
        <w:numPr>
          <w:ilvl w:val="2"/>
          <w:numId w:val="10"/>
        </w:numPr>
        <w:tabs>
          <w:tab w:pos="814" w:val="left" w:leader="none"/>
        </w:tabs>
        <w:spacing w:line="240" w:lineRule="auto" w:before="0" w:after="0"/>
        <w:ind w:left="813" w:right="0" w:hanging="707"/>
        <w:jc w:val="both"/>
        <w:rPr>
          <w:sz w:val="22"/>
          <w:szCs w:val="22"/>
        </w:rPr>
      </w:pPr>
      <w:r>
        <w:rPr>
          <w:sz w:val="22"/>
          <w:szCs w:val="22"/>
        </w:rPr>
        <w:t>ստանալ</w:t>
      </w:r>
      <w:r>
        <w:rPr>
          <w:spacing w:val="-5"/>
          <w:sz w:val="22"/>
          <w:szCs w:val="22"/>
        </w:rPr>
        <w:t> </w:t>
      </w:r>
      <w:r>
        <w:rPr>
          <w:sz w:val="22"/>
          <w:szCs w:val="22"/>
        </w:rPr>
        <w:t>Վարկառուի</w:t>
      </w:r>
      <w:r>
        <w:rPr>
          <w:spacing w:val="58"/>
          <w:sz w:val="22"/>
          <w:szCs w:val="22"/>
        </w:rPr>
        <w:t> </w:t>
      </w:r>
      <w:r>
        <w:rPr>
          <w:sz w:val="22"/>
          <w:szCs w:val="22"/>
        </w:rPr>
        <w:t>հետ</w:t>
      </w:r>
      <w:r>
        <w:rPr>
          <w:spacing w:val="-4"/>
          <w:sz w:val="22"/>
          <w:szCs w:val="22"/>
        </w:rPr>
        <w:t> </w:t>
      </w:r>
      <w:r>
        <w:rPr>
          <w:sz w:val="22"/>
          <w:szCs w:val="22"/>
        </w:rPr>
        <w:t>կնքված</w:t>
      </w:r>
      <w:r>
        <w:rPr>
          <w:spacing w:val="-4"/>
          <w:sz w:val="22"/>
          <w:szCs w:val="22"/>
        </w:rPr>
        <w:t> </w:t>
      </w:r>
      <w:r>
        <w:rPr>
          <w:sz w:val="22"/>
          <w:szCs w:val="22"/>
        </w:rPr>
        <w:t>ապահովագրության</w:t>
      </w:r>
      <w:r>
        <w:rPr>
          <w:spacing w:val="-5"/>
          <w:sz w:val="22"/>
          <w:szCs w:val="22"/>
        </w:rPr>
        <w:t> </w:t>
      </w:r>
      <w:r>
        <w:rPr>
          <w:sz w:val="22"/>
          <w:szCs w:val="22"/>
        </w:rPr>
        <w:t>Վկայագրի</w:t>
      </w:r>
      <w:r>
        <w:rPr>
          <w:spacing w:val="-4"/>
          <w:sz w:val="22"/>
          <w:szCs w:val="22"/>
        </w:rPr>
        <w:t> </w:t>
      </w:r>
      <w:r>
        <w:rPr>
          <w:spacing w:val="-2"/>
          <w:sz w:val="22"/>
          <w:szCs w:val="22"/>
        </w:rPr>
        <w:t>օրինակը,</w:t>
      </w:r>
    </w:p>
    <w:p>
      <w:pPr>
        <w:pStyle w:val="ListParagraph"/>
        <w:numPr>
          <w:ilvl w:val="2"/>
          <w:numId w:val="10"/>
        </w:numPr>
        <w:tabs>
          <w:tab w:pos="813" w:val="left" w:leader="none"/>
        </w:tabs>
        <w:spacing w:line="240" w:lineRule="auto" w:before="0" w:after="0"/>
        <w:ind w:left="107" w:right="172" w:firstLine="0"/>
        <w:jc w:val="both"/>
        <w:rPr>
          <w:sz w:val="22"/>
          <w:szCs w:val="22"/>
        </w:rPr>
      </w:pPr>
      <w:r>
        <w:rPr>
          <w:sz w:val="22"/>
          <w:szCs w:val="22"/>
        </w:rPr>
        <w:t>որպես շահառու` մասնակցել հատուցման հետ կապված բոլոր գործընթացներին և Պայմաններով նախատեսված դեպքերում ստանալ ապահովագրական հատուցում:</w:t>
      </w:r>
    </w:p>
    <w:p>
      <w:pPr>
        <w:pStyle w:val="BodyText"/>
        <w:spacing w:before="11"/>
        <w:jc w:val="left"/>
        <w:rPr>
          <w:sz w:val="21"/>
        </w:rPr>
      </w:pPr>
    </w:p>
    <w:p>
      <w:pPr>
        <w:pStyle w:val="ListParagraph"/>
        <w:numPr>
          <w:ilvl w:val="1"/>
          <w:numId w:val="10"/>
        </w:numPr>
        <w:tabs>
          <w:tab w:pos="827" w:val="left" w:leader="none"/>
        </w:tabs>
        <w:spacing w:line="240" w:lineRule="auto" w:before="0" w:after="0"/>
        <w:ind w:left="826" w:right="0" w:hanging="721"/>
        <w:jc w:val="both"/>
        <w:rPr>
          <w:b/>
          <w:bCs/>
          <w:sz w:val="22"/>
          <w:szCs w:val="22"/>
        </w:rPr>
      </w:pPr>
      <w:r>
        <w:rPr>
          <w:b/>
          <w:bCs/>
          <w:sz w:val="22"/>
          <w:szCs w:val="22"/>
        </w:rPr>
        <w:t>Վարկատուն</w:t>
      </w:r>
      <w:r>
        <w:rPr>
          <w:b/>
          <w:bCs/>
          <w:spacing w:val="-10"/>
          <w:sz w:val="22"/>
          <w:szCs w:val="22"/>
        </w:rPr>
        <w:t> </w:t>
      </w:r>
      <w:r>
        <w:rPr>
          <w:b/>
          <w:bCs/>
          <w:sz w:val="22"/>
          <w:szCs w:val="22"/>
        </w:rPr>
        <w:t>պարտավոր</w:t>
      </w:r>
      <w:r>
        <w:rPr>
          <w:b/>
          <w:bCs/>
          <w:spacing w:val="-9"/>
          <w:sz w:val="22"/>
          <w:szCs w:val="22"/>
        </w:rPr>
        <w:t> </w:t>
      </w:r>
      <w:r>
        <w:rPr>
          <w:b/>
          <w:bCs/>
          <w:spacing w:val="-5"/>
          <w:sz w:val="22"/>
          <w:szCs w:val="22"/>
        </w:rPr>
        <w:t>է.</w:t>
      </w:r>
    </w:p>
    <w:p>
      <w:pPr>
        <w:pStyle w:val="ListParagraph"/>
        <w:numPr>
          <w:ilvl w:val="2"/>
          <w:numId w:val="10"/>
        </w:numPr>
        <w:tabs>
          <w:tab w:pos="813" w:val="left" w:leader="none"/>
        </w:tabs>
        <w:spacing w:line="240" w:lineRule="auto" w:before="1" w:after="0"/>
        <w:ind w:left="106" w:right="170" w:firstLine="0"/>
        <w:jc w:val="both"/>
        <w:rPr>
          <w:sz w:val="22"/>
          <w:szCs w:val="22"/>
        </w:rPr>
      </w:pPr>
      <w:r>
        <w:rPr>
          <w:sz w:val="22"/>
          <w:szCs w:val="22"/>
        </w:rPr>
        <w:t>Ծանոթացնել բոլոր պոտենցիալ վարկառուներին սույն Պայմաններով նախատեսված դրույթների և պայմանների</w:t>
      </w:r>
      <w:r>
        <w:rPr>
          <w:spacing w:val="40"/>
          <w:sz w:val="22"/>
          <w:szCs w:val="22"/>
        </w:rPr>
        <w:t> </w:t>
      </w:r>
      <w:r>
        <w:rPr>
          <w:sz w:val="22"/>
          <w:szCs w:val="22"/>
        </w:rPr>
        <w:t>մասին,</w:t>
      </w:r>
    </w:p>
    <w:p>
      <w:pPr>
        <w:pStyle w:val="ListParagraph"/>
        <w:numPr>
          <w:ilvl w:val="2"/>
          <w:numId w:val="10"/>
        </w:numPr>
        <w:tabs>
          <w:tab w:pos="813" w:val="left" w:leader="none"/>
        </w:tabs>
        <w:spacing w:line="240" w:lineRule="auto" w:before="0" w:after="0"/>
        <w:ind w:left="106" w:right="168" w:firstLine="0"/>
        <w:jc w:val="both"/>
        <w:rPr>
          <w:sz w:val="22"/>
          <w:szCs w:val="22"/>
        </w:rPr>
      </w:pPr>
      <w:r>
        <w:rPr>
          <w:sz w:val="22"/>
          <w:szCs w:val="22"/>
        </w:rPr>
        <w:t>Ապահովագրողին տրամադրել ամբողջական տեղեկատվություն ապահովագրական ռիսկի ընդունման, ինչպես նաև ապահովագրական պատահարի տեղի ունենալու հավանականության և նրա տեղի ունենալու դեպքում հնարավոր վնասի չափերի (ապահովագրական ռիսկի) հետ կապ ունեցող հանգամանքների մասին,</w:t>
      </w:r>
    </w:p>
    <w:p>
      <w:pPr>
        <w:pStyle w:val="ListParagraph"/>
        <w:numPr>
          <w:ilvl w:val="2"/>
          <w:numId w:val="10"/>
        </w:numPr>
        <w:tabs>
          <w:tab w:pos="813" w:val="left" w:leader="none"/>
        </w:tabs>
        <w:spacing w:line="240" w:lineRule="auto" w:before="0" w:after="0"/>
        <w:ind w:left="106" w:right="167" w:firstLine="0"/>
        <w:jc w:val="both"/>
        <w:rPr>
          <w:sz w:val="22"/>
          <w:szCs w:val="22"/>
        </w:rPr>
      </w:pPr>
      <w:r>
        <w:rPr>
          <w:sz w:val="22"/>
          <w:szCs w:val="22"/>
        </w:rPr>
        <w:t>Վկայագրով սահմանված ծավալով և ժամկետներում Վարկառուի հաշվից Ապահովագրողին փոխանցել</w:t>
      </w:r>
      <w:r>
        <w:rPr>
          <w:spacing w:val="80"/>
          <w:sz w:val="22"/>
          <w:szCs w:val="22"/>
        </w:rPr>
        <w:t> </w:t>
      </w:r>
      <w:r>
        <w:rPr>
          <w:sz w:val="22"/>
          <w:szCs w:val="22"/>
        </w:rPr>
        <w:t>ապահովագրավճարը (հերթական ապահովագրավճարը), եթե այլ բան նախատեսված</w:t>
      </w:r>
      <w:r>
        <w:rPr>
          <w:spacing w:val="40"/>
          <w:sz w:val="22"/>
          <w:szCs w:val="22"/>
        </w:rPr>
        <w:t> </w:t>
      </w:r>
      <w:r>
        <w:rPr>
          <w:sz w:val="22"/>
          <w:szCs w:val="22"/>
        </w:rPr>
        <w:t>չէ վարկատուի հետ կնքված պայմանագրով,</w:t>
      </w:r>
    </w:p>
    <w:p>
      <w:pPr>
        <w:pStyle w:val="BodyText"/>
        <w:ind w:left="106"/>
      </w:pPr>
      <w:r>
        <w:rPr>
          <w:spacing w:val="-2"/>
        </w:rPr>
        <w:t>10.2.4.</w:t>
      </w:r>
      <w:r>
        <w:rPr>
          <w:spacing w:val="-14"/>
        </w:rPr>
        <w:t> </w:t>
      </w:r>
      <w:r>
        <w:rPr>
          <w:spacing w:val="-10"/>
        </w:rPr>
        <w:t>,</w:t>
      </w:r>
    </w:p>
    <w:p>
      <w:pPr>
        <w:pStyle w:val="ListParagraph"/>
        <w:numPr>
          <w:ilvl w:val="2"/>
          <w:numId w:val="11"/>
        </w:numPr>
        <w:tabs>
          <w:tab w:pos="812" w:val="left" w:leader="none"/>
        </w:tabs>
        <w:spacing w:line="240" w:lineRule="auto" w:before="0" w:after="0"/>
        <w:ind w:left="105" w:right="171" w:firstLine="0"/>
        <w:jc w:val="both"/>
        <w:rPr>
          <w:sz w:val="22"/>
          <w:szCs w:val="22"/>
        </w:rPr>
      </w:pPr>
      <w:r>
        <w:rPr>
          <w:sz w:val="22"/>
          <w:szCs w:val="22"/>
        </w:rPr>
        <w:t>Սահմանված</w:t>
      </w:r>
      <w:r>
        <w:rPr>
          <w:spacing w:val="-7"/>
          <w:sz w:val="22"/>
          <w:szCs w:val="22"/>
        </w:rPr>
        <w:t> </w:t>
      </w:r>
      <w:r>
        <w:rPr>
          <w:sz w:val="22"/>
          <w:szCs w:val="22"/>
        </w:rPr>
        <w:t>ժամկետներում</w:t>
      </w:r>
      <w:r>
        <w:rPr>
          <w:spacing w:val="-6"/>
          <w:sz w:val="22"/>
          <w:szCs w:val="22"/>
        </w:rPr>
        <w:t> </w:t>
      </w:r>
      <w:r>
        <w:rPr>
          <w:sz w:val="22"/>
          <w:szCs w:val="22"/>
        </w:rPr>
        <w:t>Ապահովագրողին</w:t>
      </w:r>
      <w:r>
        <w:rPr>
          <w:spacing w:val="-8"/>
          <w:sz w:val="22"/>
          <w:szCs w:val="22"/>
        </w:rPr>
        <w:t> </w:t>
      </w:r>
      <w:r>
        <w:rPr>
          <w:sz w:val="22"/>
          <w:szCs w:val="22"/>
        </w:rPr>
        <w:t>տեղեկացնել</w:t>
      </w:r>
      <w:r>
        <w:rPr>
          <w:spacing w:val="-6"/>
          <w:sz w:val="22"/>
          <w:szCs w:val="22"/>
        </w:rPr>
        <w:t> </w:t>
      </w:r>
      <w:r>
        <w:rPr>
          <w:sz w:val="22"/>
          <w:szCs w:val="22"/>
        </w:rPr>
        <w:t>ապահովագրական</w:t>
      </w:r>
      <w:r>
        <w:rPr>
          <w:spacing w:val="-7"/>
          <w:sz w:val="22"/>
          <w:szCs w:val="22"/>
        </w:rPr>
        <w:t> </w:t>
      </w:r>
      <w:r>
        <w:rPr>
          <w:sz w:val="22"/>
          <w:szCs w:val="22"/>
        </w:rPr>
        <w:t>պատահարի </w:t>
      </w:r>
      <w:r>
        <w:rPr>
          <w:spacing w:val="-2"/>
          <w:sz w:val="22"/>
          <w:szCs w:val="22"/>
        </w:rPr>
        <w:t>մասին,</w:t>
      </w:r>
    </w:p>
    <w:p>
      <w:pPr>
        <w:pStyle w:val="ListParagraph"/>
        <w:numPr>
          <w:ilvl w:val="2"/>
          <w:numId w:val="11"/>
        </w:numPr>
        <w:tabs>
          <w:tab w:pos="812" w:val="left" w:leader="none"/>
        </w:tabs>
        <w:spacing w:line="240" w:lineRule="auto" w:before="0" w:after="0"/>
        <w:ind w:left="811" w:right="0" w:hanging="707"/>
        <w:jc w:val="both"/>
        <w:rPr>
          <w:sz w:val="22"/>
          <w:szCs w:val="22"/>
        </w:rPr>
      </w:pPr>
      <w:r>
        <w:rPr>
          <w:sz w:val="22"/>
          <w:szCs w:val="22"/>
        </w:rPr>
        <w:t>պահպանել</w:t>
      </w:r>
      <w:r>
        <w:rPr>
          <w:spacing w:val="-10"/>
          <w:sz w:val="22"/>
          <w:szCs w:val="22"/>
        </w:rPr>
        <w:t> </w:t>
      </w:r>
      <w:r>
        <w:rPr>
          <w:sz w:val="22"/>
          <w:szCs w:val="22"/>
        </w:rPr>
        <w:t>ապահովագրության</w:t>
      </w:r>
      <w:r>
        <w:rPr>
          <w:spacing w:val="-6"/>
          <w:sz w:val="22"/>
          <w:szCs w:val="22"/>
        </w:rPr>
        <w:t> </w:t>
      </w:r>
      <w:r>
        <w:rPr>
          <w:spacing w:val="-2"/>
          <w:sz w:val="22"/>
          <w:szCs w:val="22"/>
        </w:rPr>
        <w:t>գաղտնիքը,</w:t>
      </w:r>
    </w:p>
    <w:p>
      <w:pPr>
        <w:pStyle w:val="ListParagraph"/>
        <w:numPr>
          <w:ilvl w:val="2"/>
          <w:numId w:val="11"/>
        </w:numPr>
        <w:tabs>
          <w:tab w:pos="811" w:val="left" w:leader="none"/>
        </w:tabs>
        <w:spacing w:line="240" w:lineRule="auto" w:before="0" w:after="0"/>
        <w:ind w:left="105" w:right="172" w:firstLine="0"/>
        <w:jc w:val="both"/>
        <w:rPr>
          <w:sz w:val="22"/>
          <w:szCs w:val="22"/>
        </w:rPr>
      </w:pPr>
      <w:r>
        <w:rPr>
          <w:sz w:val="22"/>
          <w:szCs w:val="22"/>
        </w:rPr>
        <w:t>սեփական պատասխանատվության և իրավասության շրջանակներում կիրառել ապահովագրական ռիսկի մեծացմանը բերող հանգամանքները վերացնելուն ուղղված միջոցներ,</w:t>
      </w:r>
    </w:p>
    <w:p>
      <w:pPr>
        <w:pStyle w:val="ListParagraph"/>
        <w:numPr>
          <w:ilvl w:val="2"/>
          <w:numId w:val="11"/>
        </w:numPr>
        <w:tabs>
          <w:tab w:pos="811" w:val="left" w:leader="none"/>
        </w:tabs>
        <w:spacing w:line="240" w:lineRule="auto" w:before="0" w:after="0"/>
        <w:ind w:left="104" w:right="176" w:firstLine="0"/>
        <w:jc w:val="both"/>
        <w:rPr>
          <w:sz w:val="22"/>
          <w:szCs w:val="22"/>
        </w:rPr>
      </w:pPr>
      <w:r>
        <w:rPr>
          <w:sz w:val="22"/>
          <w:szCs w:val="22"/>
        </w:rPr>
        <w:t>Ապահովագրողին տրամադրել գրավադրված գույքի իրացման հետ առնչվող ցանկացած </w:t>
      </w:r>
      <w:r>
        <w:rPr>
          <w:spacing w:val="-2"/>
          <w:sz w:val="22"/>
          <w:szCs w:val="22"/>
        </w:rPr>
        <w:t>տեղեկատվություն,</w:t>
      </w:r>
    </w:p>
    <w:p>
      <w:pPr>
        <w:pStyle w:val="ListParagraph"/>
        <w:numPr>
          <w:ilvl w:val="2"/>
          <w:numId w:val="11"/>
        </w:numPr>
        <w:tabs>
          <w:tab w:pos="811" w:val="left" w:leader="none"/>
        </w:tabs>
        <w:spacing w:line="240" w:lineRule="auto" w:before="0" w:after="0"/>
        <w:ind w:left="104" w:right="170" w:firstLine="0"/>
        <w:jc w:val="both"/>
        <w:rPr>
          <w:sz w:val="22"/>
          <w:szCs w:val="22"/>
        </w:rPr>
      </w:pPr>
      <w:r>
        <w:rPr>
          <w:sz w:val="22"/>
          <w:szCs w:val="22"/>
        </w:rPr>
        <w:t>Ապահովել Ապահովագրողի հետ հարաբերությունների շրջանակում ձեռք բերված տեղեկությունների գաղտնիությունը:</w:t>
      </w:r>
    </w:p>
    <w:p>
      <w:pPr>
        <w:pStyle w:val="BodyText"/>
        <w:spacing w:before="12"/>
        <w:jc w:val="left"/>
        <w:rPr>
          <w:sz w:val="21"/>
        </w:rPr>
      </w:pPr>
    </w:p>
    <w:p>
      <w:pPr>
        <w:pStyle w:val="ListParagraph"/>
        <w:numPr>
          <w:ilvl w:val="1"/>
          <w:numId w:val="10"/>
        </w:numPr>
        <w:tabs>
          <w:tab w:pos="825" w:val="left" w:leader="none"/>
        </w:tabs>
        <w:spacing w:line="240" w:lineRule="auto" w:before="1" w:after="0"/>
        <w:ind w:left="824" w:right="0" w:hanging="721"/>
        <w:jc w:val="both"/>
        <w:rPr>
          <w:b/>
          <w:bCs/>
          <w:sz w:val="22"/>
          <w:szCs w:val="22"/>
        </w:rPr>
      </w:pPr>
      <w:r>
        <w:rPr>
          <w:b/>
          <w:bCs/>
          <w:sz w:val="22"/>
          <w:szCs w:val="22"/>
        </w:rPr>
        <w:t>Ապահովագրողն</w:t>
      </w:r>
      <w:r>
        <w:rPr>
          <w:b/>
          <w:bCs/>
          <w:spacing w:val="-13"/>
          <w:sz w:val="22"/>
          <w:szCs w:val="22"/>
        </w:rPr>
        <w:t> </w:t>
      </w:r>
      <w:r>
        <w:rPr>
          <w:b/>
          <w:bCs/>
          <w:sz w:val="22"/>
          <w:szCs w:val="22"/>
        </w:rPr>
        <w:t>իրավունք</w:t>
      </w:r>
      <w:r>
        <w:rPr>
          <w:b/>
          <w:bCs/>
          <w:spacing w:val="-11"/>
          <w:sz w:val="22"/>
          <w:szCs w:val="22"/>
        </w:rPr>
        <w:t> </w:t>
      </w:r>
      <w:r>
        <w:rPr>
          <w:b/>
          <w:bCs/>
          <w:spacing w:val="-2"/>
          <w:sz w:val="22"/>
          <w:szCs w:val="22"/>
        </w:rPr>
        <w:t>ունի.</w:t>
      </w:r>
    </w:p>
    <w:p>
      <w:pPr>
        <w:pStyle w:val="ListParagraph"/>
        <w:numPr>
          <w:ilvl w:val="2"/>
          <w:numId w:val="10"/>
        </w:numPr>
        <w:tabs>
          <w:tab w:pos="810" w:val="left" w:leader="none"/>
        </w:tabs>
        <w:spacing w:line="240" w:lineRule="auto" w:before="0" w:after="0"/>
        <w:ind w:left="104" w:right="170" w:firstLine="0"/>
        <w:jc w:val="both"/>
        <w:rPr>
          <w:sz w:val="22"/>
          <w:szCs w:val="22"/>
        </w:rPr>
      </w:pPr>
      <w:r>
        <w:rPr>
          <w:sz w:val="22"/>
          <w:szCs w:val="22"/>
        </w:rPr>
        <w:t>ստուգել Վարկատուի և Վարկառուի կողմից հաղորդած տեղեկատվության արժանահատվությունը, ՀՀ օրենսդրությամբ սահմանված կարգով անձամբ հետաքննել ապահովագրական պատահարի հանգամանքները՝ կատարելով անհրաժեշտ հարցումներ: Այս դեպքում Պայմանների 5.4.7. և 6.4.7. կետերում նշված ժամկետը ողջամիտ ժամկետով կասեցվում է և վերսկսվում է կասեցման հիմքերը վերանայելու մասին իրեն հայտնի դառնալուց հետո 2 (երկու) աշխատանքային օրվա ընթացքում:</w:t>
      </w:r>
    </w:p>
    <w:p>
      <w:pPr>
        <w:pStyle w:val="ListParagraph"/>
        <w:numPr>
          <w:ilvl w:val="2"/>
          <w:numId w:val="10"/>
        </w:numPr>
        <w:tabs>
          <w:tab w:pos="810" w:val="left" w:leader="none"/>
        </w:tabs>
        <w:spacing w:line="240" w:lineRule="auto" w:before="0" w:after="0"/>
        <w:ind w:left="104" w:right="171" w:firstLine="0"/>
        <w:jc w:val="both"/>
        <w:rPr>
          <w:sz w:val="22"/>
          <w:szCs w:val="22"/>
        </w:rPr>
      </w:pPr>
      <w:r>
        <w:rPr>
          <w:sz w:val="22"/>
          <w:szCs w:val="22"/>
        </w:rPr>
        <w:t>Վարկատուից պահանջել տեղեկատվություն վերջինիս և Վարկառուի կողմից սույն Պայմանների, ապահովագրության Վկայագրի/Պայմանագրի պահանջների և պայմանների կատարման վերաբերյալ,</w:t>
      </w:r>
    </w:p>
    <w:p>
      <w:pPr>
        <w:pStyle w:val="ListParagraph"/>
        <w:numPr>
          <w:ilvl w:val="2"/>
          <w:numId w:val="10"/>
        </w:numPr>
        <w:tabs>
          <w:tab w:pos="810" w:val="left" w:leader="none"/>
        </w:tabs>
        <w:spacing w:line="240" w:lineRule="auto" w:before="0" w:after="0"/>
        <w:ind w:left="103" w:right="170" w:firstLine="0"/>
        <w:jc w:val="both"/>
        <w:rPr>
          <w:sz w:val="22"/>
          <w:szCs w:val="22"/>
        </w:rPr>
      </w:pPr>
      <w:r>
        <w:rPr>
          <w:sz w:val="22"/>
          <w:szCs w:val="22"/>
        </w:rPr>
        <w:t>մերժել Վարկառուի/Ապահովադրի հետ ապահովագրության Վկայագրի կնքումը կամ միակողմանի լուծել Ապահովադրի հետ կնքված վկայագիրը, եթե Վարկատուն և/կամ Վարկառուն հաղորդել են իրականությանը չհամապատասխանող և/կամ սուտ և/կամ ոչ ճիշտ տեղեկություններ կամ սահմանված ժամկետներում չեն վճարել ապահովագրավճարը,</w:t>
      </w:r>
    </w:p>
    <w:p>
      <w:pPr>
        <w:spacing w:after="0" w:line="240" w:lineRule="auto"/>
        <w:jc w:val="both"/>
        <w:rPr>
          <w:sz w:val="22"/>
          <w:szCs w:val="22"/>
        </w:rPr>
        <w:sectPr>
          <w:pgSz w:w="11910" w:h="16840"/>
          <w:pgMar w:header="0" w:footer="786" w:top="340" w:bottom="1040" w:left="600" w:right="820"/>
        </w:sectPr>
      </w:pPr>
    </w:p>
    <w:p>
      <w:pPr>
        <w:pStyle w:val="ListParagraph"/>
        <w:numPr>
          <w:ilvl w:val="2"/>
          <w:numId w:val="10"/>
        </w:numPr>
        <w:tabs>
          <w:tab w:pos="881" w:val="left" w:leader="none"/>
        </w:tabs>
        <w:spacing w:line="240" w:lineRule="auto" w:before="91" w:after="0"/>
        <w:ind w:left="107" w:right="168" w:firstLine="0"/>
        <w:jc w:val="both"/>
        <w:rPr>
          <w:sz w:val="20"/>
          <w:szCs w:val="20"/>
        </w:rPr>
      </w:pPr>
      <w:r>
        <w:rPr>
          <w:sz w:val="22"/>
          <w:szCs w:val="22"/>
        </w:rPr>
        <w:t>ներգրավված լինել գրավադրված Անշարժ գույքի իրացման հետ կապված բոլոր գործընթացներին, Վարկատուից պահանջել գույքի իրացման հետ առնչվող ցանկացած տեղեկատվություն և փաստաթուղթ: Ապահովադրի կողմից պատվիրված՝ Գնահատող կազմակերպության կողմից տրված Անշարժ գույքի արժեքի (շուկայական և լիկվիդացիոն) վերաբերյալ գնահատման</w:t>
      </w:r>
      <w:r>
        <w:rPr>
          <w:spacing w:val="40"/>
          <w:sz w:val="22"/>
          <w:szCs w:val="22"/>
        </w:rPr>
        <w:t> </w:t>
      </w:r>
      <w:r>
        <w:rPr>
          <w:sz w:val="22"/>
          <w:szCs w:val="22"/>
        </w:rPr>
        <w:t>արդյունքների հետ համաձայն չլինելու դեպքում Ապահովագրողն իրավունք ունի իր միջոցների հաշվին պահանջել անշարժ գույքի գնահատման իրականացում այլ անկախ գնահատող կազմակերպության մոտ: Ստացված գնահատված արժեքների միջև Էական տարբերությունների արձանագրման դեպքում, կողմերի փոխադարձ համաձայնությամբ, անշարժ գույքի գնահատման պատվիրակումը կարող է իրականացվել երրորդ գնահատող կազմակերպության կողմից, կամ համաձայն ՀՀ օրենսդրության վիճարկվել դատական կարգով:</w:t>
      </w:r>
    </w:p>
    <w:p>
      <w:pPr>
        <w:pStyle w:val="BodyText"/>
        <w:jc w:val="left"/>
      </w:pPr>
    </w:p>
    <w:p>
      <w:pPr>
        <w:pStyle w:val="ListParagraph"/>
        <w:numPr>
          <w:ilvl w:val="2"/>
          <w:numId w:val="10"/>
        </w:numPr>
        <w:tabs>
          <w:tab w:pos="814" w:val="left" w:leader="none"/>
        </w:tabs>
        <w:spacing w:line="240" w:lineRule="auto" w:before="0" w:after="0"/>
        <w:ind w:left="107" w:right="169" w:firstLine="0"/>
        <w:jc w:val="both"/>
        <w:rPr>
          <w:sz w:val="22"/>
          <w:szCs w:val="22"/>
        </w:rPr>
      </w:pPr>
      <w:r>
        <w:rPr>
          <w:sz w:val="22"/>
          <w:szCs w:val="22"/>
        </w:rPr>
        <w:t>մերժել կամ նվազեցել ապահովագրական հատուցման վճարումը` համաձայն սույն Պայմաններով և ՀՀ քաղաքացիական օրենսգրքով նախատեսված դեպքերի:</w:t>
      </w:r>
    </w:p>
    <w:p>
      <w:pPr>
        <w:pStyle w:val="BodyText"/>
        <w:jc w:val="left"/>
      </w:pPr>
    </w:p>
    <w:p>
      <w:pPr>
        <w:pStyle w:val="ListParagraph"/>
        <w:numPr>
          <w:ilvl w:val="1"/>
          <w:numId w:val="10"/>
        </w:numPr>
        <w:tabs>
          <w:tab w:pos="828" w:val="left" w:leader="none"/>
        </w:tabs>
        <w:spacing w:line="291" w:lineRule="exact" w:before="0" w:after="0"/>
        <w:ind w:left="827" w:right="0" w:hanging="721"/>
        <w:jc w:val="both"/>
        <w:rPr>
          <w:b/>
          <w:bCs/>
          <w:sz w:val="22"/>
          <w:szCs w:val="22"/>
        </w:rPr>
      </w:pPr>
      <w:r>
        <w:rPr>
          <w:b/>
          <w:bCs/>
          <w:sz w:val="22"/>
          <w:szCs w:val="22"/>
        </w:rPr>
        <w:t>Ապահովագրողը</w:t>
      </w:r>
      <w:r>
        <w:rPr>
          <w:b/>
          <w:bCs/>
          <w:spacing w:val="-11"/>
          <w:sz w:val="22"/>
          <w:szCs w:val="22"/>
        </w:rPr>
        <w:t> </w:t>
      </w:r>
      <w:r>
        <w:rPr>
          <w:b/>
          <w:bCs/>
          <w:sz w:val="22"/>
          <w:szCs w:val="22"/>
        </w:rPr>
        <w:t>պարտավոր</w:t>
      </w:r>
      <w:r>
        <w:rPr>
          <w:b/>
          <w:bCs/>
          <w:spacing w:val="-10"/>
          <w:sz w:val="22"/>
          <w:szCs w:val="22"/>
        </w:rPr>
        <w:t> </w:t>
      </w:r>
      <w:r>
        <w:rPr>
          <w:b/>
          <w:bCs/>
          <w:spacing w:val="-5"/>
          <w:sz w:val="22"/>
          <w:szCs w:val="22"/>
        </w:rPr>
        <w:t>է.</w:t>
      </w:r>
    </w:p>
    <w:p>
      <w:pPr>
        <w:pStyle w:val="ListParagraph"/>
        <w:numPr>
          <w:ilvl w:val="2"/>
          <w:numId w:val="10"/>
        </w:numPr>
        <w:tabs>
          <w:tab w:pos="814" w:val="left" w:leader="none"/>
        </w:tabs>
        <w:spacing w:line="240" w:lineRule="auto" w:before="0" w:after="0"/>
        <w:ind w:left="108" w:right="168" w:firstLine="0"/>
        <w:jc w:val="both"/>
        <w:rPr>
          <w:sz w:val="22"/>
          <w:szCs w:val="22"/>
        </w:rPr>
      </w:pPr>
      <w:r>
        <w:rPr>
          <w:sz w:val="22"/>
          <w:szCs w:val="22"/>
        </w:rPr>
        <w:t>ծանոթացնել Ապահովադրին ապահովագրության պայմանների հետ և անհրաժեշտ պայմանների առկայության դեպքում կնքել Ապահովագրության վկայագիր` տրամադրելով դրա մեկ </w:t>
      </w:r>
      <w:r>
        <w:rPr>
          <w:spacing w:val="-2"/>
          <w:sz w:val="22"/>
          <w:szCs w:val="22"/>
        </w:rPr>
        <w:t>օրինակը,</w:t>
      </w:r>
    </w:p>
    <w:p>
      <w:pPr>
        <w:pStyle w:val="ListParagraph"/>
        <w:numPr>
          <w:ilvl w:val="2"/>
          <w:numId w:val="10"/>
        </w:numPr>
        <w:tabs>
          <w:tab w:pos="814" w:val="left" w:leader="none"/>
        </w:tabs>
        <w:spacing w:line="240" w:lineRule="auto" w:before="1" w:after="0"/>
        <w:ind w:left="107" w:right="167" w:firstLine="0"/>
        <w:jc w:val="both"/>
        <w:rPr>
          <w:sz w:val="22"/>
          <w:szCs w:val="22"/>
        </w:rPr>
      </w:pPr>
      <w:r>
        <w:rPr>
          <w:sz w:val="22"/>
          <w:szCs w:val="22"/>
        </w:rPr>
        <w:t>Վկայագրով և Պայմաններով նախատեսված դեպքերում Վարկատուին` որպես շահառու, վճարել ապահովագրական հատուցում,</w:t>
      </w:r>
    </w:p>
    <w:p>
      <w:pPr>
        <w:pStyle w:val="ListParagraph"/>
        <w:numPr>
          <w:ilvl w:val="2"/>
          <w:numId w:val="10"/>
        </w:numPr>
        <w:tabs>
          <w:tab w:pos="814" w:val="left" w:leader="none"/>
        </w:tabs>
        <w:spacing w:line="240" w:lineRule="auto" w:before="0" w:after="0"/>
        <w:ind w:left="107" w:right="169" w:firstLine="0"/>
        <w:jc w:val="both"/>
        <w:rPr>
          <w:sz w:val="22"/>
          <w:szCs w:val="22"/>
        </w:rPr>
      </w:pPr>
      <w:r>
        <w:rPr>
          <w:sz w:val="22"/>
          <w:szCs w:val="22"/>
        </w:rPr>
        <w:t>ապահովել Վարկատուի և Վարկառուի հետ հարաբերությունների շրջանակում ձեռք բերված տեղեկությունների գաղտնիությունը:</w:t>
      </w:r>
    </w:p>
    <w:p>
      <w:pPr>
        <w:pStyle w:val="BodyText"/>
        <w:jc w:val="left"/>
      </w:pPr>
    </w:p>
    <w:p>
      <w:pPr>
        <w:pStyle w:val="ListParagraph"/>
        <w:numPr>
          <w:ilvl w:val="1"/>
          <w:numId w:val="10"/>
        </w:numPr>
        <w:tabs>
          <w:tab w:pos="812" w:val="left" w:leader="none"/>
          <w:tab w:pos="813" w:val="left" w:leader="none"/>
        </w:tabs>
        <w:spacing w:line="291" w:lineRule="exact" w:before="0" w:after="0"/>
        <w:ind w:left="812" w:right="0" w:hanging="706"/>
        <w:jc w:val="left"/>
        <w:rPr>
          <w:b/>
          <w:bCs/>
          <w:sz w:val="22"/>
          <w:szCs w:val="22"/>
        </w:rPr>
      </w:pPr>
      <w:r>
        <w:rPr>
          <w:b/>
          <w:bCs/>
          <w:sz w:val="22"/>
          <w:szCs w:val="22"/>
        </w:rPr>
        <w:t>Ապահովադիրն</w:t>
      </w:r>
      <w:r>
        <w:rPr>
          <w:b/>
          <w:bCs/>
          <w:spacing w:val="-11"/>
          <w:sz w:val="22"/>
          <w:szCs w:val="22"/>
        </w:rPr>
        <w:t> </w:t>
      </w:r>
      <w:r>
        <w:rPr>
          <w:b/>
          <w:bCs/>
          <w:sz w:val="22"/>
          <w:szCs w:val="22"/>
        </w:rPr>
        <w:t>իրավունք</w:t>
      </w:r>
      <w:r>
        <w:rPr>
          <w:b/>
          <w:bCs/>
          <w:spacing w:val="-10"/>
          <w:sz w:val="22"/>
          <w:szCs w:val="22"/>
        </w:rPr>
        <w:t> </w:t>
      </w:r>
      <w:r>
        <w:rPr>
          <w:b/>
          <w:bCs/>
          <w:spacing w:val="-2"/>
          <w:sz w:val="22"/>
          <w:szCs w:val="22"/>
        </w:rPr>
        <w:t>ունի.</w:t>
      </w:r>
    </w:p>
    <w:p>
      <w:pPr>
        <w:pStyle w:val="ListParagraph"/>
        <w:numPr>
          <w:ilvl w:val="2"/>
          <w:numId w:val="10"/>
        </w:numPr>
        <w:tabs>
          <w:tab w:pos="813" w:val="left" w:leader="none"/>
        </w:tabs>
        <w:spacing w:line="240" w:lineRule="auto" w:before="0" w:after="0"/>
        <w:ind w:left="119" w:right="171" w:hanging="12"/>
        <w:jc w:val="left"/>
        <w:rPr>
          <w:sz w:val="22"/>
          <w:szCs w:val="22"/>
        </w:rPr>
      </w:pPr>
      <w:r>
        <w:rPr>
          <w:sz w:val="22"/>
          <w:szCs w:val="22"/>
        </w:rPr>
        <w:t>ապահովագրական</w:t>
      </w:r>
      <w:r>
        <w:rPr>
          <w:spacing w:val="40"/>
          <w:sz w:val="22"/>
          <w:szCs w:val="22"/>
        </w:rPr>
        <w:t> </w:t>
      </w:r>
      <w:r>
        <w:rPr>
          <w:sz w:val="22"/>
          <w:szCs w:val="22"/>
        </w:rPr>
        <w:t>ռիսկի</w:t>
      </w:r>
      <w:r>
        <w:rPr>
          <w:spacing w:val="40"/>
          <w:sz w:val="22"/>
          <w:szCs w:val="22"/>
        </w:rPr>
        <w:t> </w:t>
      </w:r>
      <w:r>
        <w:rPr>
          <w:sz w:val="22"/>
          <w:szCs w:val="22"/>
        </w:rPr>
        <w:t>շարունակական</w:t>
      </w:r>
      <w:r>
        <w:rPr>
          <w:spacing w:val="40"/>
          <w:sz w:val="22"/>
          <w:szCs w:val="22"/>
        </w:rPr>
        <w:t> </w:t>
      </w:r>
      <w:r>
        <w:rPr>
          <w:sz w:val="22"/>
          <w:szCs w:val="22"/>
        </w:rPr>
        <w:t>նվազեցման</w:t>
      </w:r>
      <w:r>
        <w:rPr>
          <w:spacing w:val="40"/>
          <w:sz w:val="22"/>
          <w:szCs w:val="22"/>
        </w:rPr>
        <w:t> </w:t>
      </w:r>
      <w:r>
        <w:rPr>
          <w:sz w:val="22"/>
          <w:szCs w:val="22"/>
        </w:rPr>
        <w:t>դեպքում</w:t>
      </w:r>
      <w:r>
        <w:rPr>
          <w:spacing w:val="40"/>
          <w:sz w:val="22"/>
          <w:szCs w:val="22"/>
        </w:rPr>
        <w:t> </w:t>
      </w:r>
      <w:r>
        <w:rPr>
          <w:sz w:val="22"/>
          <w:szCs w:val="22"/>
        </w:rPr>
        <w:t>պահանջելու</w:t>
      </w:r>
      <w:r>
        <w:rPr>
          <w:spacing w:val="40"/>
          <w:sz w:val="22"/>
          <w:szCs w:val="22"/>
        </w:rPr>
        <w:t> </w:t>
      </w:r>
      <w:r>
        <w:rPr>
          <w:sz w:val="22"/>
          <w:szCs w:val="22"/>
        </w:rPr>
        <w:t>նվազեցնել </w:t>
      </w:r>
      <w:r>
        <w:rPr>
          <w:spacing w:val="-2"/>
          <w:sz w:val="22"/>
          <w:szCs w:val="22"/>
        </w:rPr>
        <w:t>ապահովագրավճարը,</w:t>
      </w:r>
    </w:p>
    <w:p>
      <w:pPr>
        <w:pStyle w:val="ListParagraph"/>
        <w:numPr>
          <w:ilvl w:val="2"/>
          <w:numId w:val="10"/>
        </w:numPr>
        <w:tabs>
          <w:tab w:pos="813" w:val="left" w:leader="none"/>
        </w:tabs>
        <w:spacing w:line="240" w:lineRule="auto" w:before="0" w:after="0"/>
        <w:ind w:left="812" w:right="0" w:hanging="706"/>
        <w:jc w:val="left"/>
        <w:rPr>
          <w:sz w:val="22"/>
          <w:szCs w:val="22"/>
        </w:rPr>
      </w:pPr>
      <w:r>
        <w:rPr>
          <w:sz w:val="22"/>
          <w:szCs w:val="22"/>
        </w:rPr>
        <w:t>դիմել</w:t>
      </w:r>
      <w:r>
        <w:rPr>
          <w:spacing w:val="-6"/>
          <w:sz w:val="22"/>
          <w:szCs w:val="22"/>
        </w:rPr>
        <w:t> </w:t>
      </w:r>
      <w:r>
        <w:rPr>
          <w:sz w:val="22"/>
          <w:szCs w:val="22"/>
        </w:rPr>
        <w:t>Վկայագրի/Պայմանագրի</w:t>
      </w:r>
      <w:r>
        <w:rPr>
          <w:spacing w:val="-5"/>
          <w:sz w:val="22"/>
          <w:szCs w:val="22"/>
        </w:rPr>
        <w:t> </w:t>
      </w:r>
      <w:r>
        <w:rPr>
          <w:sz w:val="22"/>
          <w:szCs w:val="22"/>
        </w:rPr>
        <w:t>պայմանների</w:t>
      </w:r>
      <w:r>
        <w:rPr>
          <w:spacing w:val="-8"/>
          <w:sz w:val="22"/>
          <w:szCs w:val="22"/>
        </w:rPr>
        <w:t> </w:t>
      </w:r>
      <w:r>
        <w:rPr>
          <w:sz w:val="22"/>
          <w:szCs w:val="22"/>
        </w:rPr>
        <w:t>փոփոխման</w:t>
      </w:r>
      <w:r>
        <w:rPr>
          <w:spacing w:val="-7"/>
          <w:sz w:val="22"/>
          <w:szCs w:val="22"/>
        </w:rPr>
        <w:t> </w:t>
      </w:r>
      <w:r>
        <w:rPr>
          <w:sz w:val="22"/>
          <w:szCs w:val="22"/>
        </w:rPr>
        <w:t>և/կամ</w:t>
      </w:r>
      <w:r>
        <w:rPr>
          <w:spacing w:val="-5"/>
          <w:sz w:val="22"/>
          <w:szCs w:val="22"/>
        </w:rPr>
        <w:t> </w:t>
      </w:r>
      <w:r>
        <w:rPr>
          <w:sz w:val="22"/>
          <w:szCs w:val="22"/>
        </w:rPr>
        <w:t>լրացման</w:t>
      </w:r>
      <w:r>
        <w:rPr>
          <w:spacing w:val="-5"/>
          <w:sz w:val="22"/>
          <w:szCs w:val="22"/>
        </w:rPr>
        <w:t> </w:t>
      </w:r>
      <w:r>
        <w:rPr>
          <w:spacing w:val="-2"/>
          <w:sz w:val="22"/>
          <w:szCs w:val="22"/>
        </w:rPr>
        <w:t>համար,</w:t>
      </w:r>
    </w:p>
    <w:p>
      <w:pPr>
        <w:pStyle w:val="ListParagraph"/>
        <w:numPr>
          <w:ilvl w:val="2"/>
          <w:numId w:val="10"/>
        </w:numPr>
        <w:tabs>
          <w:tab w:pos="813" w:val="left" w:leader="none"/>
        </w:tabs>
        <w:spacing w:line="240" w:lineRule="auto" w:before="0" w:after="0"/>
        <w:ind w:left="812" w:right="0" w:hanging="706"/>
        <w:jc w:val="left"/>
        <w:rPr>
          <w:sz w:val="22"/>
          <w:szCs w:val="22"/>
        </w:rPr>
      </w:pPr>
      <w:r>
        <w:rPr>
          <w:sz w:val="22"/>
          <w:szCs w:val="22"/>
        </w:rPr>
        <w:t>սահմանված</w:t>
      </w:r>
      <w:r>
        <w:rPr>
          <w:spacing w:val="-6"/>
          <w:sz w:val="22"/>
          <w:szCs w:val="22"/>
        </w:rPr>
        <w:t> </w:t>
      </w:r>
      <w:r>
        <w:rPr>
          <w:sz w:val="22"/>
          <w:szCs w:val="22"/>
        </w:rPr>
        <w:t>կարգով</w:t>
      </w:r>
      <w:r>
        <w:rPr>
          <w:spacing w:val="-5"/>
          <w:sz w:val="22"/>
          <w:szCs w:val="22"/>
        </w:rPr>
        <w:t> </w:t>
      </w:r>
      <w:r>
        <w:rPr>
          <w:sz w:val="22"/>
          <w:szCs w:val="22"/>
        </w:rPr>
        <w:t>վաղաժամկետ</w:t>
      </w:r>
      <w:r>
        <w:rPr>
          <w:spacing w:val="-5"/>
          <w:sz w:val="22"/>
          <w:szCs w:val="22"/>
        </w:rPr>
        <w:t> </w:t>
      </w:r>
      <w:r>
        <w:rPr>
          <w:sz w:val="22"/>
          <w:szCs w:val="22"/>
        </w:rPr>
        <w:t>լուծել</w:t>
      </w:r>
      <w:r>
        <w:rPr>
          <w:spacing w:val="-5"/>
          <w:sz w:val="22"/>
          <w:szCs w:val="22"/>
        </w:rPr>
        <w:t> </w:t>
      </w:r>
      <w:r>
        <w:rPr>
          <w:spacing w:val="-2"/>
          <w:sz w:val="22"/>
          <w:szCs w:val="22"/>
        </w:rPr>
        <w:t>Վկայագիրը/Պայմանագիրը,</w:t>
      </w:r>
    </w:p>
    <w:p>
      <w:pPr>
        <w:pStyle w:val="ListParagraph"/>
        <w:numPr>
          <w:ilvl w:val="2"/>
          <w:numId w:val="10"/>
        </w:numPr>
        <w:tabs>
          <w:tab w:pos="813" w:val="left" w:leader="none"/>
        </w:tabs>
        <w:spacing w:line="240" w:lineRule="auto" w:before="0" w:after="0"/>
        <w:ind w:left="119" w:right="172" w:hanging="12"/>
        <w:jc w:val="left"/>
        <w:rPr>
          <w:sz w:val="22"/>
          <w:szCs w:val="22"/>
        </w:rPr>
      </w:pPr>
      <w:r>
        <w:rPr>
          <w:sz w:val="22"/>
          <w:szCs w:val="22"/>
        </w:rPr>
        <w:t>ստանալ</w:t>
      </w:r>
      <w:r>
        <w:rPr>
          <w:spacing w:val="40"/>
          <w:sz w:val="22"/>
          <w:szCs w:val="22"/>
        </w:rPr>
        <w:t> </w:t>
      </w:r>
      <w:r>
        <w:rPr>
          <w:sz w:val="22"/>
          <w:szCs w:val="22"/>
        </w:rPr>
        <w:t>Վկայագրի</w:t>
      </w:r>
      <w:r>
        <w:rPr>
          <w:spacing w:val="40"/>
          <w:sz w:val="22"/>
          <w:szCs w:val="22"/>
        </w:rPr>
        <w:t> </w:t>
      </w:r>
      <w:r>
        <w:rPr>
          <w:sz w:val="22"/>
          <w:szCs w:val="22"/>
        </w:rPr>
        <w:t>կրկնօրինակը</w:t>
      </w:r>
      <w:r>
        <w:rPr>
          <w:spacing w:val="40"/>
          <w:sz w:val="22"/>
          <w:szCs w:val="22"/>
        </w:rPr>
        <w:t> </w:t>
      </w:r>
      <w:r>
        <w:rPr>
          <w:sz w:val="22"/>
          <w:szCs w:val="22"/>
        </w:rPr>
        <w:t>կամ</w:t>
      </w:r>
      <w:r>
        <w:rPr>
          <w:spacing w:val="40"/>
          <w:sz w:val="22"/>
          <w:szCs w:val="22"/>
        </w:rPr>
        <w:t> </w:t>
      </w:r>
      <w:r>
        <w:rPr>
          <w:sz w:val="22"/>
          <w:szCs w:val="22"/>
        </w:rPr>
        <w:t>Ապահովագրողի</w:t>
      </w:r>
      <w:r>
        <w:rPr>
          <w:spacing w:val="40"/>
          <w:sz w:val="22"/>
          <w:szCs w:val="22"/>
        </w:rPr>
        <w:t> </w:t>
      </w:r>
      <w:r>
        <w:rPr>
          <w:sz w:val="22"/>
          <w:szCs w:val="22"/>
        </w:rPr>
        <w:t>կողմից</w:t>
      </w:r>
      <w:r>
        <w:rPr>
          <w:spacing w:val="40"/>
          <w:sz w:val="22"/>
          <w:szCs w:val="22"/>
        </w:rPr>
        <w:t> </w:t>
      </w:r>
      <w:r>
        <w:rPr>
          <w:sz w:val="22"/>
          <w:szCs w:val="22"/>
        </w:rPr>
        <w:t>հաստատված</w:t>
      </w:r>
      <w:r>
        <w:rPr>
          <w:spacing w:val="40"/>
          <w:sz w:val="22"/>
          <w:szCs w:val="22"/>
        </w:rPr>
        <w:t> </w:t>
      </w:r>
      <w:r>
        <w:rPr>
          <w:sz w:val="22"/>
          <w:szCs w:val="22"/>
        </w:rPr>
        <w:t>պատճենը՝ բնօրինակը կորցնելու կամ վնասվելու դեպքում:</w:t>
      </w:r>
    </w:p>
    <w:p>
      <w:pPr>
        <w:pStyle w:val="BodyText"/>
        <w:spacing w:before="2"/>
        <w:jc w:val="left"/>
      </w:pPr>
    </w:p>
    <w:p>
      <w:pPr>
        <w:pStyle w:val="ListParagraph"/>
        <w:numPr>
          <w:ilvl w:val="1"/>
          <w:numId w:val="10"/>
        </w:numPr>
        <w:tabs>
          <w:tab w:pos="840" w:val="left" w:leader="none"/>
        </w:tabs>
        <w:spacing w:line="291" w:lineRule="exact" w:before="0" w:after="0"/>
        <w:ind w:left="839" w:right="0" w:hanging="721"/>
        <w:jc w:val="both"/>
        <w:rPr>
          <w:b/>
          <w:bCs/>
          <w:sz w:val="22"/>
          <w:szCs w:val="22"/>
        </w:rPr>
      </w:pPr>
      <w:r>
        <w:rPr>
          <w:b/>
          <w:bCs/>
          <w:sz w:val="22"/>
          <w:szCs w:val="22"/>
        </w:rPr>
        <w:t>Ապահովադիրը</w:t>
      </w:r>
      <w:r>
        <w:rPr>
          <w:b/>
          <w:bCs/>
          <w:spacing w:val="-10"/>
          <w:sz w:val="22"/>
          <w:szCs w:val="22"/>
        </w:rPr>
        <w:t> </w:t>
      </w:r>
      <w:r>
        <w:rPr>
          <w:b/>
          <w:bCs/>
          <w:sz w:val="22"/>
          <w:szCs w:val="22"/>
        </w:rPr>
        <w:t>պարտավոր</w:t>
      </w:r>
      <w:r>
        <w:rPr>
          <w:b/>
          <w:bCs/>
          <w:spacing w:val="-9"/>
          <w:sz w:val="22"/>
          <w:szCs w:val="22"/>
        </w:rPr>
        <w:t> </w:t>
      </w:r>
      <w:r>
        <w:rPr>
          <w:b/>
          <w:bCs/>
          <w:spacing w:val="-5"/>
          <w:sz w:val="22"/>
          <w:szCs w:val="22"/>
        </w:rPr>
        <w:t>է.</w:t>
      </w:r>
    </w:p>
    <w:p>
      <w:pPr>
        <w:pStyle w:val="ListParagraph"/>
        <w:numPr>
          <w:ilvl w:val="2"/>
          <w:numId w:val="10"/>
        </w:numPr>
        <w:tabs>
          <w:tab w:pos="813" w:val="left" w:leader="none"/>
        </w:tabs>
        <w:spacing w:line="240" w:lineRule="auto" w:before="0" w:after="0"/>
        <w:ind w:left="119" w:right="171" w:hanging="13"/>
        <w:jc w:val="both"/>
        <w:rPr>
          <w:sz w:val="22"/>
          <w:szCs w:val="22"/>
        </w:rPr>
      </w:pPr>
      <w:r>
        <w:rPr>
          <w:sz w:val="22"/>
          <w:szCs w:val="22"/>
        </w:rPr>
        <w:t>Վկայագրում/Պայմանագրում սահմանված չափով, կարգով և ժամկետներում վճարել </w:t>
      </w:r>
      <w:r>
        <w:rPr>
          <w:spacing w:val="-2"/>
          <w:sz w:val="22"/>
          <w:szCs w:val="22"/>
        </w:rPr>
        <w:t>ապահովագրավճարը,</w:t>
      </w:r>
    </w:p>
    <w:p>
      <w:pPr>
        <w:pStyle w:val="ListParagraph"/>
        <w:numPr>
          <w:ilvl w:val="2"/>
          <w:numId w:val="10"/>
        </w:numPr>
        <w:tabs>
          <w:tab w:pos="813" w:val="left" w:leader="none"/>
        </w:tabs>
        <w:spacing w:line="240" w:lineRule="auto" w:before="0" w:after="0"/>
        <w:ind w:left="812" w:right="0" w:hanging="706"/>
        <w:jc w:val="both"/>
        <w:rPr>
          <w:sz w:val="22"/>
          <w:szCs w:val="22"/>
        </w:rPr>
      </w:pPr>
      <w:r>
        <w:rPr>
          <w:sz w:val="22"/>
          <w:szCs w:val="22"/>
        </w:rPr>
        <w:t>Վկայագիրը</w:t>
      </w:r>
      <w:r>
        <w:rPr>
          <w:spacing w:val="-7"/>
          <w:sz w:val="22"/>
          <w:szCs w:val="22"/>
        </w:rPr>
        <w:t> </w:t>
      </w:r>
      <w:r>
        <w:rPr>
          <w:sz w:val="22"/>
          <w:szCs w:val="22"/>
        </w:rPr>
        <w:t>կնքել</w:t>
      </w:r>
      <w:r>
        <w:rPr>
          <w:spacing w:val="-4"/>
          <w:sz w:val="22"/>
          <w:szCs w:val="22"/>
        </w:rPr>
        <w:t> </w:t>
      </w:r>
      <w:r>
        <w:rPr>
          <w:sz w:val="22"/>
          <w:szCs w:val="22"/>
        </w:rPr>
        <w:t>հօգուտ</w:t>
      </w:r>
      <w:r>
        <w:rPr>
          <w:spacing w:val="-4"/>
          <w:sz w:val="22"/>
          <w:szCs w:val="22"/>
        </w:rPr>
        <w:t> </w:t>
      </w:r>
      <w:r>
        <w:rPr>
          <w:spacing w:val="-2"/>
          <w:sz w:val="22"/>
          <w:szCs w:val="22"/>
        </w:rPr>
        <w:t>Բանկի,</w:t>
      </w:r>
    </w:p>
    <w:p>
      <w:pPr>
        <w:pStyle w:val="ListParagraph"/>
        <w:numPr>
          <w:ilvl w:val="2"/>
          <w:numId w:val="10"/>
        </w:numPr>
        <w:tabs>
          <w:tab w:pos="813" w:val="left" w:leader="none"/>
        </w:tabs>
        <w:spacing w:line="240" w:lineRule="auto" w:before="0" w:after="0"/>
        <w:ind w:left="119" w:right="171" w:hanging="13"/>
        <w:jc w:val="both"/>
        <w:rPr>
          <w:sz w:val="22"/>
          <w:szCs w:val="22"/>
        </w:rPr>
      </w:pPr>
      <w:r>
        <w:rPr>
          <w:sz w:val="22"/>
          <w:szCs w:val="22"/>
        </w:rPr>
        <w:t>Ապահովագրողին տրամադրել Անշարժ գույքի իրացման հետ կապված և հատուցման համար անհրաժեշտ բոլոր տեղեկությունները,</w:t>
      </w:r>
    </w:p>
    <w:p>
      <w:pPr>
        <w:pStyle w:val="ListParagraph"/>
        <w:numPr>
          <w:ilvl w:val="2"/>
          <w:numId w:val="10"/>
        </w:numPr>
        <w:tabs>
          <w:tab w:pos="813" w:val="left" w:leader="none"/>
        </w:tabs>
        <w:spacing w:line="240" w:lineRule="auto" w:before="0" w:after="0"/>
        <w:ind w:left="812" w:right="0" w:hanging="707"/>
        <w:jc w:val="both"/>
        <w:rPr>
          <w:sz w:val="22"/>
          <w:szCs w:val="22"/>
        </w:rPr>
      </w:pPr>
      <w:r>
        <w:rPr>
          <w:sz w:val="22"/>
          <w:szCs w:val="22"/>
        </w:rPr>
        <w:t>Կատարել</w:t>
      </w:r>
      <w:r>
        <w:rPr>
          <w:spacing w:val="-7"/>
          <w:sz w:val="22"/>
          <w:szCs w:val="22"/>
        </w:rPr>
        <w:t> </w:t>
      </w:r>
      <w:r>
        <w:rPr>
          <w:sz w:val="22"/>
          <w:szCs w:val="22"/>
        </w:rPr>
        <w:t>սույն</w:t>
      </w:r>
      <w:r>
        <w:rPr>
          <w:spacing w:val="-7"/>
          <w:sz w:val="22"/>
          <w:szCs w:val="22"/>
        </w:rPr>
        <w:t> </w:t>
      </w:r>
      <w:r>
        <w:rPr>
          <w:sz w:val="22"/>
          <w:szCs w:val="22"/>
        </w:rPr>
        <w:t>Պայմաններով</w:t>
      </w:r>
      <w:r>
        <w:rPr>
          <w:spacing w:val="-7"/>
          <w:sz w:val="22"/>
          <w:szCs w:val="22"/>
        </w:rPr>
        <w:t> </w:t>
      </w:r>
      <w:r>
        <w:rPr>
          <w:sz w:val="22"/>
          <w:szCs w:val="22"/>
        </w:rPr>
        <w:t>և</w:t>
      </w:r>
      <w:r>
        <w:rPr>
          <w:spacing w:val="-7"/>
          <w:sz w:val="22"/>
          <w:szCs w:val="22"/>
        </w:rPr>
        <w:t> </w:t>
      </w:r>
      <w:r>
        <w:rPr>
          <w:sz w:val="22"/>
          <w:szCs w:val="22"/>
        </w:rPr>
        <w:t>Վկայագրով/Պայմանագրով</w:t>
      </w:r>
      <w:r>
        <w:rPr>
          <w:spacing w:val="-7"/>
          <w:sz w:val="22"/>
          <w:szCs w:val="22"/>
        </w:rPr>
        <w:t> </w:t>
      </w:r>
      <w:r>
        <w:rPr>
          <w:sz w:val="22"/>
          <w:szCs w:val="22"/>
        </w:rPr>
        <w:t>սահմանված</w:t>
      </w:r>
      <w:r>
        <w:rPr>
          <w:spacing w:val="-6"/>
          <w:sz w:val="22"/>
          <w:szCs w:val="22"/>
        </w:rPr>
        <w:t> </w:t>
      </w:r>
      <w:r>
        <w:rPr>
          <w:spacing w:val="-2"/>
          <w:sz w:val="22"/>
          <w:szCs w:val="22"/>
        </w:rPr>
        <w:t>դրույթները,</w:t>
      </w:r>
    </w:p>
    <w:p>
      <w:pPr>
        <w:pStyle w:val="ListParagraph"/>
        <w:numPr>
          <w:ilvl w:val="2"/>
          <w:numId w:val="10"/>
        </w:numPr>
        <w:tabs>
          <w:tab w:pos="813" w:val="left" w:leader="none"/>
        </w:tabs>
        <w:spacing w:line="240" w:lineRule="auto" w:before="0" w:after="0"/>
        <w:ind w:left="119" w:right="170" w:hanging="13"/>
        <w:jc w:val="both"/>
        <w:rPr>
          <w:sz w:val="22"/>
          <w:szCs w:val="22"/>
        </w:rPr>
      </w:pPr>
      <w:r>
        <w:rPr>
          <w:sz w:val="22"/>
          <w:szCs w:val="22"/>
        </w:rPr>
        <w:t>Վկայագրում կամ Պայմանագրում նշված</w:t>
      </w:r>
      <w:r>
        <w:rPr>
          <w:spacing w:val="40"/>
          <w:sz w:val="22"/>
          <w:szCs w:val="22"/>
        </w:rPr>
        <w:t> </w:t>
      </w:r>
      <w:r>
        <w:rPr>
          <w:sz w:val="22"/>
          <w:szCs w:val="22"/>
        </w:rPr>
        <w:t>տվյալների փոփոխության դեպքում այդ մասին 2 աշխատանքային օրվա ընթացքում հայտնել Ապահովագրողին, իսկ չհայտնելու դեպքում կրել դրա բացասական հետևանքները:</w:t>
      </w:r>
    </w:p>
    <w:p>
      <w:pPr>
        <w:pStyle w:val="BodyText"/>
        <w:spacing w:before="12"/>
        <w:jc w:val="left"/>
        <w:rPr>
          <w:sz w:val="21"/>
        </w:rPr>
      </w:pPr>
    </w:p>
    <w:p>
      <w:pPr>
        <w:pStyle w:val="ListParagraph"/>
        <w:numPr>
          <w:ilvl w:val="1"/>
          <w:numId w:val="10"/>
        </w:numPr>
        <w:tabs>
          <w:tab w:pos="813" w:val="left" w:leader="none"/>
        </w:tabs>
        <w:spacing w:line="240" w:lineRule="auto" w:before="0" w:after="0"/>
        <w:ind w:left="106" w:right="168" w:firstLine="0"/>
        <w:jc w:val="both"/>
        <w:rPr>
          <w:sz w:val="22"/>
          <w:szCs w:val="22"/>
        </w:rPr>
      </w:pPr>
      <w:r>
        <w:rPr>
          <w:sz w:val="22"/>
          <w:szCs w:val="22"/>
        </w:rPr>
        <w:t>Ապահովագրողը,</w:t>
      </w:r>
      <w:r>
        <w:rPr>
          <w:spacing w:val="40"/>
          <w:sz w:val="22"/>
          <w:szCs w:val="22"/>
        </w:rPr>
        <w:t> </w:t>
      </w:r>
      <w:r>
        <w:rPr>
          <w:sz w:val="22"/>
          <w:szCs w:val="22"/>
        </w:rPr>
        <w:t>Ապահովադիրը և Շահառուն կարող են ունենալ Պայմաններով, Պայմանագրով և Վկայագրով նախատեսված, ինչպես նաև ՀՀ օրենսդրությանը չհակասող այլ իրավունքներ և կրել ՀՀ օրենսդրությանը չհակասող այլ պարտականություններ:</w:t>
      </w:r>
    </w:p>
    <w:p>
      <w:pPr>
        <w:pStyle w:val="BodyText"/>
        <w:spacing w:before="11"/>
        <w:jc w:val="left"/>
        <w:rPr>
          <w:sz w:val="43"/>
        </w:rPr>
      </w:pPr>
    </w:p>
    <w:p>
      <w:pPr>
        <w:pStyle w:val="Heading1"/>
        <w:numPr>
          <w:ilvl w:val="0"/>
          <w:numId w:val="2"/>
        </w:numPr>
        <w:tabs>
          <w:tab w:pos="2067" w:val="left" w:leader="none"/>
        </w:tabs>
        <w:spacing w:line="240" w:lineRule="auto" w:before="0" w:after="0"/>
        <w:ind w:left="2066" w:right="63" w:hanging="2067"/>
        <w:jc w:val="left"/>
        <w:rPr>
          <w:sz w:val="20"/>
          <w:szCs w:val="20"/>
        </w:rPr>
      </w:pPr>
      <w:bookmarkStart w:name="11.ԱՆՀԱՂԹԱՀԱՐԵԼԻ ՈՒԺԻ ԱԶԴԵՑՈՒԹՅՈՒՆ (ՖՈՐՍ" w:id="21"/>
      <w:bookmarkEnd w:id="21"/>
      <w:r>
        <w:rPr>
          <w:b w:val="0"/>
          <w:bCs w:val="0"/>
        </w:rPr>
      </w:r>
      <w:bookmarkStart w:name="_bookmark10" w:id="22"/>
      <w:bookmarkEnd w:id="22"/>
      <w:r>
        <w:rPr/>
        <w:t>ԱՆ</w:t>
      </w:r>
      <w:r>
        <w:rPr/>
        <w:t>ՀԱՂԹԱՀԱՐԵԼԻ</w:t>
      </w:r>
      <w:r>
        <w:rPr>
          <w:spacing w:val="-14"/>
        </w:rPr>
        <w:t> </w:t>
      </w:r>
      <w:r>
        <w:rPr/>
        <w:t>ՈՒԺԻ</w:t>
      </w:r>
      <w:r>
        <w:rPr>
          <w:spacing w:val="-12"/>
        </w:rPr>
        <w:t> </w:t>
      </w:r>
      <w:r>
        <w:rPr/>
        <w:t>ԱԶԴԵՑՈՒԹՅՈՒՆ</w:t>
      </w:r>
      <w:r>
        <w:rPr>
          <w:spacing w:val="-12"/>
        </w:rPr>
        <w:t> </w:t>
      </w:r>
      <w:r>
        <w:rPr/>
        <w:t>(ՖՈՐՍ-</w:t>
      </w:r>
      <w:r>
        <w:rPr>
          <w:spacing w:val="-2"/>
        </w:rPr>
        <w:t>ՄԱԺՈՐ)</w:t>
      </w:r>
    </w:p>
    <w:p>
      <w:pPr>
        <w:pStyle w:val="BodyText"/>
        <w:spacing w:before="1"/>
        <w:jc w:val="left"/>
        <w:rPr>
          <w:b/>
        </w:rPr>
      </w:pPr>
    </w:p>
    <w:p>
      <w:pPr>
        <w:pStyle w:val="ListParagraph"/>
        <w:numPr>
          <w:ilvl w:val="1"/>
          <w:numId w:val="12"/>
        </w:numPr>
        <w:tabs>
          <w:tab w:pos="811" w:val="left" w:leader="none"/>
          <w:tab w:pos="812" w:val="left" w:leader="none"/>
          <w:tab w:pos="2179" w:val="left" w:leader="none"/>
          <w:tab w:pos="2738" w:val="left" w:leader="none"/>
          <w:tab w:pos="2795" w:val="left" w:leader="none"/>
          <w:tab w:pos="3587" w:val="left" w:leader="none"/>
          <w:tab w:pos="4606" w:val="left" w:leader="none"/>
          <w:tab w:pos="5249" w:val="left" w:leader="none"/>
          <w:tab w:pos="6464" w:val="left" w:leader="none"/>
          <w:tab w:pos="6931" w:val="left" w:leader="none"/>
          <w:tab w:pos="7025" w:val="left" w:leader="none"/>
          <w:tab w:pos="7934" w:val="left" w:leader="none"/>
          <w:tab w:pos="8377" w:val="left" w:leader="none"/>
          <w:tab w:pos="9390" w:val="left" w:leader="none"/>
          <w:tab w:pos="9765" w:val="left" w:leader="none"/>
          <w:tab w:pos="9994" w:val="left" w:leader="none"/>
        </w:tabs>
        <w:spacing w:line="240" w:lineRule="auto" w:before="0" w:after="0"/>
        <w:ind w:left="118" w:right="172" w:hanging="12"/>
        <w:jc w:val="left"/>
        <w:rPr>
          <w:sz w:val="22"/>
          <w:szCs w:val="22"/>
        </w:rPr>
      </w:pPr>
      <w:r>
        <w:rPr>
          <w:spacing w:val="-2"/>
          <w:sz w:val="22"/>
          <w:szCs w:val="22"/>
        </w:rPr>
        <w:t>Կողմերից</w:t>
      </w:r>
      <w:r>
        <w:rPr>
          <w:sz w:val="22"/>
          <w:szCs w:val="22"/>
        </w:rPr>
        <w:tab/>
      </w:r>
      <w:r>
        <w:rPr>
          <w:spacing w:val="-6"/>
          <w:sz w:val="22"/>
          <w:szCs w:val="22"/>
        </w:rPr>
        <w:t>ոչ</w:t>
      </w:r>
      <w:r>
        <w:rPr>
          <w:sz w:val="22"/>
          <w:szCs w:val="22"/>
        </w:rPr>
        <w:tab/>
      </w:r>
      <w:r>
        <w:rPr>
          <w:spacing w:val="-4"/>
          <w:sz w:val="22"/>
          <w:szCs w:val="22"/>
        </w:rPr>
        <w:t>մեկը</w:t>
      </w:r>
      <w:r>
        <w:rPr>
          <w:sz w:val="22"/>
          <w:szCs w:val="22"/>
        </w:rPr>
        <w:tab/>
      </w:r>
      <w:r>
        <w:rPr>
          <w:spacing w:val="-2"/>
          <w:sz w:val="22"/>
          <w:szCs w:val="22"/>
        </w:rPr>
        <w:t>պատասխանատվություն</w:t>
      </w:r>
      <w:r>
        <w:rPr>
          <w:sz w:val="22"/>
          <w:szCs w:val="22"/>
        </w:rPr>
        <w:tab/>
      </w:r>
      <w:r>
        <w:rPr>
          <w:spacing w:val="-6"/>
          <w:sz w:val="22"/>
          <w:szCs w:val="22"/>
        </w:rPr>
        <w:t>չի</w:t>
      </w:r>
      <w:r>
        <w:rPr>
          <w:sz w:val="22"/>
          <w:szCs w:val="22"/>
        </w:rPr>
        <w:tab/>
        <w:tab/>
      </w:r>
      <w:r>
        <w:rPr>
          <w:spacing w:val="-4"/>
          <w:sz w:val="22"/>
          <w:szCs w:val="22"/>
        </w:rPr>
        <w:t>կրում</w:t>
      </w:r>
      <w:r>
        <w:rPr>
          <w:sz w:val="22"/>
          <w:szCs w:val="22"/>
        </w:rPr>
        <w:tab/>
      </w:r>
      <w:r>
        <w:rPr>
          <w:spacing w:val="-2"/>
          <w:sz w:val="22"/>
          <w:szCs w:val="22"/>
        </w:rPr>
        <w:t>Պայմաններից</w:t>
      </w:r>
      <w:r>
        <w:rPr>
          <w:sz w:val="22"/>
          <w:szCs w:val="22"/>
        </w:rPr>
        <w:tab/>
        <w:tab/>
      </w:r>
      <w:r>
        <w:rPr>
          <w:spacing w:val="-4"/>
          <w:sz w:val="22"/>
          <w:szCs w:val="22"/>
        </w:rPr>
        <w:t>բխող</w:t>
      </w:r>
      <w:r>
        <w:rPr>
          <w:spacing w:val="-4"/>
          <w:sz w:val="22"/>
          <w:szCs w:val="22"/>
        </w:rPr>
        <w:t> </w:t>
      </w:r>
      <w:r>
        <w:rPr>
          <w:spacing w:val="-2"/>
          <w:sz w:val="22"/>
          <w:szCs w:val="22"/>
        </w:rPr>
        <w:t>պարտականություններն</w:t>
      </w:r>
      <w:r>
        <w:rPr>
          <w:sz w:val="22"/>
          <w:szCs w:val="22"/>
        </w:rPr>
        <w:tab/>
        <w:tab/>
      </w:r>
      <w:r>
        <w:rPr>
          <w:spacing w:val="-2"/>
          <w:sz w:val="22"/>
          <w:szCs w:val="22"/>
        </w:rPr>
        <w:t>ամբողջությամբ</w:t>
      </w:r>
      <w:r>
        <w:rPr>
          <w:sz w:val="22"/>
          <w:szCs w:val="22"/>
        </w:rPr>
        <w:tab/>
      </w:r>
      <w:r>
        <w:rPr>
          <w:spacing w:val="-5"/>
          <w:sz w:val="22"/>
          <w:szCs w:val="22"/>
        </w:rPr>
        <w:t>կամ</w:t>
      </w:r>
      <w:r>
        <w:rPr>
          <w:sz w:val="22"/>
          <w:szCs w:val="22"/>
        </w:rPr>
        <w:tab/>
      </w:r>
      <w:r>
        <w:rPr>
          <w:spacing w:val="-2"/>
          <w:sz w:val="22"/>
          <w:szCs w:val="22"/>
        </w:rPr>
        <w:t>մասնակիորեն</w:t>
      </w:r>
      <w:r>
        <w:rPr>
          <w:sz w:val="22"/>
          <w:szCs w:val="22"/>
        </w:rPr>
        <w:tab/>
      </w:r>
      <w:r>
        <w:rPr>
          <w:spacing w:val="-2"/>
          <w:sz w:val="22"/>
          <w:szCs w:val="22"/>
        </w:rPr>
        <w:t>չկատարելու</w:t>
      </w:r>
      <w:r>
        <w:rPr>
          <w:sz w:val="22"/>
          <w:szCs w:val="22"/>
        </w:rPr>
        <w:tab/>
      </w:r>
      <w:r>
        <w:rPr>
          <w:spacing w:val="-2"/>
          <w:sz w:val="22"/>
          <w:szCs w:val="22"/>
        </w:rPr>
        <w:t>համար,</w:t>
      </w:r>
      <w:r>
        <w:rPr>
          <w:sz w:val="22"/>
          <w:szCs w:val="22"/>
        </w:rPr>
        <w:tab/>
      </w:r>
      <w:r>
        <w:rPr>
          <w:spacing w:val="-5"/>
          <w:sz w:val="22"/>
          <w:szCs w:val="22"/>
        </w:rPr>
        <w:t>եթե</w:t>
      </w:r>
      <w:r>
        <w:rPr>
          <w:sz w:val="22"/>
          <w:szCs w:val="22"/>
        </w:rPr>
        <w:tab/>
      </w:r>
      <w:r>
        <w:rPr>
          <w:spacing w:val="-5"/>
          <w:sz w:val="22"/>
          <w:szCs w:val="22"/>
        </w:rPr>
        <w:t>դա</w:t>
      </w:r>
    </w:p>
    <w:p>
      <w:pPr>
        <w:spacing w:after="0" w:line="240" w:lineRule="auto"/>
        <w:jc w:val="left"/>
        <w:rPr>
          <w:sz w:val="22"/>
          <w:szCs w:val="22"/>
        </w:rPr>
        <w:sectPr>
          <w:pgSz w:w="11910" w:h="16840"/>
          <w:pgMar w:header="0" w:footer="786" w:top="340" w:bottom="1040" w:left="600" w:right="820"/>
        </w:sectPr>
      </w:pPr>
    </w:p>
    <w:p>
      <w:pPr>
        <w:pStyle w:val="BodyText"/>
        <w:spacing w:before="91"/>
        <w:ind w:left="119" w:right="168"/>
      </w:pPr>
      <w:r>
        <w:rPr/>
        <w:t>հանդիսացել է անհաղթահարելի ուժի ազդեցության հետևանք, մասնավորապես` ջրհեղեղի, երկրաշարժի և այլ տարերային աղետների, ռազմական գործողությունների, քաղաքացիական պատերազմի, ցանկացած տիպի ժողովրդական հուզումների, գործադուլների,</w:t>
      </w:r>
      <w:r>
        <w:rPr>
          <w:spacing w:val="40"/>
        </w:rPr>
        <w:t> </w:t>
      </w:r>
      <w:r>
        <w:rPr/>
        <w:t>տնտեսական շրջափակման, ինչպես նաև այլ կառավարության կողմից սահմանված սահմանափակումների և արգելքների,</w:t>
      </w:r>
      <w:r>
        <w:rPr>
          <w:spacing w:val="-2"/>
        </w:rPr>
        <w:t> </w:t>
      </w:r>
      <w:r>
        <w:rPr/>
        <w:t>որը</w:t>
      </w:r>
      <w:r>
        <w:rPr>
          <w:spacing w:val="-2"/>
        </w:rPr>
        <w:t> </w:t>
      </w:r>
      <w:r>
        <w:rPr/>
        <w:t>ծագել</w:t>
      </w:r>
      <w:r>
        <w:rPr>
          <w:spacing w:val="-5"/>
        </w:rPr>
        <w:t> </w:t>
      </w:r>
      <w:r>
        <w:rPr/>
        <w:t>է</w:t>
      </w:r>
      <w:r>
        <w:rPr>
          <w:spacing w:val="-2"/>
        </w:rPr>
        <w:t> </w:t>
      </w:r>
      <w:r>
        <w:rPr/>
        <w:t>Վկայագիրը</w:t>
      </w:r>
      <w:r>
        <w:rPr>
          <w:spacing w:val="-2"/>
        </w:rPr>
        <w:t> </w:t>
      </w:r>
      <w:r>
        <w:rPr/>
        <w:t>կնքելուց</w:t>
      </w:r>
      <w:r>
        <w:rPr>
          <w:spacing w:val="-3"/>
        </w:rPr>
        <w:t> </w:t>
      </w:r>
      <w:r>
        <w:rPr/>
        <w:t>հետո, և</w:t>
      </w:r>
      <w:r>
        <w:rPr>
          <w:spacing w:val="-2"/>
        </w:rPr>
        <w:t> </w:t>
      </w:r>
      <w:r>
        <w:rPr/>
        <w:t>որը</w:t>
      </w:r>
      <w:r>
        <w:rPr>
          <w:spacing w:val="-2"/>
        </w:rPr>
        <w:t> </w:t>
      </w:r>
      <w:r>
        <w:rPr/>
        <w:t>կողմերը</w:t>
      </w:r>
      <w:r>
        <w:rPr>
          <w:spacing w:val="-2"/>
        </w:rPr>
        <w:t> </w:t>
      </w:r>
      <w:r>
        <w:rPr/>
        <w:t>չէին</w:t>
      </w:r>
      <w:r>
        <w:rPr>
          <w:spacing w:val="-3"/>
        </w:rPr>
        <w:t> </w:t>
      </w:r>
      <w:r>
        <w:rPr/>
        <w:t>կարող</w:t>
      </w:r>
      <w:r>
        <w:rPr>
          <w:spacing w:val="-2"/>
        </w:rPr>
        <w:t> </w:t>
      </w:r>
      <w:r>
        <w:rPr/>
        <w:t>կանխատեսել</w:t>
      </w:r>
      <w:r>
        <w:rPr>
          <w:spacing w:val="-5"/>
        </w:rPr>
        <w:t> </w:t>
      </w:r>
      <w:r>
        <w:rPr/>
        <w:t>կամ կանխարգելել,</w:t>
      </w:r>
      <w:r>
        <w:rPr>
          <w:spacing w:val="-4"/>
        </w:rPr>
        <w:t> </w:t>
      </w:r>
      <w:r>
        <w:rPr/>
        <w:t>այդ</w:t>
      </w:r>
      <w:r>
        <w:rPr>
          <w:spacing w:val="-4"/>
        </w:rPr>
        <w:t> </w:t>
      </w:r>
      <w:r>
        <w:rPr/>
        <w:t>թվում`</w:t>
      </w:r>
      <w:r>
        <w:rPr>
          <w:spacing w:val="-1"/>
        </w:rPr>
        <w:t> </w:t>
      </w:r>
      <w:r>
        <w:rPr/>
        <w:t>գրավադրված</w:t>
      </w:r>
      <w:r>
        <w:rPr>
          <w:spacing w:val="40"/>
        </w:rPr>
        <w:t> </w:t>
      </w:r>
      <w:r>
        <w:rPr/>
        <w:t>Անշարժ</w:t>
      </w:r>
      <w:r>
        <w:rPr>
          <w:spacing w:val="-1"/>
        </w:rPr>
        <w:t> </w:t>
      </w:r>
      <w:r>
        <w:rPr/>
        <w:t>գույքի</w:t>
      </w:r>
      <w:r>
        <w:rPr>
          <w:spacing w:val="40"/>
        </w:rPr>
        <w:t> </w:t>
      </w:r>
      <w:r>
        <w:rPr/>
        <w:t>բռնագրավման,</w:t>
      </w:r>
      <w:r>
        <w:rPr>
          <w:spacing w:val="-2"/>
        </w:rPr>
        <w:t> </w:t>
      </w:r>
      <w:r>
        <w:rPr/>
        <w:t>ազգայնացման,</w:t>
      </w:r>
      <w:r>
        <w:rPr>
          <w:spacing w:val="-2"/>
        </w:rPr>
        <w:t> </w:t>
      </w:r>
      <w:r>
        <w:rPr/>
        <w:t>քանդման կամ ռեկվիզիցիայի հետ:</w:t>
      </w:r>
    </w:p>
    <w:p>
      <w:pPr>
        <w:pStyle w:val="ListParagraph"/>
        <w:numPr>
          <w:ilvl w:val="1"/>
          <w:numId w:val="12"/>
        </w:numPr>
        <w:tabs>
          <w:tab w:pos="814" w:val="left" w:leader="none"/>
        </w:tabs>
        <w:spacing w:line="240" w:lineRule="auto" w:before="0" w:after="0"/>
        <w:ind w:left="120" w:right="169" w:hanging="13"/>
        <w:jc w:val="both"/>
        <w:rPr>
          <w:sz w:val="22"/>
          <w:szCs w:val="22"/>
        </w:rPr>
      </w:pPr>
      <w:r>
        <w:rPr>
          <w:sz w:val="22"/>
          <w:szCs w:val="22"/>
        </w:rPr>
        <w:t>Այն դեպքում, երբ Պայմանների 11.1. կետում նշված հանգամանքներից մեկն</w:t>
      </w:r>
      <w:r>
        <w:rPr>
          <w:spacing w:val="40"/>
          <w:sz w:val="22"/>
          <w:szCs w:val="22"/>
        </w:rPr>
        <w:t> </w:t>
      </w:r>
      <w:r>
        <w:rPr>
          <w:sz w:val="22"/>
          <w:szCs w:val="22"/>
        </w:rPr>
        <w:t>անմիջականորեն</w:t>
      </w:r>
      <w:r>
        <w:rPr>
          <w:spacing w:val="-1"/>
          <w:sz w:val="22"/>
          <w:szCs w:val="22"/>
        </w:rPr>
        <w:t> </w:t>
      </w:r>
      <w:r>
        <w:rPr>
          <w:sz w:val="22"/>
          <w:szCs w:val="22"/>
        </w:rPr>
        <w:t>ազդել է Կողմերից որևէ մեկի</w:t>
      </w:r>
      <w:r>
        <w:rPr>
          <w:spacing w:val="-2"/>
          <w:sz w:val="22"/>
          <w:szCs w:val="22"/>
        </w:rPr>
        <w:t> </w:t>
      </w:r>
      <w:r>
        <w:rPr>
          <w:sz w:val="22"/>
          <w:szCs w:val="22"/>
        </w:rPr>
        <w:t>կողմից իր պարտականությունները Պայմաններով և կամ Վկայագրով սահմանված ժամկետում կատարելու վրա,</w:t>
      </w:r>
      <w:r>
        <w:rPr>
          <w:spacing w:val="80"/>
          <w:sz w:val="22"/>
          <w:szCs w:val="22"/>
        </w:rPr>
        <w:t> </w:t>
      </w:r>
      <w:r>
        <w:rPr>
          <w:sz w:val="22"/>
          <w:szCs w:val="22"/>
        </w:rPr>
        <w:t>դրա կատարումը հետաձգվում է այդ հանգամանքների ազդեցության ժամկետով: Եթե անհաղթահարելի ուժի ազդեցությունը շարունակվում է 30 (երեսուն) օրից ավելի, ապա կողմերից յուրաքանչյուրն իրավունք ունի ամբողջությամբ կամ մասնակիորեն լուծել Վկայագիրը` այդ մասին 2 օր առաջ նախապես տեղյակ պահելով մյուս կողմին, և այդ դեպքում կողմերից ոչ մեկը պատասխանատվություն չի կրում հնարավոր վնասների փոխհատուցման համար:</w:t>
      </w:r>
    </w:p>
    <w:p>
      <w:pPr>
        <w:pStyle w:val="ListParagraph"/>
        <w:numPr>
          <w:ilvl w:val="1"/>
          <w:numId w:val="12"/>
        </w:numPr>
        <w:tabs>
          <w:tab w:pos="814" w:val="left" w:leader="none"/>
        </w:tabs>
        <w:spacing w:line="240" w:lineRule="auto" w:before="0" w:after="0"/>
        <w:ind w:left="120" w:right="170" w:hanging="12"/>
        <w:jc w:val="both"/>
        <w:rPr>
          <w:sz w:val="22"/>
          <w:szCs w:val="22"/>
        </w:rPr>
      </w:pPr>
      <w:r>
        <w:rPr>
          <w:sz w:val="22"/>
          <w:szCs w:val="22"/>
        </w:rPr>
        <w:t>Անհաղթահարելի ուժի ազդեցությունը Պայմաններից/Վկայագրից բխող պարտականությունների կատարման վրա պարտավոր է ապացուցել այն կողմը, որի պարտականությունների կատարմանը խոչընդոտում է նման ազդեցությունը։</w:t>
      </w:r>
    </w:p>
    <w:p>
      <w:pPr>
        <w:pStyle w:val="BodyText"/>
        <w:spacing w:before="11"/>
        <w:jc w:val="left"/>
        <w:rPr>
          <w:sz w:val="21"/>
        </w:rPr>
      </w:pPr>
    </w:p>
    <w:p>
      <w:pPr>
        <w:pStyle w:val="Heading1"/>
        <w:numPr>
          <w:ilvl w:val="0"/>
          <w:numId w:val="2"/>
        </w:numPr>
        <w:tabs>
          <w:tab w:pos="1589" w:val="left" w:leader="none"/>
        </w:tabs>
        <w:spacing w:line="240" w:lineRule="auto" w:before="0" w:after="0"/>
        <w:ind w:left="1588" w:right="58" w:hanging="1589"/>
        <w:jc w:val="left"/>
        <w:rPr>
          <w:sz w:val="20"/>
          <w:szCs w:val="20"/>
        </w:rPr>
      </w:pPr>
      <w:bookmarkStart w:name="12.ՎԿԱՅԱԳՐԻ ԳՈՐԾՈՂՈՒԹՅԱՆ ԺԱՄԿԵՏԸ, ՎԱՂԱԺԱ" w:id="23"/>
      <w:bookmarkEnd w:id="23"/>
      <w:r>
        <w:rPr>
          <w:b w:val="0"/>
          <w:bCs w:val="0"/>
        </w:rPr>
      </w:r>
      <w:bookmarkStart w:name="_bookmark11" w:id="24"/>
      <w:bookmarkEnd w:id="24"/>
      <w:r>
        <w:rPr/>
        <w:t>Վ</w:t>
      </w:r>
      <w:r>
        <w:rPr/>
        <w:t>ԿԱՅԱԳՐԻ</w:t>
      </w:r>
      <w:r>
        <w:rPr>
          <w:spacing w:val="-10"/>
        </w:rPr>
        <w:t> </w:t>
      </w:r>
      <w:r>
        <w:rPr/>
        <w:t>ԳՈՐԾՈՂՈՒԹՅԱՆ</w:t>
      </w:r>
      <w:r>
        <w:rPr>
          <w:spacing w:val="-11"/>
        </w:rPr>
        <w:t> </w:t>
      </w:r>
      <w:r>
        <w:rPr/>
        <w:t>ԺԱՄԿԵՏԸ,</w:t>
      </w:r>
      <w:r>
        <w:rPr>
          <w:spacing w:val="-12"/>
        </w:rPr>
        <w:t> </w:t>
      </w:r>
      <w:r>
        <w:rPr/>
        <w:t>ՎԱՂԱԺԱՄԿԵՏ</w:t>
      </w:r>
      <w:r>
        <w:rPr>
          <w:spacing w:val="-9"/>
        </w:rPr>
        <w:t> </w:t>
      </w:r>
      <w:r>
        <w:rPr>
          <w:spacing w:val="-2"/>
        </w:rPr>
        <w:t>ԼՈՒԾՈՒՄԸ</w:t>
      </w:r>
    </w:p>
    <w:p>
      <w:pPr>
        <w:pStyle w:val="BodyText"/>
        <w:spacing w:before="12"/>
        <w:jc w:val="left"/>
        <w:rPr>
          <w:b/>
          <w:sz w:val="21"/>
        </w:rPr>
      </w:pPr>
    </w:p>
    <w:p>
      <w:pPr>
        <w:pStyle w:val="ListParagraph"/>
        <w:numPr>
          <w:ilvl w:val="1"/>
          <w:numId w:val="13"/>
        </w:numPr>
        <w:tabs>
          <w:tab w:pos="814" w:val="left" w:leader="none"/>
        </w:tabs>
        <w:spacing w:line="240" w:lineRule="auto" w:before="0" w:after="0"/>
        <w:ind w:left="813" w:right="0" w:hanging="706"/>
        <w:jc w:val="both"/>
        <w:rPr>
          <w:sz w:val="22"/>
          <w:szCs w:val="22"/>
        </w:rPr>
      </w:pPr>
      <w:r>
        <w:rPr>
          <w:sz w:val="22"/>
          <w:szCs w:val="22"/>
        </w:rPr>
        <w:t>Վկայագրի</w:t>
      </w:r>
      <w:r>
        <w:rPr>
          <w:spacing w:val="-6"/>
          <w:sz w:val="22"/>
          <w:szCs w:val="22"/>
        </w:rPr>
        <w:t> </w:t>
      </w:r>
      <w:r>
        <w:rPr>
          <w:sz w:val="22"/>
          <w:szCs w:val="22"/>
        </w:rPr>
        <w:t>գործողության</w:t>
      </w:r>
      <w:r>
        <w:rPr>
          <w:spacing w:val="-5"/>
          <w:sz w:val="22"/>
          <w:szCs w:val="22"/>
        </w:rPr>
        <w:t> </w:t>
      </w:r>
      <w:r>
        <w:rPr>
          <w:sz w:val="22"/>
          <w:szCs w:val="22"/>
        </w:rPr>
        <w:t>ժամկետը</w:t>
      </w:r>
      <w:r>
        <w:rPr>
          <w:spacing w:val="-5"/>
          <w:sz w:val="22"/>
          <w:szCs w:val="22"/>
        </w:rPr>
        <w:t> </w:t>
      </w:r>
      <w:r>
        <w:rPr>
          <w:sz w:val="22"/>
          <w:szCs w:val="22"/>
        </w:rPr>
        <w:t>սահմանվում</w:t>
      </w:r>
      <w:r>
        <w:rPr>
          <w:spacing w:val="-5"/>
          <w:sz w:val="22"/>
          <w:szCs w:val="22"/>
        </w:rPr>
        <w:t> </w:t>
      </w:r>
      <w:r>
        <w:rPr>
          <w:sz w:val="22"/>
          <w:szCs w:val="22"/>
        </w:rPr>
        <w:t>է</w:t>
      </w:r>
      <w:r>
        <w:rPr>
          <w:spacing w:val="-5"/>
          <w:sz w:val="22"/>
          <w:szCs w:val="22"/>
        </w:rPr>
        <w:t> </w:t>
      </w:r>
      <w:r>
        <w:rPr>
          <w:spacing w:val="-2"/>
          <w:sz w:val="22"/>
          <w:szCs w:val="22"/>
        </w:rPr>
        <w:t>Վկայագրով:</w:t>
      </w:r>
    </w:p>
    <w:p>
      <w:pPr>
        <w:pStyle w:val="ListParagraph"/>
        <w:numPr>
          <w:ilvl w:val="1"/>
          <w:numId w:val="13"/>
        </w:numPr>
        <w:tabs>
          <w:tab w:pos="814" w:val="left" w:leader="none"/>
        </w:tabs>
        <w:spacing w:line="240" w:lineRule="auto" w:before="0" w:after="0"/>
        <w:ind w:left="813" w:right="0" w:hanging="706"/>
        <w:jc w:val="both"/>
        <w:rPr>
          <w:sz w:val="22"/>
          <w:szCs w:val="22"/>
        </w:rPr>
      </w:pPr>
      <w:r>
        <w:rPr>
          <w:sz w:val="22"/>
          <w:szCs w:val="22"/>
        </w:rPr>
        <w:t>Վկայագիրը</w:t>
      </w:r>
      <w:r>
        <w:rPr>
          <w:spacing w:val="-9"/>
          <w:sz w:val="22"/>
          <w:szCs w:val="22"/>
        </w:rPr>
        <w:t> </w:t>
      </w:r>
      <w:r>
        <w:rPr>
          <w:sz w:val="22"/>
          <w:szCs w:val="22"/>
        </w:rPr>
        <w:t>վաղաժամկետ</w:t>
      </w:r>
      <w:r>
        <w:rPr>
          <w:spacing w:val="-6"/>
          <w:sz w:val="22"/>
          <w:szCs w:val="22"/>
        </w:rPr>
        <w:t> </w:t>
      </w:r>
      <w:r>
        <w:rPr>
          <w:sz w:val="22"/>
          <w:szCs w:val="22"/>
        </w:rPr>
        <w:t>դադարում</w:t>
      </w:r>
      <w:r>
        <w:rPr>
          <w:spacing w:val="-8"/>
          <w:sz w:val="22"/>
          <w:szCs w:val="22"/>
        </w:rPr>
        <w:t> </w:t>
      </w:r>
      <w:r>
        <w:rPr>
          <w:spacing w:val="-5"/>
          <w:sz w:val="22"/>
          <w:szCs w:val="22"/>
        </w:rPr>
        <w:t>է`</w:t>
      </w:r>
    </w:p>
    <w:p>
      <w:pPr>
        <w:pStyle w:val="BodyText"/>
        <w:ind w:left="108"/>
      </w:pPr>
      <w:r>
        <w:rPr/>
        <w:t>ա)</w:t>
      </w:r>
      <w:r>
        <w:rPr>
          <w:spacing w:val="-4"/>
        </w:rPr>
        <w:t> </w:t>
      </w:r>
      <w:r>
        <w:rPr/>
        <w:t>Ապահովադրի,</w:t>
      </w:r>
      <w:r>
        <w:rPr>
          <w:spacing w:val="-4"/>
        </w:rPr>
        <w:t> </w:t>
      </w:r>
      <w:r>
        <w:rPr/>
        <w:t>եթե</w:t>
      </w:r>
      <w:r>
        <w:rPr>
          <w:spacing w:val="-5"/>
        </w:rPr>
        <w:t> </w:t>
      </w:r>
      <w:r>
        <w:rPr/>
        <w:t>ֆիզիկական</w:t>
      </w:r>
      <w:r>
        <w:rPr>
          <w:spacing w:val="-4"/>
        </w:rPr>
        <w:t> </w:t>
      </w:r>
      <w:r>
        <w:rPr/>
        <w:t>անձ</w:t>
      </w:r>
      <w:r>
        <w:rPr>
          <w:spacing w:val="-3"/>
        </w:rPr>
        <w:t> </w:t>
      </w:r>
      <w:r>
        <w:rPr/>
        <w:t>է`</w:t>
      </w:r>
      <w:r>
        <w:rPr>
          <w:spacing w:val="-3"/>
        </w:rPr>
        <w:t> </w:t>
      </w:r>
      <w:r>
        <w:rPr/>
        <w:t>մահվան</w:t>
      </w:r>
      <w:r>
        <w:rPr>
          <w:spacing w:val="-4"/>
        </w:rPr>
        <w:t> </w:t>
      </w:r>
      <w:r>
        <w:rPr>
          <w:spacing w:val="-2"/>
        </w:rPr>
        <w:t>դեպքում,</w:t>
      </w:r>
    </w:p>
    <w:p>
      <w:pPr>
        <w:pStyle w:val="BodyText"/>
        <w:ind w:left="108" w:right="168"/>
      </w:pPr>
      <w:r>
        <w:rPr/>
        <w:t>բ)</w:t>
      </w:r>
      <w:r>
        <w:rPr>
          <w:spacing w:val="40"/>
        </w:rPr>
        <w:t> </w:t>
      </w:r>
      <w:r>
        <w:rPr/>
        <w:t>Ապահովադրի՝</w:t>
      </w:r>
      <w:r>
        <w:rPr>
          <w:spacing w:val="-1"/>
        </w:rPr>
        <w:t> </w:t>
      </w:r>
      <w:r>
        <w:rPr/>
        <w:t>Վկայագրից/Պայմանագրից</w:t>
      </w:r>
      <w:r>
        <w:rPr>
          <w:spacing w:val="-3"/>
        </w:rPr>
        <w:t> </w:t>
      </w:r>
      <w:r>
        <w:rPr/>
        <w:t>վաղաժամկետ</w:t>
      </w:r>
      <w:r>
        <w:rPr>
          <w:spacing w:val="-2"/>
        </w:rPr>
        <w:t> </w:t>
      </w:r>
      <w:r>
        <w:rPr/>
        <w:t>հրաժարվելու</w:t>
      </w:r>
      <w:r>
        <w:rPr>
          <w:spacing w:val="-2"/>
        </w:rPr>
        <w:t> </w:t>
      </w:r>
      <w:r>
        <w:rPr/>
        <w:t>դեպքում,</w:t>
      </w:r>
      <w:r>
        <w:rPr>
          <w:spacing w:val="-3"/>
        </w:rPr>
        <w:t> </w:t>
      </w:r>
      <w:r>
        <w:rPr/>
        <w:t>սակայն</w:t>
      </w:r>
      <w:r>
        <w:rPr>
          <w:spacing w:val="-5"/>
        </w:rPr>
        <w:t> </w:t>
      </w:r>
      <w:r>
        <w:rPr/>
        <w:t>միայն Վարկատուի գրավոր համաձայնությամբ,</w:t>
      </w:r>
    </w:p>
    <w:p>
      <w:pPr>
        <w:pStyle w:val="BodyText"/>
        <w:ind w:left="108" w:right="169"/>
      </w:pPr>
      <w:r>
        <w:rPr/>
        <w:t>գ)</w:t>
      </w:r>
      <w:r>
        <w:rPr>
          <w:spacing w:val="80"/>
        </w:rPr>
        <w:t> </w:t>
      </w:r>
      <w:r>
        <w:rPr/>
        <w:t>Վկայագրով</w:t>
      </w:r>
      <w:r>
        <w:rPr>
          <w:spacing w:val="80"/>
        </w:rPr>
        <w:t> </w:t>
      </w:r>
      <w:r>
        <w:rPr/>
        <w:t>նախատեսված բոլոր պարտավորություններն Ապահովագրողի կողմից կատարվելու, այդ թվում՝ ապահովագրական գումարը սպառվելու դեպքում,</w:t>
      </w:r>
    </w:p>
    <w:p>
      <w:pPr>
        <w:pStyle w:val="BodyText"/>
        <w:ind w:left="108" w:right="167"/>
      </w:pPr>
      <w:r>
        <w:rPr/>
        <w:t>դ) եթե դրա ուժի մեջ մտնելուց հետո ապահովագրական պատահարի վրա հասնելու հավանականությունը վերացել է, և ապահովագրական ռիսկի գոյությունը դադարել է ապահովագրական պատահարից զատ այլ հանգամանքների բերումով: Այս դեպքում Ապահովագրողը Ապահովադրին հետ է վերադարձնում ապահովագրավճարի մի մասը՝ հաշվարկված համամասնորեն ապահովագրության գործած ժամանակահատվածի համար,</w:t>
      </w:r>
    </w:p>
    <w:p>
      <w:pPr>
        <w:pStyle w:val="BodyText"/>
        <w:ind w:left="107" w:right="166"/>
      </w:pPr>
      <w:r>
        <w:rPr/>
        <w:t>ե) Ապահովադրի գրավոր դիմումի և Վարկատուի գրավոր համաձայնությամբ, եթե Վարկատուի և Վարկառուի միջև կնքված Վարկային պայմանագրի համաձայն կատարված վարկի գծով</w:t>
      </w:r>
      <w:r>
        <w:rPr>
          <w:spacing w:val="40"/>
        </w:rPr>
        <w:t> </w:t>
      </w:r>
      <w:r>
        <w:rPr/>
        <w:t>մարումների արդյունքում Վարկ/Գրավ հարաբերակցությունը հասել է Վարկատուի կողմից սահմանված հարաբերակցությանը: Այս դեպքում Ապահովադրին վերադարձման ենթակա է վճարված ապահովագրավճարը՝ Վկայագրի չլրացած ժամկետին համամասնորեն` նվազեցնելով Վկայագրով նախատեսված ընդհանուր ապահովագրական վճարի 10%-ի չափով՝ որպես գործառնական ծախսեր:</w:t>
      </w:r>
    </w:p>
    <w:p>
      <w:pPr>
        <w:pStyle w:val="BodyText"/>
        <w:spacing w:before="12"/>
        <w:jc w:val="left"/>
        <w:rPr>
          <w:sz w:val="21"/>
        </w:rPr>
      </w:pPr>
    </w:p>
    <w:p>
      <w:pPr>
        <w:pStyle w:val="BodyText"/>
        <w:spacing w:before="1"/>
        <w:ind w:left="107" w:right="167"/>
      </w:pPr>
      <w:r>
        <w:rPr/>
        <w:t>ե) օրենքով, այլ իրավական ակտերով, Պայմաններով, Վկայագրով /Պայմանագրով նախատեսված այլ դեպքերում:</w:t>
      </w:r>
    </w:p>
    <w:p>
      <w:pPr>
        <w:pStyle w:val="ListParagraph"/>
        <w:numPr>
          <w:ilvl w:val="1"/>
          <w:numId w:val="13"/>
        </w:numPr>
        <w:tabs>
          <w:tab w:pos="688" w:val="left" w:leader="none"/>
        </w:tabs>
        <w:spacing w:line="240" w:lineRule="auto" w:before="0" w:after="0"/>
        <w:ind w:left="106" w:right="169" w:firstLine="0"/>
        <w:jc w:val="both"/>
        <w:rPr>
          <w:sz w:val="22"/>
          <w:szCs w:val="22"/>
        </w:rPr>
      </w:pPr>
      <w:r>
        <w:rPr>
          <w:sz w:val="22"/>
          <w:szCs w:val="22"/>
        </w:rPr>
        <w:t>Վկայագիրը կարող է Ապահովագրողի պահանջով միակողմանիորեն վաղաժամկետ լուծվել` Ապահովադրի կողմից օրենքով, այլ իրավական ակտերով, Պայմաններով կամ Վկայագրով նախատեսված իր պարտականությունները չկատարելու դեպքում, որի ժամանակ Ապահովադրին է վերադարձվում ապահովագրավճարը` Վկայագրի չլրացած ժամկետին համամասնորեն, որը հաշվարկվում է Պայմանագրի/Վկայագրի գործողությունը դադարեցնելու օրվանից:</w:t>
      </w:r>
    </w:p>
    <w:p>
      <w:pPr>
        <w:pStyle w:val="ListParagraph"/>
        <w:numPr>
          <w:ilvl w:val="1"/>
          <w:numId w:val="14"/>
        </w:numPr>
        <w:tabs>
          <w:tab w:pos="813" w:val="left" w:leader="none"/>
        </w:tabs>
        <w:spacing w:line="240" w:lineRule="auto" w:before="2" w:after="0"/>
        <w:ind w:left="106" w:right="171" w:firstLine="0"/>
        <w:jc w:val="both"/>
        <w:rPr>
          <w:sz w:val="22"/>
          <w:szCs w:val="22"/>
        </w:rPr>
      </w:pPr>
      <w:r>
        <w:rPr>
          <w:sz w:val="22"/>
          <w:szCs w:val="22"/>
        </w:rPr>
        <w:t>Ապահովադիրն իրավունք ունի, Վարկատուի գրավոր համաձայնության առկայության դեպքում, միակողմանիորեն վաղաժամկետ լուծելու Վկայագիրը` այդ մասին ոչ պակաս, քան 15 օր առաջ ծանուցելով Ապահովագրողին, եթե այլ ժամկետ նախատեսված չէ Վկայագրով:</w:t>
      </w:r>
    </w:p>
    <w:p>
      <w:pPr>
        <w:spacing w:after="0" w:line="240" w:lineRule="auto"/>
        <w:jc w:val="both"/>
        <w:rPr>
          <w:sz w:val="22"/>
          <w:szCs w:val="22"/>
        </w:rPr>
        <w:sectPr>
          <w:pgSz w:w="11910" w:h="16840"/>
          <w:pgMar w:header="0" w:footer="786" w:top="340" w:bottom="1040" w:left="600" w:right="820"/>
        </w:sectPr>
      </w:pPr>
    </w:p>
    <w:p>
      <w:pPr>
        <w:pStyle w:val="ListParagraph"/>
        <w:numPr>
          <w:ilvl w:val="1"/>
          <w:numId w:val="14"/>
        </w:numPr>
        <w:tabs>
          <w:tab w:pos="814" w:val="left" w:leader="none"/>
        </w:tabs>
        <w:spacing w:line="240" w:lineRule="auto" w:before="91" w:after="0"/>
        <w:ind w:left="108" w:right="169" w:firstLine="0"/>
        <w:jc w:val="both"/>
        <w:rPr>
          <w:sz w:val="22"/>
          <w:szCs w:val="22"/>
        </w:rPr>
      </w:pPr>
      <w:r>
        <w:rPr>
          <w:sz w:val="22"/>
          <w:szCs w:val="22"/>
        </w:rPr>
        <w:t>Ապահովադրի կողմից Վկայագրից վաղաժամկետ հրաժարվելու դեպքում` վերջինիս վերադարձվում է վճարված ապահովագրավճարը՝ Վկայագրի չլրացած ժամկետին համամասնորեն` նվազեցնելով Վկայագրով նախատեսված ընդհանուր ապահովագրական վճարի 10%-ի չափով՝ որպես գործառնական ծախսեր:</w:t>
      </w:r>
    </w:p>
    <w:p>
      <w:pPr>
        <w:pStyle w:val="ListParagraph"/>
        <w:numPr>
          <w:ilvl w:val="1"/>
          <w:numId w:val="14"/>
        </w:numPr>
        <w:tabs>
          <w:tab w:pos="814" w:val="left" w:leader="none"/>
        </w:tabs>
        <w:spacing w:line="240" w:lineRule="auto" w:before="0" w:after="0"/>
        <w:ind w:left="108" w:right="169" w:firstLine="0"/>
        <w:jc w:val="both"/>
        <w:rPr>
          <w:sz w:val="22"/>
          <w:szCs w:val="22"/>
        </w:rPr>
      </w:pPr>
      <w:r>
        <w:rPr>
          <w:sz w:val="22"/>
          <w:szCs w:val="22"/>
        </w:rPr>
        <w:t>Այն դեպքում, երբ Ապահովադրի կողմից Վկայագրի վաղաժամկետ լուծման պահանջը պայմանավորված է Ապահովագրողի կողմից Վկայագրի պայմանների խախտմամբ, ապա վերջինս Ապահովադրին է վերադարձնում վճարված ապահովագրավճարը՝ Վկայագրի չլրացած ժամկետին </w:t>
      </w:r>
      <w:r>
        <w:rPr>
          <w:spacing w:val="-2"/>
          <w:sz w:val="22"/>
          <w:szCs w:val="22"/>
        </w:rPr>
        <w:t>համամասնորեն:</w:t>
      </w:r>
    </w:p>
    <w:p>
      <w:pPr>
        <w:pStyle w:val="ListParagraph"/>
        <w:numPr>
          <w:ilvl w:val="1"/>
          <w:numId w:val="14"/>
        </w:numPr>
        <w:tabs>
          <w:tab w:pos="814" w:val="left" w:leader="none"/>
        </w:tabs>
        <w:spacing w:line="240" w:lineRule="auto" w:before="0" w:after="0"/>
        <w:ind w:left="108" w:right="167" w:firstLine="0"/>
        <w:jc w:val="both"/>
        <w:rPr>
          <w:sz w:val="22"/>
          <w:szCs w:val="22"/>
        </w:rPr>
      </w:pPr>
      <w:r>
        <w:rPr>
          <w:sz w:val="22"/>
          <w:szCs w:val="22"/>
        </w:rPr>
        <w:t>Վկայագրի վաղաժամկետ լուծման դեպքում Ապահովադրին չեն վերադարձվում ապահովագրավճարները, եթե Ապահովադիրը տվյալ Վկայագրի գծով, անկախ հատուցման գումարի չափից, դիմել է ապահովագրական հատուցում ստանալու համար կամ ստացել է այն, բացառությամբ այն դեպքի, երբ ապահովագրական հատուցումը մերժվել է, և Ապահովադիրը (Շահառուն) համաձայնվել է Ապահովագրողի կողմից տրամադրված մերժման վերաբերյալ եզրակացության հետ:</w:t>
      </w:r>
    </w:p>
    <w:p>
      <w:pPr>
        <w:pStyle w:val="ListParagraph"/>
        <w:numPr>
          <w:ilvl w:val="1"/>
          <w:numId w:val="14"/>
        </w:numPr>
        <w:tabs>
          <w:tab w:pos="814" w:val="left" w:leader="none"/>
        </w:tabs>
        <w:spacing w:line="240" w:lineRule="auto" w:before="0" w:after="0"/>
        <w:ind w:left="107" w:right="172" w:firstLine="0"/>
        <w:jc w:val="both"/>
        <w:rPr>
          <w:sz w:val="22"/>
          <w:szCs w:val="22"/>
        </w:rPr>
      </w:pPr>
      <w:r>
        <w:rPr>
          <w:sz w:val="22"/>
          <w:szCs w:val="22"/>
        </w:rPr>
        <w:t>Ապահովագրողի լուծարման դեպքում վերջինս պարտավոր է Ապահովադրին վերադարձնել Պայմանագրի չլրացած ժամկետի համար վճարված ապահովագրավճարը:</w:t>
      </w:r>
    </w:p>
    <w:p>
      <w:pPr>
        <w:pStyle w:val="ListParagraph"/>
        <w:numPr>
          <w:ilvl w:val="1"/>
          <w:numId w:val="14"/>
        </w:numPr>
        <w:tabs>
          <w:tab w:pos="814" w:val="left" w:leader="none"/>
        </w:tabs>
        <w:spacing w:line="240" w:lineRule="auto" w:before="0" w:after="0"/>
        <w:ind w:left="107" w:right="168" w:firstLine="0"/>
        <w:jc w:val="both"/>
        <w:rPr>
          <w:sz w:val="22"/>
          <w:szCs w:val="22"/>
        </w:rPr>
      </w:pPr>
      <w:r>
        <w:rPr>
          <w:sz w:val="22"/>
          <w:szCs w:val="22"/>
        </w:rPr>
        <w:t>Վկայագրի գործողության դադարումը Կողմերին չի ազատում Վկայագրի գործողության ընթացքում առաջացած ապահովագրական պատահարների և ապահովագրական հատուցումների հետ կապված միմյանց հանդեպ ստանձնած պայմանագրային պարտավորություններից:</w:t>
      </w:r>
    </w:p>
    <w:p>
      <w:pPr>
        <w:pStyle w:val="BodyText"/>
        <w:jc w:val="left"/>
      </w:pPr>
    </w:p>
    <w:p>
      <w:pPr>
        <w:pStyle w:val="Heading1"/>
        <w:numPr>
          <w:ilvl w:val="0"/>
          <w:numId w:val="2"/>
        </w:numPr>
        <w:tabs>
          <w:tab w:pos="4721" w:val="left" w:leader="none"/>
        </w:tabs>
        <w:spacing w:line="240" w:lineRule="auto" w:before="0" w:after="0"/>
        <w:ind w:left="4720" w:right="0" w:hanging="359"/>
        <w:jc w:val="left"/>
      </w:pPr>
      <w:bookmarkStart w:name="13. ՍՈՒԲՐՈԳԱՑԻԱ" w:id="25"/>
      <w:bookmarkEnd w:id="25"/>
      <w:r>
        <w:rPr>
          <w:b w:val="0"/>
          <w:bCs w:val="0"/>
        </w:rPr>
      </w:r>
      <w:bookmarkStart w:name="_bookmark12" w:id="26"/>
      <w:bookmarkEnd w:id="26"/>
      <w:r>
        <w:rPr>
          <w:spacing w:val="-2"/>
        </w:rPr>
        <w:t>ՍՈ</w:t>
      </w:r>
      <w:r>
        <w:rPr>
          <w:spacing w:val="-2"/>
        </w:rPr>
        <w:t>ՒԲՐՈԳԱՑԻԱ</w:t>
      </w:r>
    </w:p>
    <w:p>
      <w:pPr>
        <w:pStyle w:val="BodyText"/>
        <w:spacing w:before="12"/>
        <w:jc w:val="left"/>
        <w:rPr>
          <w:b/>
          <w:sz w:val="21"/>
        </w:rPr>
      </w:pPr>
    </w:p>
    <w:p>
      <w:pPr>
        <w:pStyle w:val="ListParagraph"/>
        <w:numPr>
          <w:ilvl w:val="1"/>
          <w:numId w:val="15"/>
        </w:numPr>
        <w:tabs>
          <w:tab w:pos="768" w:val="left" w:leader="none"/>
        </w:tabs>
        <w:spacing w:line="240" w:lineRule="auto" w:before="0" w:after="0"/>
        <w:ind w:left="107" w:right="170" w:firstLine="0"/>
        <w:jc w:val="both"/>
        <w:rPr>
          <w:sz w:val="22"/>
          <w:szCs w:val="22"/>
        </w:rPr>
      </w:pPr>
      <w:r>
        <w:rPr>
          <w:sz w:val="22"/>
          <w:szCs w:val="22"/>
        </w:rPr>
        <w:t>Ապահովագրական հատուցում վճարելուց հետո հատուցված գումարի սահմաններում Ապահովագրողին են անցնում Ապահովադրի (Շահառուի) պահանջի իրավունքը, որը նա ունի Ապահովագրողի կողմից հատուցված վնասի պատճառման համար պատասխանատու անձի </w:t>
      </w:r>
      <w:r>
        <w:rPr>
          <w:spacing w:val="-2"/>
          <w:sz w:val="22"/>
          <w:szCs w:val="22"/>
        </w:rPr>
        <w:t>նկատմամբ։</w:t>
      </w:r>
    </w:p>
    <w:p>
      <w:pPr>
        <w:pStyle w:val="ListParagraph"/>
        <w:numPr>
          <w:ilvl w:val="1"/>
          <w:numId w:val="15"/>
        </w:numPr>
        <w:tabs>
          <w:tab w:pos="648" w:val="left" w:leader="none"/>
        </w:tabs>
        <w:spacing w:line="240" w:lineRule="auto" w:before="0" w:after="0"/>
        <w:ind w:left="107" w:right="169" w:firstLine="0"/>
        <w:jc w:val="both"/>
        <w:rPr>
          <w:sz w:val="22"/>
          <w:szCs w:val="22"/>
        </w:rPr>
      </w:pPr>
      <w:r>
        <w:rPr>
          <w:sz w:val="22"/>
          <w:szCs w:val="22"/>
        </w:rPr>
        <w:t>Ապահովադիրը</w:t>
      </w:r>
      <w:r>
        <w:rPr>
          <w:spacing w:val="-2"/>
          <w:sz w:val="22"/>
          <w:szCs w:val="22"/>
        </w:rPr>
        <w:t> </w:t>
      </w:r>
      <w:r>
        <w:rPr>
          <w:sz w:val="22"/>
          <w:szCs w:val="22"/>
        </w:rPr>
        <w:t>(Շահառուն)</w:t>
      </w:r>
      <w:r>
        <w:rPr>
          <w:spacing w:val="-2"/>
          <w:sz w:val="22"/>
          <w:szCs w:val="22"/>
        </w:rPr>
        <w:t> </w:t>
      </w:r>
      <w:r>
        <w:rPr>
          <w:sz w:val="22"/>
          <w:szCs w:val="22"/>
        </w:rPr>
        <w:t>պարտավոր</w:t>
      </w:r>
      <w:r>
        <w:rPr>
          <w:spacing w:val="-2"/>
          <w:sz w:val="22"/>
          <w:szCs w:val="22"/>
        </w:rPr>
        <w:t> </w:t>
      </w:r>
      <w:r>
        <w:rPr>
          <w:sz w:val="22"/>
          <w:szCs w:val="22"/>
        </w:rPr>
        <w:t>է</w:t>
      </w:r>
      <w:r>
        <w:rPr>
          <w:spacing w:val="-1"/>
          <w:sz w:val="22"/>
          <w:szCs w:val="22"/>
        </w:rPr>
        <w:t> </w:t>
      </w:r>
      <w:r>
        <w:rPr>
          <w:sz w:val="22"/>
          <w:szCs w:val="22"/>
        </w:rPr>
        <w:t>Ապահովագրողին փոխանցել բոլոր</w:t>
      </w:r>
      <w:r>
        <w:rPr>
          <w:spacing w:val="-2"/>
          <w:sz w:val="22"/>
          <w:szCs w:val="22"/>
        </w:rPr>
        <w:t> </w:t>
      </w:r>
      <w:r>
        <w:rPr>
          <w:sz w:val="22"/>
          <w:szCs w:val="22"/>
        </w:rPr>
        <w:t>փաստաթղթերը և ապացույցները, ինչպես նաև տրամադրել բոլոր տվյալները, որոնք անհրաժեշտ են Ապահովագրողին փոխանցված վնասի պահանջի իրավունքն իրականացնելու համար:</w:t>
      </w:r>
    </w:p>
    <w:p>
      <w:pPr>
        <w:pStyle w:val="ListParagraph"/>
        <w:numPr>
          <w:ilvl w:val="1"/>
          <w:numId w:val="15"/>
        </w:numPr>
        <w:tabs>
          <w:tab w:pos="703" w:val="left" w:leader="none"/>
        </w:tabs>
        <w:spacing w:line="240" w:lineRule="auto" w:before="0" w:after="0"/>
        <w:ind w:left="107" w:right="169" w:firstLine="0"/>
        <w:jc w:val="both"/>
        <w:rPr>
          <w:sz w:val="22"/>
          <w:szCs w:val="22"/>
        </w:rPr>
      </w:pPr>
      <w:r>
        <w:rPr>
          <w:sz w:val="22"/>
          <w:szCs w:val="22"/>
        </w:rPr>
        <w:t>Եթե Ապահովադիրը հրաժարվել է Ապահովագրողի կողմից հատուցված կամ հատուցվելիք վնասների համար պատասխանատու անձի նկատմամբ պահանջի իր իրավունքից, կամ այդ իրավունքի իրականացումը անհնարին է դարձել Ապահովադրի (Շահառուի) մեղքով, ապա Ապահովագրողը լրիվ կամ համապատասխան չափով ազատվում է ապահովագրական հատուցում վճարելու պարտավորությունից, իսկ ապահովագրական հատուցումը արդեն վճարված լինելու դեպքում Ապահովագրողն իրավունք ունի պահանջել Ապահովադրից (Շահառուից) ետ վերադարձնելու ավելորդ վճարված ապահովագրական հատուցման գումարները:</w:t>
      </w:r>
    </w:p>
    <w:p>
      <w:pPr>
        <w:pStyle w:val="BodyText"/>
        <w:spacing w:before="10"/>
        <w:jc w:val="left"/>
        <w:rPr>
          <w:sz w:val="21"/>
        </w:rPr>
      </w:pPr>
    </w:p>
    <w:p>
      <w:pPr>
        <w:pStyle w:val="Heading1"/>
        <w:numPr>
          <w:ilvl w:val="0"/>
          <w:numId w:val="2"/>
        </w:numPr>
        <w:tabs>
          <w:tab w:pos="4675" w:val="left" w:leader="none"/>
        </w:tabs>
        <w:spacing w:line="240" w:lineRule="auto" w:before="0" w:after="0"/>
        <w:ind w:left="4674" w:right="0" w:hanging="361"/>
        <w:jc w:val="left"/>
      </w:pPr>
      <w:bookmarkStart w:name="14. ԾԱՆՈՒՑՈՒՄ" w:id="27"/>
      <w:bookmarkEnd w:id="27"/>
      <w:r>
        <w:rPr>
          <w:b w:val="0"/>
          <w:bCs w:val="0"/>
        </w:rPr>
      </w:r>
      <w:bookmarkStart w:name="_bookmark13" w:id="28"/>
      <w:bookmarkEnd w:id="28"/>
      <w:r>
        <w:rPr>
          <w:spacing w:val="-2"/>
        </w:rPr>
        <w:t>Ծ</w:t>
      </w:r>
      <w:r>
        <w:rPr>
          <w:spacing w:val="-2"/>
        </w:rPr>
        <w:t>ԱՆՈՒՑՈՒՄ</w:t>
      </w:r>
    </w:p>
    <w:p>
      <w:pPr>
        <w:pStyle w:val="BodyText"/>
        <w:spacing w:before="1"/>
        <w:jc w:val="left"/>
        <w:rPr>
          <w:b/>
        </w:rPr>
      </w:pPr>
    </w:p>
    <w:p>
      <w:pPr>
        <w:pStyle w:val="ListParagraph"/>
        <w:numPr>
          <w:ilvl w:val="1"/>
          <w:numId w:val="16"/>
        </w:numPr>
        <w:tabs>
          <w:tab w:pos="746" w:val="left" w:leader="none"/>
        </w:tabs>
        <w:spacing w:line="240" w:lineRule="auto" w:before="0" w:after="0"/>
        <w:ind w:left="107" w:right="169" w:firstLine="0"/>
        <w:jc w:val="both"/>
        <w:rPr>
          <w:sz w:val="22"/>
          <w:szCs w:val="22"/>
        </w:rPr>
      </w:pPr>
      <w:r>
        <w:rPr>
          <w:sz w:val="22"/>
          <w:szCs w:val="22"/>
        </w:rPr>
        <w:t>Բոլոր ծանուցումները, որոնք Ապահովագրողը պետք է իրականացնի Պայմաններին, Պայմանագրի և/կամ Վկայագրի այլ պայմաններին համապատասխան, պետք է հաստատվեն գրավոր ձևով, եթե այդ ծանուցումները կատարվել են բանավոր, հեռախոսով, հեռագրով կամ այլ միջոցներով: Ծանուցման ամսաթիվ ասելով՝ հասկանում ենք այն ամսաթիվը, որով ստացվել է </w:t>
      </w:r>
      <w:r>
        <w:rPr>
          <w:spacing w:val="-2"/>
          <w:sz w:val="22"/>
          <w:szCs w:val="22"/>
        </w:rPr>
        <w:t>ծանուցումը:</w:t>
      </w:r>
    </w:p>
    <w:p>
      <w:pPr>
        <w:pStyle w:val="ListParagraph"/>
        <w:numPr>
          <w:ilvl w:val="1"/>
          <w:numId w:val="16"/>
        </w:numPr>
        <w:tabs>
          <w:tab w:pos="696" w:val="left" w:leader="none"/>
        </w:tabs>
        <w:spacing w:line="240" w:lineRule="auto" w:before="0" w:after="0"/>
        <w:ind w:left="107" w:right="172" w:firstLine="0"/>
        <w:jc w:val="both"/>
        <w:rPr>
          <w:sz w:val="22"/>
          <w:szCs w:val="22"/>
        </w:rPr>
      </w:pPr>
      <w:r>
        <w:rPr>
          <w:sz w:val="22"/>
          <w:szCs w:val="22"/>
        </w:rPr>
        <w:t>Վկայագրի բովանդակությանը վերաբերող թողարկված Համաձայնագրերը վավերական են միայն այն դեպքում, եթե դրանք կատարվել են գրավոր ձևով և ստորագրվել են կողմերի կողմից:</w:t>
      </w:r>
    </w:p>
    <w:p>
      <w:pPr>
        <w:pStyle w:val="BodyText"/>
        <w:spacing w:before="11"/>
        <w:jc w:val="left"/>
        <w:rPr>
          <w:sz w:val="43"/>
        </w:rPr>
      </w:pPr>
    </w:p>
    <w:p>
      <w:pPr>
        <w:pStyle w:val="Heading1"/>
        <w:numPr>
          <w:ilvl w:val="0"/>
          <w:numId w:val="2"/>
        </w:numPr>
        <w:tabs>
          <w:tab w:pos="4089" w:val="left" w:leader="none"/>
        </w:tabs>
        <w:spacing w:line="240" w:lineRule="auto" w:before="0" w:after="0"/>
        <w:ind w:left="4088" w:right="0" w:hanging="361"/>
        <w:jc w:val="left"/>
      </w:pPr>
      <w:bookmarkStart w:name="15. ՎԵՃԵՐԻ ԼՈՒԾՄԱՆ ԿԱՐԳԸ" w:id="29"/>
      <w:bookmarkEnd w:id="29"/>
      <w:r>
        <w:rPr>
          <w:b w:val="0"/>
          <w:bCs w:val="0"/>
        </w:rPr>
      </w:r>
      <w:bookmarkStart w:name="_bookmark14" w:id="30"/>
      <w:bookmarkEnd w:id="30"/>
      <w:r>
        <w:rPr/>
        <w:t>Վ</w:t>
      </w:r>
      <w:r>
        <w:rPr/>
        <w:t>ԵՃԵՐԻ</w:t>
      </w:r>
      <w:r>
        <w:rPr>
          <w:spacing w:val="-9"/>
        </w:rPr>
        <w:t> </w:t>
      </w:r>
      <w:r>
        <w:rPr/>
        <w:t>ԼՈՒԾՄԱՆ</w:t>
      </w:r>
      <w:r>
        <w:rPr>
          <w:spacing w:val="-6"/>
        </w:rPr>
        <w:t> </w:t>
      </w:r>
      <w:r>
        <w:rPr>
          <w:spacing w:val="-2"/>
        </w:rPr>
        <w:t>ԿԱՐԳԸ</w:t>
      </w:r>
    </w:p>
    <w:p>
      <w:pPr>
        <w:spacing w:after="0" w:line="240" w:lineRule="auto"/>
        <w:jc w:val="left"/>
        <w:sectPr>
          <w:pgSz w:w="11910" w:h="16840"/>
          <w:pgMar w:header="0" w:footer="786" w:top="340" w:bottom="1040" w:left="600" w:right="820"/>
        </w:sectPr>
      </w:pPr>
    </w:p>
    <w:p>
      <w:pPr>
        <w:pStyle w:val="ListParagraph"/>
        <w:numPr>
          <w:ilvl w:val="1"/>
          <w:numId w:val="17"/>
        </w:numPr>
        <w:tabs>
          <w:tab w:pos="677" w:val="left" w:leader="none"/>
        </w:tabs>
        <w:spacing w:line="240" w:lineRule="auto" w:before="91" w:after="0"/>
        <w:ind w:left="108" w:right="169" w:firstLine="0"/>
        <w:jc w:val="both"/>
        <w:rPr>
          <w:sz w:val="22"/>
          <w:szCs w:val="22"/>
        </w:rPr>
      </w:pPr>
      <w:r>
        <w:rPr>
          <w:sz w:val="22"/>
          <w:szCs w:val="22"/>
        </w:rPr>
        <w:t>Վկայագրի գործողության ընթացքում առաջացող բոլոր վեճերը լուծվում են Կողմերի միջև բանակցությունների միջոցով: Բանակցությունների միջոցով համաձայնություն ձեռք չբերելու դեպքում վեճերը լուծվում են՝ համաձայն ՀՀ օրենսդրության:</w:t>
      </w:r>
    </w:p>
    <w:p>
      <w:pPr>
        <w:pStyle w:val="ListParagraph"/>
        <w:numPr>
          <w:ilvl w:val="1"/>
          <w:numId w:val="17"/>
        </w:numPr>
        <w:tabs>
          <w:tab w:pos="764" w:val="left" w:leader="none"/>
        </w:tabs>
        <w:spacing w:line="240" w:lineRule="auto" w:before="0" w:after="0"/>
        <w:ind w:left="108" w:right="168" w:firstLine="0"/>
        <w:jc w:val="both"/>
        <w:rPr>
          <w:sz w:val="22"/>
          <w:szCs w:val="22"/>
        </w:rPr>
      </w:pPr>
      <w:r>
        <w:rPr>
          <w:sz w:val="22"/>
          <w:szCs w:val="22"/>
        </w:rPr>
        <w:t>Վկայագրի/Պայմանագրի և Պայմանների միջև հակասությունների դեպքում Վկայագրի </w:t>
      </w:r>
      <w:bookmarkStart w:name="15.3. Վեճերի առաջացման դեպքում Պայմաններ" w:id="31"/>
      <w:bookmarkEnd w:id="31"/>
      <w:r>
        <w:rPr>
          <w:sz w:val="22"/>
          <w:szCs w:val="22"/>
        </w:rPr>
        <w:t>դրու</w:t>
      </w:r>
      <w:r>
        <w:rPr>
          <w:sz w:val="22"/>
          <w:szCs w:val="22"/>
        </w:rPr>
        <w:t>յթները գերակա են Պայմանների դրույթների նկատմամբ:</w:t>
      </w:r>
    </w:p>
    <w:p>
      <w:pPr>
        <w:pStyle w:val="ListParagraph"/>
        <w:numPr>
          <w:ilvl w:val="1"/>
          <w:numId w:val="17"/>
        </w:numPr>
        <w:tabs>
          <w:tab w:pos="708" w:val="left" w:leader="none"/>
        </w:tabs>
        <w:spacing w:line="240" w:lineRule="auto" w:before="0" w:after="0"/>
        <w:ind w:left="108" w:right="172" w:firstLine="0"/>
        <w:jc w:val="both"/>
        <w:rPr>
          <w:sz w:val="22"/>
          <w:szCs w:val="22"/>
        </w:rPr>
      </w:pPr>
      <w:r>
        <w:rPr>
          <w:sz w:val="22"/>
          <w:szCs w:val="22"/>
        </w:rPr>
        <w:t>Վեճերի առաջացման դեպքում Պայմաններով չկարգավորված հարցերը կարգավորվում են օրենքով և այլ իրավական ակտերով սահմանված կարգով:</w:t>
      </w:r>
    </w:p>
    <w:sectPr>
      <w:pgSz w:w="11910" w:h="16840"/>
      <w:pgMar w:header="0" w:footer="786" w:top="340" w:bottom="1040" w:left="60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GHEA Grapalat">
    <w:altName w:val="GHEA Grapalat"/>
    <w:charset w:val="0"/>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13"/>
      </w:rPr>
    </w:pPr>
    <w:r>
      <w:rPr/>
      <w:pict>
        <v:shapetype id="_x0000_t202" o:spt="202" coordsize="21600,21600" path="m,l,21600r21600,l21600,xe">
          <v:stroke joinstyle="miter"/>
          <v:path gradientshapeok="t" o:connecttype="rect"/>
        </v:shapetype>
        <v:shape style="position:absolute;margin-left:282.600006pt;margin-top:788.252502pt;width:17.1pt;height:12.1pt;mso-position-horizontal-relative:page;mso-position-vertical-relative:page;z-index:-15961088" type="#_x0000_t202" id="docshape1"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5"/>
      <w:numFmt w:val="decimal"/>
      <w:lvlText w:val="%1"/>
      <w:lvlJc w:val="left"/>
      <w:pPr>
        <w:ind w:left="108" w:hanging="569"/>
        <w:jc w:val="left"/>
      </w:pPr>
      <w:rPr>
        <w:rFonts w:hint="default"/>
        <w:lang w:val="lt-LT" w:eastAsia="en-US" w:bidi="ar-SA"/>
      </w:rPr>
    </w:lvl>
    <w:lvl w:ilvl="1">
      <w:start w:val="1"/>
      <w:numFmt w:val="decimal"/>
      <w:lvlText w:val="%1.%2."/>
      <w:lvlJc w:val="left"/>
      <w:pPr>
        <w:ind w:left="108" w:hanging="569"/>
        <w:jc w:val="left"/>
      </w:pPr>
      <w:rPr>
        <w:rFonts w:hint="default" w:ascii="GHEA Grapalat" w:hAnsi="GHEA Grapalat" w:eastAsia="GHEA Grapalat" w:cs="GHEA Grapalat"/>
        <w:b w:val="0"/>
        <w:bCs w:val="0"/>
        <w:i w:val="0"/>
        <w:iCs w:val="0"/>
        <w:w w:val="100"/>
        <w:sz w:val="22"/>
        <w:szCs w:val="22"/>
        <w:lang w:val="lt-LT" w:eastAsia="en-US" w:bidi="ar-SA"/>
      </w:rPr>
    </w:lvl>
    <w:lvl w:ilvl="2">
      <w:start w:val="0"/>
      <w:numFmt w:val="bullet"/>
      <w:lvlText w:val="•"/>
      <w:lvlJc w:val="left"/>
      <w:pPr>
        <w:ind w:left="2177" w:hanging="569"/>
      </w:pPr>
      <w:rPr>
        <w:rFonts w:hint="default"/>
        <w:lang w:val="lt-LT" w:eastAsia="en-US" w:bidi="ar-SA"/>
      </w:rPr>
    </w:lvl>
    <w:lvl w:ilvl="3">
      <w:start w:val="0"/>
      <w:numFmt w:val="bullet"/>
      <w:lvlText w:val="•"/>
      <w:lvlJc w:val="left"/>
      <w:pPr>
        <w:ind w:left="3215" w:hanging="569"/>
      </w:pPr>
      <w:rPr>
        <w:rFonts w:hint="default"/>
        <w:lang w:val="lt-LT" w:eastAsia="en-US" w:bidi="ar-SA"/>
      </w:rPr>
    </w:lvl>
    <w:lvl w:ilvl="4">
      <w:start w:val="0"/>
      <w:numFmt w:val="bullet"/>
      <w:lvlText w:val="•"/>
      <w:lvlJc w:val="left"/>
      <w:pPr>
        <w:ind w:left="4254" w:hanging="569"/>
      </w:pPr>
      <w:rPr>
        <w:rFonts w:hint="default"/>
        <w:lang w:val="lt-LT" w:eastAsia="en-US" w:bidi="ar-SA"/>
      </w:rPr>
    </w:lvl>
    <w:lvl w:ilvl="5">
      <w:start w:val="0"/>
      <w:numFmt w:val="bullet"/>
      <w:lvlText w:val="•"/>
      <w:lvlJc w:val="left"/>
      <w:pPr>
        <w:ind w:left="5293" w:hanging="569"/>
      </w:pPr>
      <w:rPr>
        <w:rFonts w:hint="default"/>
        <w:lang w:val="lt-LT" w:eastAsia="en-US" w:bidi="ar-SA"/>
      </w:rPr>
    </w:lvl>
    <w:lvl w:ilvl="6">
      <w:start w:val="0"/>
      <w:numFmt w:val="bullet"/>
      <w:lvlText w:val="•"/>
      <w:lvlJc w:val="left"/>
      <w:pPr>
        <w:ind w:left="6331" w:hanging="569"/>
      </w:pPr>
      <w:rPr>
        <w:rFonts w:hint="default"/>
        <w:lang w:val="lt-LT" w:eastAsia="en-US" w:bidi="ar-SA"/>
      </w:rPr>
    </w:lvl>
    <w:lvl w:ilvl="7">
      <w:start w:val="0"/>
      <w:numFmt w:val="bullet"/>
      <w:lvlText w:val="•"/>
      <w:lvlJc w:val="left"/>
      <w:pPr>
        <w:ind w:left="7370" w:hanging="569"/>
      </w:pPr>
      <w:rPr>
        <w:rFonts w:hint="default"/>
        <w:lang w:val="lt-LT" w:eastAsia="en-US" w:bidi="ar-SA"/>
      </w:rPr>
    </w:lvl>
    <w:lvl w:ilvl="8">
      <w:start w:val="0"/>
      <w:numFmt w:val="bullet"/>
      <w:lvlText w:val="•"/>
      <w:lvlJc w:val="left"/>
      <w:pPr>
        <w:ind w:left="8409" w:hanging="569"/>
      </w:pPr>
      <w:rPr>
        <w:rFonts w:hint="default"/>
        <w:lang w:val="lt-LT" w:eastAsia="en-US" w:bidi="ar-SA"/>
      </w:rPr>
    </w:lvl>
  </w:abstractNum>
  <w:abstractNum w:abstractNumId="15">
    <w:multiLevelType w:val="hybridMultilevel"/>
    <w:lvl w:ilvl="0">
      <w:start w:val="14"/>
      <w:numFmt w:val="decimal"/>
      <w:lvlText w:val="%1"/>
      <w:lvlJc w:val="left"/>
      <w:pPr>
        <w:ind w:left="107" w:hanging="639"/>
        <w:jc w:val="left"/>
      </w:pPr>
      <w:rPr>
        <w:rFonts w:hint="default"/>
        <w:lang w:val="lt-LT" w:eastAsia="en-US" w:bidi="ar-SA"/>
      </w:rPr>
    </w:lvl>
    <w:lvl w:ilvl="1">
      <w:start w:val="1"/>
      <w:numFmt w:val="decimal"/>
      <w:lvlText w:val="%1.%2."/>
      <w:lvlJc w:val="left"/>
      <w:pPr>
        <w:ind w:left="107" w:hanging="639"/>
        <w:jc w:val="left"/>
      </w:pPr>
      <w:rPr>
        <w:rFonts w:hint="default" w:ascii="GHEA Grapalat" w:hAnsi="GHEA Grapalat" w:eastAsia="GHEA Grapalat" w:cs="GHEA Grapalat"/>
        <w:b w:val="0"/>
        <w:bCs w:val="0"/>
        <w:i w:val="0"/>
        <w:iCs w:val="0"/>
        <w:spacing w:val="-2"/>
        <w:w w:val="100"/>
        <w:sz w:val="22"/>
        <w:szCs w:val="22"/>
        <w:lang w:val="lt-LT" w:eastAsia="en-US" w:bidi="ar-SA"/>
      </w:rPr>
    </w:lvl>
    <w:lvl w:ilvl="2">
      <w:start w:val="0"/>
      <w:numFmt w:val="bullet"/>
      <w:lvlText w:val="•"/>
      <w:lvlJc w:val="left"/>
      <w:pPr>
        <w:ind w:left="2177" w:hanging="639"/>
      </w:pPr>
      <w:rPr>
        <w:rFonts w:hint="default"/>
        <w:lang w:val="lt-LT" w:eastAsia="en-US" w:bidi="ar-SA"/>
      </w:rPr>
    </w:lvl>
    <w:lvl w:ilvl="3">
      <w:start w:val="0"/>
      <w:numFmt w:val="bullet"/>
      <w:lvlText w:val="•"/>
      <w:lvlJc w:val="left"/>
      <w:pPr>
        <w:ind w:left="3215" w:hanging="639"/>
      </w:pPr>
      <w:rPr>
        <w:rFonts w:hint="default"/>
        <w:lang w:val="lt-LT" w:eastAsia="en-US" w:bidi="ar-SA"/>
      </w:rPr>
    </w:lvl>
    <w:lvl w:ilvl="4">
      <w:start w:val="0"/>
      <w:numFmt w:val="bullet"/>
      <w:lvlText w:val="•"/>
      <w:lvlJc w:val="left"/>
      <w:pPr>
        <w:ind w:left="4254" w:hanging="639"/>
      </w:pPr>
      <w:rPr>
        <w:rFonts w:hint="default"/>
        <w:lang w:val="lt-LT" w:eastAsia="en-US" w:bidi="ar-SA"/>
      </w:rPr>
    </w:lvl>
    <w:lvl w:ilvl="5">
      <w:start w:val="0"/>
      <w:numFmt w:val="bullet"/>
      <w:lvlText w:val="•"/>
      <w:lvlJc w:val="left"/>
      <w:pPr>
        <w:ind w:left="5293" w:hanging="639"/>
      </w:pPr>
      <w:rPr>
        <w:rFonts w:hint="default"/>
        <w:lang w:val="lt-LT" w:eastAsia="en-US" w:bidi="ar-SA"/>
      </w:rPr>
    </w:lvl>
    <w:lvl w:ilvl="6">
      <w:start w:val="0"/>
      <w:numFmt w:val="bullet"/>
      <w:lvlText w:val="•"/>
      <w:lvlJc w:val="left"/>
      <w:pPr>
        <w:ind w:left="6331" w:hanging="639"/>
      </w:pPr>
      <w:rPr>
        <w:rFonts w:hint="default"/>
        <w:lang w:val="lt-LT" w:eastAsia="en-US" w:bidi="ar-SA"/>
      </w:rPr>
    </w:lvl>
    <w:lvl w:ilvl="7">
      <w:start w:val="0"/>
      <w:numFmt w:val="bullet"/>
      <w:lvlText w:val="•"/>
      <w:lvlJc w:val="left"/>
      <w:pPr>
        <w:ind w:left="7370" w:hanging="639"/>
      </w:pPr>
      <w:rPr>
        <w:rFonts w:hint="default"/>
        <w:lang w:val="lt-LT" w:eastAsia="en-US" w:bidi="ar-SA"/>
      </w:rPr>
    </w:lvl>
    <w:lvl w:ilvl="8">
      <w:start w:val="0"/>
      <w:numFmt w:val="bullet"/>
      <w:lvlText w:val="•"/>
      <w:lvlJc w:val="left"/>
      <w:pPr>
        <w:ind w:left="8409" w:hanging="639"/>
      </w:pPr>
      <w:rPr>
        <w:rFonts w:hint="default"/>
        <w:lang w:val="lt-LT" w:eastAsia="en-US" w:bidi="ar-SA"/>
      </w:rPr>
    </w:lvl>
  </w:abstractNum>
  <w:abstractNum w:abstractNumId="14">
    <w:multiLevelType w:val="hybridMultilevel"/>
    <w:lvl w:ilvl="0">
      <w:start w:val="13"/>
      <w:numFmt w:val="decimal"/>
      <w:lvlText w:val="%1"/>
      <w:lvlJc w:val="left"/>
      <w:pPr>
        <w:ind w:left="107" w:hanging="660"/>
        <w:jc w:val="left"/>
      </w:pPr>
      <w:rPr>
        <w:rFonts w:hint="default"/>
        <w:lang w:val="lt-LT" w:eastAsia="en-US" w:bidi="ar-SA"/>
      </w:rPr>
    </w:lvl>
    <w:lvl w:ilvl="1">
      <w:start w:val="1"/>
      <w:numFmt w:val="decimal"/>
      <w:lvlText w:val="%1.%2."/>
      <w:lvlJc w:val="left"/>
      <w:pPr>
        <w:ind w:left="107" w:hanging="660"/>
        <w:jc w:val="left"/>
      </w:pPr>
      <w:rPr>
        <w:rFonts w:hint="default" w:ascii="GHEA Grapalat" w:hAnsi="GHEA Grapalat" w:eastAsia="GHEA Grapalat" w:cs="GHEA Grapalat"/>
        <w:b w:val="0"/>
        <w:bCs w:val="0"/>
        <w:i w:val="0"/>
        <w:iCs w:val="0"/>
        <w:spacing w:val="-1"/>
        <w:w w:val="100"/>
        <w:sz w:val="22"/>
        <w:szCs w:val="22"/>
        <w:lang w:val="lt-LT" w:eastAsia="en-US" w:bidi="ar-SA"/>
      </w:rPr>
    </w:lvl>
    <w:lvl w:ilvl="2">
      <w:start w:val="0"/>
      <w:numFmt w:val="bullet"/>
      <w:lvlText w:val="•"/>
      <w:lvlJc w:val="left"/>
      <w:pPr>
        <w:ind w:left="2177" w:hanging="660"/>
      </w:pPr>
      <w:rPr>
        <w:rFonts w:hint="default"/>
        <w:lang w:val="lt-LT" w:eastAsia="en-US" w:bidi="ar-SA"/>
      </w:rPr>
    </w:lvl>
    <w:lvl w:ilvl="3">
      <w:start w:val="0"/>
      <w:numFmt w:val="bullet"/>
      <w:lvlText w:val="•"/>
      <w:lvlJc w:val="left"/>
      <w:pPr>
        <w:ind w:left="3215" w:hanging="660"/>
      </w:pPr>
      <w:rPr>
        <w:rFonts w:hint="default"/>
        <w:lang w:val="lt-LT" w:eastAsia="en-US" w:bidi="ar-SA"/>
      </w:rPr>
    </w:lvl>
    <w:lvl w:ilvl="4">
      <w:start w:val="0"/>
      <w:numFmt w:val="bullet"/>
      <w:lvlText w:val="•"/>
      <w:lvlJc w:val="left"/>
      <w:pPr>
        <w:ind w:left="4254" w:hanging="660"/>
      </w:pPr>
      <w:rPr>
        <w:rFonts w:hint="default"/>
        <w:lang w:val="lt-LT" w:eastAsia="en-US" w:bidi="ar-SA"/>
      </w:rPr>
    </w:lvl>
    <w:lvl w:ilvl="5">
      <w:start w:val="0"/>
      <w:numFmt w:val="bullet"/>
      <w:lvlText w:val="•"/>
      <w:lvlJc w:val="left"/>
      <w:pPr>
        <w:ind w:left="5293" w:hanging="660"/>
      </w:pPr>
      <w:rPr>
        <w:rFonts w:hint="default"/>
        <w:lang w:val="lt-LT" w:eastAsia="en-US" w:bidi="ar-SA"/>
      </w:rPr>
    </w:lvl>
    <w:lvl w:ilvl="6">
      <w:start w:val="0"/>
      <w:numFmt w:val="bullet"/>
      <w:lvlText w:val="•"/>
      <w:lvlJc w:val="left"/>
      <w:pPr>
        <w:ind w:left="6331" w:hanging="660"/>
      </w:pPr>
      <w:rPr>
        <w:rFonts w:hint="default"/>
        <w:lang w:val="lt-LT" w:eastAsia="en-US" w:bidi="ar-SA"/>
      </w:rPr>
    </w:lvl>
    <w:lvl w:ilvl="7">
      <w:start w:val="0"/>
      <w:numFmt w:val="bullet"/>
      <w:lvlText w:val="•"/>
      <w:lvlJc w:val="left"/>
      <w:pPr>
        <w:ind w:left="7370" w:hanging="660"/>
      </w:pPr>
      <w:rPr>
        <w:rFonts w:hint="default"/>
        <w:lang w:val="lt-LT" w:eastAsia="en-US" w:bidi="ar-SA"/>
      </w:rPr>
    </w:lvl>
    <w:lvl w:ilvl="8">
      <w:start w:val="0"/>
      <w:numFmt w:val="bullet"/>
      <w:lvlText w:val="•"/>
      <w:lvlJc w:val="left"/>
      <w:pPr>
        <w:ind w:left="8409" w:hanging="660"/>
      </w:pPr>
      <w:rPr>
        <w:rFonts w:hint="default"/>
        <w:lang w:val="lt-LT" w:eastAsia="en-US" w:bidi="ar-SA"/>
      </w:rPr>
    </w:lvl>
  </w:abstractNum>
  <w:abstractNum w:abstractNumId="13">
    <w:multiLevelType w:val="hybridMultilevel"/>
    <w:lvl w:ilvl="0">
      <w:start w:val="12"/>
      <w:numFmt w:val="decimal"/>
      <w:lvlText w:val="%1"/>
      <w:lvlJc w:val="left"/>
      <w:pPr>
        <w:ind w:left="106" w:hanging="706"/>
        <w:jc w:val="left"/>
      </w:pPr>
      <w:rPr>
        <w:rFonts w:hint="default"/>
        <w:lang w:val="lt-LT" w:eastAsia="en-US" w:bidi="ar-SA"/>
      </w:rPr>
    </w:lvl>
    <w:lvl w:ilvl="1">
      <w:start w:val="3"/>
      <w:numFmt w:val="decimal"/>
      <w:lvlText w:val="%1.%2."/>
      <w:lvlJc w:val="left"/>
      <w:pPr>
        <w:ind w:left="106" w:hanging="706"/>
        <w:jc w:val="left"/>
      </w:pPr>
      <w:rPr>
        <w:rFonts w:hint="default" w:ascii="GHEA Grapalat" w:hAnsi="GHEA Grapalat" w:eastAsia="GHEA Grapalat" w:cs="GHEA Grapalat"/>
        <w:b w:val="0"/>
        <w:bCs w:val="0"/>
        <w:i w:val="0"/>
        <w:iCs w:val="0"/>
        <w:spacing w:val="-1"/>
        <w:w w:val="100"/>
        <w:sz w:val="22"/>
        <w:szCs w:val="22"/>
        <w:lang w:val="lt-LT" w:eastAsia="en-US" w:bidi="ar-SA"/>
      </w:rPr>
    </w:lvl>
    <w:lvl w:ilvl="2">
      <w:start w:val="0"/>
      <w:numFmt w:val="bullet"/>
      <w:lvlText w:val="•"/>
      <w:lvlJc w:val="left"/>
      <w:pPr>
        <w:ind w:left="2177" w:hanging="706"/>
      </w:pPr>
      <w:rPr>
        <w:rFonts w:hint="default"/>
        <w:lang w:val="lt-LT" w:eastAsia="en-US" w:bidi="ar-SA"/>
      </w:rPr>
    </w:lvl>
    <w:lvl w:ilvl="3">
      <w:start w:val="0"/>
      <w:numFmt w:val="bullet"/>
      <w:lvlText w:val="•"/>
      <w:lvlJc w:val="left"/>
      <w:pPr>
        <w:ind w:left="3215" w:hanging="706"/>
      </w:pPr>
      <w:rPr>
        <w:rFonts w:hint="default"/>
        <w:lang w:val="lt-LT" w:eastAsia="en-US" w:bidi="ar-SA"/>
      </w:rPr>
    </w:lvl>
    <w:lvl w:ilvl="4">
      <w:start w:val="0"/>
      <w:numFmt w:val="bullet"/>
      <w:lvlText w:val="•"/>
      <w:lvlJc w:val="left"/>
      <w:pPr>
        <w:ind w:left="4254" w:hanging="706"/>
      </w:pPr>
      <w:rPr>
        <w:rFonts w:hint="default"/>
        <w:lang w:val="lt-LT" w:eastAsia="en-US" w:bidi="ar-SA"/>
      </w:rPr>
    </w:lvl>
    <w:lvl w:ilvl="5">
      <w:start w:val="0"/>
      <w:numFmt w:val="bullet"/>
      <w:lvlText w:val="•"/>
      <w:lvlJc w:val="left"/>
      <w:pPr>
        <w:ind w:left="5293" w:hanging="706"/>
      </w:pPr>
      <w:rPr>
        <w:rFonts w:hint="default"/>
        <w:lang w:val="lt-LT" w:eastAsia="en-US" w:bidi="ar-SA"/>
      </w:rPr>
    </w:lvl>
    <w:lvl w:ilvl="6">
      <w:start w:val="0"/>
      <w:numFmt w:val="bullet"/>
      <w:lvlText w:val="•"/>
      <w:lvlJc w:val="left"/>
      <w:pPr>
        <w:ind w:left="6331" w:hanging="706"/>
      </w:pPr>
      <w:rPr>
        <w:rFonts w:hint="default"/>
        <w:lang w:val="lt-LT" w:eastAsia="en-US" w:bidi="ar-SA"/>
      </w:rPr>
    </w:lvl>
    <w:lvl w:ilvl="7">
      <w:start w:val="0"/>
      <w:numFmt w:val="bullet"/>
      <w:lvlText w:val="•"/>
      <w:lvlJc w:val="left"/>
      <w:pPr>
        <w:ind w:left="7370" w:hanging="706"/>
      </w:pPr>
      <w:rPr>
        <w:rFonts w:hint="default"/>
        <w:lang w:val="lt-LT" w:eastAsia="en-US" w:bidi="ar-SA"/>
      </w:rPr>
    </w:lvl>
    <w:lvl w:ilvl="8">
      <w:start w:val="0"/>
      <w:numFmt w:val="bullet"/>
      <w:lvlText w:val="•"/>
      <w:lvlJc w:val="left"/>
      <w:pPr>
        <w:ind w:left="8409" w:hanging="706"/>
      </w:pPr>
      <w:rPr>
        <w:rFonts w:hint="default"/>
        <w:lang w:val="lt-LT" w:eastAsia="en-US" w:bidi="ar-SA"/>
      </w:rPr>
    </w:lvl>
  </w:abstractNum>
  <w:abstractNum w:abstractNumId="12">
    <w:multiLevelType w:val="hybridMultilevel"/>
    <w:lvl w:ilvl="0">
      <w:start w:val="12"/>
      <w:numFmt w:val="decimal"/>
      <w:lvlText w:val="%1"/>
      <w:lvlJc w:val="left"/>
      <w:pPr>
        <w:ind w:left="813" w:hanging="706"/>
        <w:jc w:val="left"/>
      </w:pPr>
      <w:rPr>
        <w:rFonts w:hint="default"/>
        <w:lang w:val="lt-LT" w:eastAsia="en-US" w:bidi="ar-SA"/>
      </w:rPr>
    </w:lvl>
    <w:lvl w:ilvl="1">
      <w:start w:val="1"/>
      <w:numFmt w:val="decimal"/>
      <w:lvlText w:val="%1.%2."/>
      <w:lvlJc w:val="left"/>
      <w:pPr>
        <w:ind w:left="813" w:hanging="706"/>
        <w:jc w:val="left"/>
      </w:pPr>
      <w:rPr>
        <w:rFonts w:hint="default" w:ascii="GHEA Grapalat" w:hAnsi="GHEA Grapalat" w:eastAsia="GHEA Grapalat" w:cs="GHEA Grapalat"/>
        <w:b w:val="0"/>
        <w:bCs w:val="0"/>
        <w:i w:val="0"/>
        <w:iCs w:val="0"/>
        <w:w w:val="100"/>
        <w:sz w:val="22"/>
        <w:szCs w:val="22"/>
        <w:lang w:val="lt-LT" w:eastAsia="en-US" w:bidi="ar-SA"/>
      </w:rPr>
    </w:lvl>
    <w:lvl w:ilvl="2">
      <w:start w:val="0"/>
      <w:numFmt w:val="bullet"/>
      <w:lvlText w:val="•"/>
      <w:lvlJc w:val="left"/>
      <w:pPr>
        <w:ind w:left="2753" w:hanging="706"/>
      </w:pPr>
      <w:rPr>
        <w:rFonts w:hint="default"/>
        <w:lang w:val="lt-LT" w:eastAsia="en-US" w:bidi="ar-SA"/>
      </w:rPr>
    </w:lvl>
    <w:lvl w:ilvl="3">
      <w:start w:val="0"/>
      <w:numFmt w:val="bullet"/>
      <w:lvlText w:val="•"/>
      <w:lvlJc w:val="left"/>
      <w:pPr>
        <w:ind w:left="3719" w:hanging="706"/>
      </w:pPr>
      <w:rPr>
        <w:rFonts w:hint="default"/>
        <w:lang w:val="lt-LT" w:eastAsia="en-US" w:bidi="ar-SA"/>
      </w:rPr>
    </w:lvl>
    <w:lvl w:ilvl="4">
      <w:start w:val="0"/>
      <w:numFmt w:val="bullet"/>
      <w:lvlText w:val="•"/>
      <w:lvlJc w:val="left"/>
      <w:pPr>
        <w:ind w:left="4686" w:hanging="706"/>
      </w:pPr>
      <w:rPr>
        <w:rFonts w:hint="default"/>
        <w:lang w:val="lt-LT" w:eastAsia="en-US" w:bidi="ar-SA"/>
      </w:rPr>
    </w:lvl>
    <w:lvl w:ilvl="5">
      <w:start w:val="0"/>
      <w:numFmt w:val="bullet"/>
      <w:lvlText w:val="•"/>
      <w:lvlJc w:val="left"/>
      <w:pPr>
        <w:ind w:left="5653" w:hanging="706"/>
      </w:pPr>
      <w:rPr>
        <w:rFonts w:hint="default"/>
        <w:lang w:val="lt-LT" w:eastAsia="en-US" w:bidi="ar-SA"/>
      </w:rPr>
    </w:lvl>
    <w:lvl w:ilvl="6">
      <w:start w:val="0"/>
      <w:numFmt w:val="bullet"/>
      <w:lvlText w:val="•"/>
      <w:lvlJc w:val="left"/>
      <w:pPr>
        <w:ind w:left="6619" w:hanging="706"/>
      </w:pPr>
      <w:rPr>
        <w:rFonts w:hint="default"/>
        <w:lang w:val="lt-LT" w:eastAsia="en-US" w:bidi="ar-SA"/>
      </w:rPr>
    </w:lvl>
    <w:lvl w:ilvl="7">
      <w:start w:val="0"/>
      <w:numFmt w:val="bullet"/>
      <w:lvlText w:val="•"/>
      <w:lvlJc w:val="left"/>
      <w:pPr>
        <w:ind w:left="7586" w:hanging="706"/>
      </w:pPr>
      <w:rPr>
        <w:rFonts w:hint="default"/>
        <w:lang w:val="lt-LT" w:eastAsia="en-US" w:bidi="ar-SA"/>
      </w:rPr>
    </w:lvl>
    <w:lvl w:ilvl="8">
      <w:start w:val="0"/>
      <w:numFmt w:val="bullet"/>
      <w:lvlText w:val="•"/>
      <w:lvlJc w:val="left"/>
      <w:pPr>
        <w:ind w:left="8553" w:hanging="706"/>
      </w:pPr>
      <w:rPr>
        <w:rFonts w:hint="default"/>
        <w:lang w:val="lt-LT" w:eastAsia="en-US" w:bidi="ar-SA"/>
      </w:rPr>
    </w:lvl>
  </w:abstractNum>
  <w:abstractNum w:abstractNumId="11">
    <w:multiLevelType w:val="hybridMultilevel"/>
    <w:lvl w:ilvl="0">
      <w:start w:val="11"/>
      <w:numFmt w:val="decimal"/>
      <w:lvlText w:val="%1"/>
      <w:lvlJc w:val="left"/>
      <w:pPr>
        <w:ind w:left="118" w:hanging="706"/>
        <w:jc w:val="left"/>
      </w:pPr>
      <w:rPr>
        <w:rFonts w:hint="default"/>
        <w:lang w:val="lt-LT" w:eastAsia="en-US" w:bidi="ar-SA"/>
      </w:rPr>
    </w:lvl>
    <w:lvl w:ilvl="1">
      <w:start w:val="1"/>
      <w:numFmt w:val="decimal"/>
      <w:lvlText w:val="%1.%2."/>
      <w:lvlJc w:val="left"/>
      <w:pPr>
        <w:ind w:left="118" w:hanging="706"/>
        <w:jc w:val="left"/>
      </w:pPr>
      <w:rPr>
        <w:rFonts w:hint="default" w:ascii="GHEA Grapalat" w:hAnsi="GHEA Grapalat" w:eastAsia="GHEA Grapalat" w:cs="GHEA Grapalat"/>
        <w:b w:val="0"/>
        <w:bCs w:val="0"/>
        <w:i w:val="0"/>
        <w:iCs w:val="0"/>
        <w:w w:val="100"/>
        <w:sz w:val="22"/>
        <w:szCs w:val="22"/>
        <w:lang w:val="lt-LT" w:eastAsia="en-US" w:bidi="ar-SA"/>
      </w:rPr>
    </w:lvl>
    <w:lvl w:ilvl="2">
      <w:start w:val="0"/>
      <w:numFmt w:val="bullet"/>
      <w:lvlText w:val="•"/>
      <w:lvlJc w:val="left"/>
      <w:pPr>
        <w:ind w:left="2193" w:hanging="706"/>
      </w:pPr>
      <w:rPr>
        <w:rFonts w:hint="default"/>
        <w:lang w:val="lt-LT" w:eastAsia="en-US" w:bidi="ar-SA"/>
      </w:rPr>
    </w:lvl>
    <w:lvl w:ilvl="3">
      <w:start w:val="0"/>
      <w:numFmt w:val="bullet"/>
      <w:lvlText w:val="•"/>
      <w:lvlJc w:val="left"/>
      <w:pPr>
        <w:ind w:left="3229" w:hanging="706"/>
      </w:pPr>
      <w:rPr>
        <w:rFonts w:hint="default"/>
        <w:lang w:val="lt-LT" w:eastAsia="en-US" w:bidi="ar-SA"/>
      </w:rPr>
    </w:lvl>
    <w:lvl w:ilvl="4">
      <w:start w:val="0"/>
      <w:numFmt w:val="bullet"/>
      <w:lvlText w:val="•"/>
      <w:lvlJc w:val="left"/>
      <w:pPr>
        <w:ind w:left="4266" w:hanging="706"/>
      </w:pPr>
      <w:rPr>
        <w:rFonts w:hint="default"/>
        <w:lang w:val="lt-LT" w:eastAsia="en-US" w:bidi="ar-SA"/>
      </w:rPr>
    </w:lvl>
    <w:lvl w:ilvl="5">
      <w:start w:val="0"/>
      <w:numFmt w:val="bullet"/>
      <w:lvlText w:val="•"/>
      <w:lvlJc w:val="left"/>
      <w:pPr>
        <w:ind w:left="5303" w:hanging="706"/>
      </w:pPr>
      <w:rPr>
        <w:rFonts w:hint="default"/>
        <w:lang w:val="lt-LT" w:eastAsia="en-US" w:bidi="ar-SA"/>
      </w:rPr>
    </w:lvl>
    <w:lvl w:ilvl="6">
      <w:start w:val="0"/>
      <w:numFmt w:val="bullet"/>
      <w:lvlText w:val="•"/>
      <w:lvlJc w:val="left"/>
      <w:pPr>
        <w:ind w:left="6339" w:hanging="706"/>
      </w:pPr>
      <w:rPr>
        <w:rFonts w:hint="default"/>
        <w:lang w:val="lt-LT" w:eastAsia="en-US" w:bidi="ar-SA"/>
      </w:rPr>
    </w:lvl>
    <w:lvl w:ilvl="7">
      <w:start w:val="0"/>
      <w:numFmt w:val="bullet"/>
      <w:lvlText w:val="•"/>
      <w:lvlJc w:val="left"/>
      <w:pPr>
        <w:ind w:left="7376" w:hanging="706"/>
      </w:pPr>
      <w:rPr>
        <w:rFonts w:hint="default"/>
        <w:lang w:val="lt-LT" w:eastAsia="en-US" w:bidi="ar-SA"/>
      </w:rPr>
    </w:lvl>
    <w:lvl w:ilvl="8">
      <w:start w:val="0"/>
      <w:numFmt w:val="bullet"/>
      <w:lvlText w:val="•"/>
      <w:lvlJc w:val="left"/>
      <w:pPr>
        <w:ind w:left="8413" w:hanging="706"/>
      </w:pPr>
      <w:rPr>
        <w:rFonts w:hint="default"/>
        <w:lang w:val="lt-LT" w:eastAsia="en-US" w:bidi="ar-SA"/>
      </w:rPr>
    </w:lvl>
  </w:abstractNum>
  <w:abstractNum w:abstractNumId="10">
    <w:multiLevelType w:val="hybridMultilevel"/>
    <w:lvl w:ilvl="0">
      <w:start w:val="10"/>
      <w:numFmt w:val="decimal"/>
      <w:lvlText w:val="%1"/>
      <w:lvlJc w:val="left"/>
      <w:pPr>
        <w:ind w:left="105" w:hanging="706"/>
        <w:jc w:val="left"/>
      </w:pPr>
      <w:rPr>
        <w:rFonts w:hint="default"/>
        <w:lang w:val="lt-LT" w:eastAsia="en-US" w:bidi="ar-SA"/>
      </w:rPr>
    </w:lvl>
    <w:lvl w:ilvl="1">
      <w:start w:val="2"/>
      <w:numFmt w:val="decimal"/>
      <w:lvlText w:val="%1.%2"/>
      <w:lvlJc w:val="left"/>
      <w:pPr>
        <w:ind w:left="105" w:hanging="706"/>
        <w:jc w:val="left"/>
      </w:pPr>
      <w:rPr>
        <w:rFonts w:hint="default"/>
        <w:lang w:val="lt-LT" w:eastAsia="en-US" w:bidi="ar-SA"/>
      </w:rPr>
    </w:lvl>
    <w:lvl w:ilvl="2">
      <w:start w:val="5"/>
      <w:numFmt w:val="decimal"/>
      <w:lvlText w:val="%1.%2.%3."/>
      <w:lvlJc w:val="left"/>
      <w:pPr>
        <w:ind w:left="105" w:hanging="706"/>
        <w:jc w:val="left"/>
      </w:pPr>
      <w:rPr>
        <w:rFonts w:hint="default" w:ascii="GHEA Grapalat" w:hAnsi="GHEA Grapalat" w:eastAsia="GHEA Grapalat" w:cs="GHEA Grapalat"/>
        <w:b w:val="0"/>
        <w:bCs w:val="0"/>
        <w:i w:val="0"/>
        <w:iCs w:val="0"/>
        <w:spacing w:val="-3"/>
        <w:w w:val="100"/>
        <w:sz w:val="22"/>
        <w:szCs w:val="22"/>
        <w:lang w:val="lt-LT" w:eastAsia="en-US" w:bidi="ar-SA"/>
      </w:rPr>
    </w:lvl>
    <w:lvl w:ilvl="3">
      <w:start w:val="0"/>
      <w:numFmt w:val="bullet"/>
      <w:lvlText w:val="•"/>
      <w:lvlJc w:val="left"/>
      <w:pPr>
        <w:ind w:left="3215" w:hanging="706"/>
      </w:pPr>
      <w:rPr>
        <w:rFonts w:hint="default"/>
        <w:lang w:val="lt-LT" w:eastAsia="en-US" w:bidi="ar-SA"/>
      </w:rPr>
    </w:lvl>
    <w:lvl w:ilvl="4">
      <w:start w:val="0"/>
      <w:numFmt w:val="bullet"/>
      <w:lvlText w:val="•"/>
      <w:lvlJc w:val="left"/>
      <w:pPr>
        <w:ind w:left="4254" w:hanging="706"/>
      </w:pPr>
      <w:rPr>
        <w:rFonts w:hint="default"/>
        <w:lang w:val="lt-LT" w:eastAsia="en-US" w:bidi="ar-SA"/>
      </w:rPr>
    </w:lvl>
    <w:lvl w:ilvl="5">
      <w:start w:val="0"/>
      <w:numFmt w:val="bullet"/>
      <w:lvlText w:val="•"/>
      <w:lvlJc w:val="left"/>
      <w:pPr>
        <w:ind w:left="5293" w:hanging="706"/>
      </w:pPr>
      <w:rPr>
        <w:rFonts w:hint="default"/>
        <w:lang w:val="lt-LT" w:eastAsia="en-US" w:bidi="ar-SA"/>
      </w:rPr>
    </w:lvl>
    <w:lvl w:ilvl="6">
      <w:start w:val="0"/>
      <w:numFmt w:val="bullet"/>
      <w:lvlText w:val="•"/>
      <w:lvlJc w:val="left"/>
      <w:pPr>
        <w:ind w:left="6331" w:hanging="706"/>
      </w:pPr>
      <w:rPr>
        <w:rFonts w:hint="default"/>
        <w:lang w:val="lt-LT" w:eastAsia="en-US" w:bidi="ar-SA"/>
      </w:rPr>
    </w:lvl>
    <w:lvl w:ilvl="7">
      <w:start w:val="0"/>
      <w:numFmt w:val="bullet"/>
      <w:lvlText w:val="•"/>
      <w:lvlJc w:val="left"/>
      <w:pPr>
        <w:ind w:left="7370" w:hanging="706"/>
      </w:pPr>
      <w:rPr>
        <w:rFonts w:hint="default"/>
        <w:lang w:val="lt-LT" w:eastAsia="en-US" w:bidi="ar-SA"/>
      </w:rPr>
    </w:lvl>
    <w:lvl w:ilvl="8">
      <w:start w:val="0"/>
      <w:numFmt w:val="bullet"/>
      <w:lvlText w:val="•"/>
      <w:lvlJc w:val="left"/>
      <w:pPr>
        <w:ind w:left="8409" w:hanging="706"/>
      </w:pPr>
      <w:rPr>
        <w:rFonts w:hint="default"/>
        <w:lang w:val="lt-LT" w:eastAsia="en-US" w:bidi="ar-SA"/>
      </w:rPr>
    </w:lvl>
  </w:abstractNum>
  <w:abstractNum w:abstractNumId="9">
    <w:multiLevelType w:val="hybridMultilevel"/>
    <w:lvl w:ilvl="0">
      <w:start w:val="10"/>
      <w:numFmt w:val="decimal"/>
      <w:lvlText w:val="%1"/>
      <w:lvlJc w:val="left"/>
      <w:pPr>
        <w:ind w:left="828" w:hanging="721"/>
        <w:jc w:val="left"/>
      </w:pPr>
      <w:rPr>
        <w:rFonts w:hint="default"/>
        <w:lang w:val="lt-LT" w:eastAsia="en-US" w:bidi="ar-SA"/>
      </w:rPr>
    </w:lvl>
    <w:lvl w:ilvl="1">
      <w:start w:val="1"/>
      <w:numFmt w:val="decimal"/>
      <w:lvlText w:val="%1.%2."/>
      <w:lvlJc w:val="left"/>
      <w:pPr>
        <w:ind w:left="828" w:hanging="721"/>
        <w:jc w:val="left"/>
      </w:pPr>
      <w:rPr>
        <w:rFonts w:hint="default"/>
        <w:spacing w:val="-1"/>
        <w:w w:val="100"/>
        <w:lang w:val="lt-LT" w:eastAsia="en-US" w:bidi="ar-SA"/>
      </w:rPr>
    </w:lvl>
    <w:lvl w:ilvl="2">
      <w:start w:val="1"/>
      <w:numFmt w:val="decimal"/>
      <w:lvlText w:val="%1.%2.%3."/>
      <w:lvlJc w:val="left"/>
      <w:pPr>
        <w:ind w:left="119" w:hanging="706"/>
        <w:jc w:val="left"/>
      </w:pPr>
      <w:rPr>
        <w:rFonts w:hint="default"/>
        <w:spacing w:val="-2"/>
        <w:w w:val="100"/>
        <w:lang w:val="lt-LT" w:eastAsia="en-US" w:bidi="ar-SA"/>
      </w:rPr>
    </w:lvl>
    <w:lvl w:ilvl="3">
      <w:start w:val="0"/>
      <w:numFmt w:val="bullet"/>
      <w:lvlText w:val="•"/>
      <w:lvlJc w:val="left"/>
      <w:pPr>
        <w:ind w:left="2028" w:hanging="706"/>
      </w:pPr>
      <w:rPr>
        <w:rFonts w:hint="default"/>
        <w:lang w:val="lt-LT" w:eastAsia="en-US" w:bidi="ar-SA"/>
      </w:rPr>
    </w:lvl>
    <w:lvl w:ilvl="4">
      <w:start w:val="0"/>
      <w:numFmt w:val="bullet"/>
      <w:lvlText w:val="•"/>
      <w:lvlJc w:val="left"/>
      <w:pPr>
        <w:ind w:left="3236" w:hanging="706"/>
      </w:pPr>
      <w:rPr>
        <w:rFonts w:hint="default"/>
        <w:lang w:val="lt-LT" w:eastAsia="en-US" w:bidi="ar-SA"/>
      </w:rPr>
    </w:lvl>
    <w:lvl w:ilvl="5">
      <w:start w:val="0"/>
      <w:numFmt w:val="bullet"/>
      <w:lvlText w:val="•"/>
      <w:lvlJc w:val="left"/>
      <w:pPr>
        <w:ind w:left="4444" w:hanging="706"/>
      </w:pPr>
      <w:rPr>
        <w:rFonts w:hint="default"/>
        <w:lang w:val="lt-LT" w:eastAsia="en-US" w:bidi="ar-SA"/>
      </w:rPr>
    </w:lvl>
    <w:lvl w:ilvl="6">
      <w:start w:val="0"/>
      <w:numFmt w:val="bullet"/>
      <w:lvlText w:val="•"/>
      <w:lvlJc w:val="left"/>
      <w:pPr>
        <w:ind w:left="5653" w:hanging="706"/>
      </w:pPr>
      <w:rPr>
        <w:rFonts w:hint="default"/>
        <w:lang w:val="lt-LT" w:eastAsia="en-US" w:bidi="ar-SA"/>
      </w:rPr>
    </w:lvl>
    <w:lvl w:ilvl="7">
      <w:start w:val="0"/>
      <w:numFmt w:val="bullet"/>
      <w:lvlText w:val="•"/>
      <w:lvlJc w:val="left"/>
      <w:pPr>
        <w:ind w:left="6861" w:hanging="706"/>
      </w:pPr>
      <w:rPr>
        <w:rFonts w:hint="default"/>
        <w:lang w:val="lt-LT" w:eastAsia="en-US" w:bidi="ar-SA"/>
      </w:rPr>
    </w:lvl>
    <w:lvl w:ilvl="8">
      <w:start w:val="0"/>
      <w:numFmt w:val="bullet"/>
      <w:lvlText w:val="•"/>
      <w:lvlJc w:val="left"/>
      <w:pPr>
        <w:ind w:left="8069" w:hanging="706"/>
      </w:pPr>
      <w:rPr>
        <w:rFonts w:hint="default"/>
        <w:lang w:val="lt-LT" w:eastAsia="en-US" w:bidi="ar-SA"/>
      </w:rPr>
    </w:lvl>
  </w:abstractNum>
  <w:abstractNum w:abstractNumId="8">
    <w:multiLevelType w:val="hybridMultilevel"/>
    <w:lvl w:ilvl="0">
      <w:start w:val="9"/>
      <w:numFmt w:val="decimal"/>
      <w:lvlText w:val="%1"/>
      <w:lvlJc w:val="left"/>
      <w:pPr>
        <w:ind w:left="107" w:hanging="706"/>
        <w:jc w:val="left"/>
      </w:pPr>
      <w:rPr>
        <w:rFonts w:hint="default"/>
        <w:lang w:val="lt-LT" w:eastAsia="en-US" w:bidi="ar-SA"/>
      </w:rPr>
    </w:lvl>
    <w:lvl w:ilvl="1">
      <w:start w:val="1"/>
      <w:numFmt w:val="decimal"/>
      <w:lvlText w:val="%1.%2."/>
      <w:lvlJc w:val="left"/>
      <w:pPr>
        <w:ind w:left="107" w:hanging="706"/>
        <w:jc w:val="left"/>
      </w:pPr>
      <w:rPr>
        <w:rFonts w:hint="default" w:ascii="GHEA Grapalat" w:hAnsi="GHEA Grapalat" w:eastAsia="GHEA Grapalat" w:cs="GHEA Grapalat"/>
        <w:b w:val="0"/>
        <w:bCs w:val="0"/>
        <w:i w:val="0"/>
        <w:iCs w:val="0"/>
        <w:spacing w:val="0"/>
        <w:w w:val="100"/>
        <w:sz w:val="22"/>
        <w:szCs w:val="22"/>
        <w:lang w:val="lt-LT" w:eastAsia="en-US" w:bidi="ar-SA"/>
      </w:rPr>
    </w:lvl>
    <w:lvl w:ilvl="2">
      <w:start w:val="0"/>
      <w:numFmt w:val="bullet"/>
      <w:lvlText w:val="•"/>
      <w:lvlJc w:val="left"/>
      <w:pPr>
        <w:ind w:left="2177" w:hanging="706"/>
      </w:pPr>
      <w:rPr>
        <w:rFonts w:hint="default"/>
        <w:lang w:val="lt-LT" w:eastAsia="en-US" w:bidi="ar-SA"/>
      </w:rPr>
    </w:lvl>
    <w:lvl w:ilvl="3">
      <w:start w:val="0"/>
      <w:numFmt w:val="bullet"/>
      <w:lvlText w:val="•"/>
      <w:lvlJc w:val="left"/>
      <w:pPr>
        <w:ind w:left="3215" w:hanging="706"/>
      </w:pPr>
      <w:rPr>
        <w:rFonts w:hint="default"/>
        <w:lang w:val="lt-LT" w:eastAsia="en-US" w:bidi="ar-SA"/>
      </w:rPr>
    </w:lvl>
    <w:lvl w:ilvl="4">
      <w:start w:val="0"/>
      <w:numFmt w:val="bullet"/>
      <w:lvlText w:val="•"/>
      <w:lvlJc w:val="left"/>
      <w:pPr>
        <w:ind w:left="4254" w:hanging="706"/>
      </w:pPr>
      <w:rPr>
        <w:rFonts w:hint="default"/>
        <w:lang w:val="lt-LT" w:eastAsia="en-US" w:bidi="ar-SA"/>
      </w:rPr>
    </w:lvl>
    <w:lvl w:ilvl="5">
      <w:start w:val="0"/>
      <w:numFmt w:val="bullet"/>
      <w:lvlText w:val="•"/>
      <w:lvlJc w:val="left"/>
      <w:pPr>
        <w:ind w:left="5293" w:hanging="706"/>
      </w:pPr>
      <w:rPr>
        <w:rFonts w:hint="default"/>
        <w:lang w:val="lt-LT" w:eastAsia="en-US" w:bidi="ar-SA"/>
      </w:rPr>
    </w:lvl>
    <w:lvl w:ilvl="6">
      <w:start w:val="0"/>
      <w:numFmt w:val="bullet"/>
      <w:lvlText w:val="•"/>
      <w:lvlJc w:val="left"/>
      <w:pPr>
        <w:ind w:left="6331" w:hanging="706"/>
      </w:pPr>
      <w:rPr>
        <w:rFonts w:hint="default"/>
        <w:lang w:val="lt-LT" w:eastAsia="en-US" w:bidi="ar-SA"/>
      </w:rPr>
    </w:lvl>
    <w:lvl w:ilvl="7">
      <w:start w:val="0"/>
      <w:numFmt w:val="bullet"/>
      <w:lvlText w:val="•"/>
      <w:lvlJc w:val="left"/>
      <w:pPr>
        <w:ind w:left="7370" w:hanging="706"/>
      </w:pPr>
      <w:rPr>
        <w:rFonts w:hint="default"/>
        <w:lang w:val="lt-LT" w:eastAsia="en-US" w:bidi="ar-SA"/>
      </w:rPr>
    </w:lvl>
    <w:lvl w:ilvl="8">
      <w:start w:val="0"/>
      <w:numFmt w:val="bullet"/>
      <w:lvlText w:val="•"/>
      <w:lvlJc w:val="left"/>
      <w:pPr>
        <w:ind w:left="8409" w:hanging="706"/>
      </w:pPr>
      <w:rPr>
        <w:rFonts w:hint="default"/>
        <w:lang w:val="lt-LT" w:eastAsia="en-US" w:bidi="ar-SA"/>
      </w:rPr>
    </w:lvl>
  </w:abstractNum>
  <w:abstractNum w:abstractNumId="7">
    <w:multiLevelType w:val="hybridMultilevel"/>
    <w:lvl w:ilvl="0">
      <w:start w:val="8"/>
      <w:numFmt w:val="decimal"/>
      <w:lvlText w:val="%1"/>
      <w:lvlJc w:val="left"/>
      <w:pPr>
        <w:ind w:left="107" w:hanging="706"/>
        <w:jc w:val="left"/>
      </w:pPr>
      <w:rPr>
        <w:rFonts w:hint="default"/>
        <w:lang w:val="lt-LT" w:eastAsia="en-US" w:bidi="ar-SA"/>
      </w:rPr>
    </w:lvl>
    <w:lvl w:ilvl="1">
      <w:start w:val="1"/>
      <w:numFmt w:val="decimal"/>
      <w:lvlText w:val="%1.%2."/>
      <w:lvlJc w:val="left"/>
      <w:pPr>
        <w:ind w:left="107" w:hanging="706"/>
        <w:jc w:val="left"/>
      </w:pPr>
      <w:rPr>
        <w:rFonts w:hint="default" w:ascii="GHEA Grapalat" w:hAnsi="GHEA Grapalat" w:eastAsia="GHEA Grapalat" w:cs="GHEA Grapalat"/>
        <w:b w:val="0"/>
        <w:bCs w:val="0"/>
        <w:i w:val="0"/>
        <w:iCs w:val="0"/>
        <w:w w:val="100"/>
        <w:sz w:val="22"/>
        <w:szCs w:val="22"/>
        <w:lang w:val="lt-LT" w:eastAsia="en-US" w:bidi="ar-SA"/>
      </w:rPr>
    </w:lvl>
    <w:lvl w:ilvl="2">
      <w:start w:val="1"/>
      <w:numFmt w:val="decimal"/>
      <w:lvlText w:val="%1.%2.%3."/>
      <w:lvlJc w:val="left"/>
      <w:pPr>
        <w:ind w:left="107" w:hanging="706"/>
        <w:jc w:val="left"/>
      </w:pPr>
      <w:rPr>
        <w:rFonts w:hint="default" w:ascii="GHEA Grapalat" w:hAnsi="GHEA Grapalat" w:eastAsia="GHEA Grapalat" w:cs="GHEA Grapalat"/>
        <w:b w:val="0"/>
        <w:bCs w:val="0"/>
        <w:i w:val="0"/>
        <w:iCs w:val="0"/>
        <w:w w:val="100"/>
        <w:sz w:val="22"/>
        <w:szCs w:val="22"/>
        <w:lang w:val="lt-LT" w:eastAsia="en-US" w:bidi="ar-SA"/>
      </w:rPr>
    </w:lvl>
    <w:lvl w:ilvl="3">
      <w:start w:val="0"/>
      <w:numFmt w:val="bullet"/>
      <w:lvlText w:val="•"/>
      <w:lvlJc w:val="left"/>
      <w:pPr>
        <w:ind w:left="3215" w:hanging="706"/>
      </w:pPr>
      <w:rPr>
        <w:rFonts w:hint="default"/>
        <w:lang w:val="lt-LT" w:eastAsia="en-US" w:bidi="ar-SA"/>
      </w:rPr>
    </w:lvl>
    <w:lvl w:ilvl="4">
      <w:start w:val="0"/>
      <w:numFmt w:val="bullet"/>
      <w:lvlText w:val="•"/>
      <w:lvlJc w:val="left"/>
      <w:pPr>
        <w:ind w:left="4254" w:hanging="706"/>
      </w:pPr>
      <w:rPr>
        <w:rFonts w:hint="default"/>
        <w:lang w:val="lt-LT" w:eastAsia="en-US" w:bidi="ar-SA"/>
      </w:rPr>
    </w:lvl>
    <w:lvl w:ilvl="5">
      <w:start w:val="0"/>
      <w:numFmt w:val="bullet"/>
      <w:lvlText w:val="•"/>
      <w:lvlJc w:val="left"/>
      <w:pPr>
        <w:ind w:left="5293" w:hanging="706"/>
      </w:pPr>
      <w:rPr>
        <w:rFonts w:hint="default"/>
        <w:lang w:val="lt-LT" w:eastAsia="en-US" w:bidi="ar-SA"/>
      </w:rPr>
    </w:lvl>
    <w:lvl w:ilvl="6">
      <w:start w:val="0"/>
      <w:numFmt w:val="bullet"/>
      <w:lvlText w:val="•"/>
      <w:lvlJc w:val="left"/>
      <w:pPr>
        <w:ind w:left="6331" w:hanging="706"/>
      </w:pPr>
      <w:rPr>
        <w:rFonts w:hint="default"/>
        <w:lang w:val="lt-LT" w:eastAsia="en-US" w:bidi="ar-SA"/>
      </w:rPr>
    </w:lvl>
    <w:lvl w:ilvl="7">
      <w:start w:val="0"/>
      <w:numFmt w:val="bullet"/>
      <w:lvlText w:val="•"/>
      <w:lvlJc w:val="left"/>
      <w:pPr>
        <w:ind w:left="7370" w:hanging="706"/>
      </w:pPr>
      <w:rPr>
        <w:rFonts w:hint="default"/>
        <w:lang w:val="lt-LT" w:eastAsia="en-US" w:bidi="ar-SA"/>
      </w:rPr>
    </w:lvl>
    <w:lvl w:ilvl="8">
      <w:start w:val="0"/>
      <w:numFmt w:val="bullet"/>
      <w:lvlText w:val="•"/>
      <w:lvlJc w:val="left"/>
      <w:pPr>
        <w:ind w:left="8409" w:hanging="706"/>
      </w:pPr>
      <w:rPr>
        <w:rFonts w:hint="default"/>
        <w:lang w:val="lt-LT" w:eastAsia="en-US" w:bidi="ar-SA"/>
      </w:rPr>
    </w:lvl>
  </w:abstractNum>
  <w:abstractNum w:abstractNumId="6">
    <w:multiLevelType w:val="hybridMultilevel"/>
    <w:lvl w:ilvl="0">
      <w:start w:val="7"/>
      <w:numFmt w:val="decimal"/>
      <w:lvlText w:val="%1"/>
      <w:lvlJc w:val="left"/>
      <w:pPr>
        <w:ind w:left="828" w:hanging="721"/>
        <w:jc w:val="left"/>
      </w:pPr>
      <w:rPr>
        <w:rFonts w:hint="default"/>
        <w:lang w:val="lt-LT" w:eastAsia="en-US" w:bidi="ar-SA"/>
      </w:rPr>
    </w:lvl>
    <w:lvl w:ilvl="1">
      <w:start w:val="1"/>
      <w:numFmt w:val="decimal"/>
      <w:lvlText w:val="%1.%2."/>
      <w:lvlJc w:val="left"/>
      <w:pPr>
        <w:ind w:left="828" w:hanging="721"/>
        <w:jc w:val="left"/>
      </w:pPr>
      <w:rPr>
        <w:rFonts w:hint="default" w:ascii="GHEA Grapalat" w:hAnsi="GHEA Grapalat" w:eastAsia="GHEA Grapalat" w:cs="GHEA Grapalat"/>
        <w:b/>
        <w:bCs/>
        <w:i w:val="0"/>
        <w:iCs w:val="0"/>
        <w:spacing w:val="-1"/>
        <w:w w:val="100"/>
        <w:sz w:val="22"/>
        <w:szCs w:val="22"/>
        <w:lang w:val="lt-LT" w:eastAsia="en-US" w:bidi="ar-SA"/>
      </w:rPr>
    </w:lvl>
    <w:lvl w:ilvl="2">
      <w:start w:val="1"/>
      <w:numFmt w:val="decimal"/>
      <w:lvlText w:val="%1.%2.%3."/>
      <w:lvlJc w:val="left"/>
      <w:pPr>
        <w:ind w:left="107" w:hanging="706"/>
        <w:jc w:val="left"/>
      </w:pPr>
      <w:rPr>
        <w:rFonts w:hint="default" w:ascii="GHEA Grapalat" w:hAnsi="GHEA Grapalat" w:eastAsia="GHEA Grapalat" w:cs="GHEA Grapalat"/>
        <w:b w:val="0"/>
        <w:bCs w:val="0"/>
        <w:i w:val="0"/>
        <w:iCs w:val="0"/>
        <w:spacing w:val="-3"/>
        <w:w w:val="100"/>
        <w:sz w:val="22"/>
        <w:szCs w:val="22"/>
        <w:lang w:val="lt-LT" w:eastAsia="en-US" w:bidi="ar-SA"/>
      </w:rPr>
    </w:lvl>
    <w:lvl w:ilvl="3">
      <w:start w:val="0"/>
      <w:numFmt w:val="bullet"/>
      <w:lvlText w:val="•"/>
      <w:lvlJc w:val="left"/>
      <w:pPr>
        <w:ind w:left="2968" w:hanging="706"/>
      </w:pPr>
      <w:rPr>
        <w:rFonts w:hint="default"/>
        <w:lang w:val="lt-LT" w:eastAsia="en-US" w:bidi="ar-SA"/>
      </w:rPr>
    </w:lvl>
    <w:lvl w:ilvl="4">
      <w:start w:val="0"/>
      <w:numFmt w:val="bullet"/>
      <w:lvlText w:val="•"/>
      <w:lvlJc w:val="left"/>
      <w:pPr>
        <w:ind w:left="4042" w:hanging="706"/>
      </w:pPr>
      <w:rPr>
        <w:rFonts w:hint="default"/>
        <w:lang w:val="lt-LT" w:eastAsia="en-US" w:bidi="ar-SA"/>
      </w:rPr>
    </w:lvl>
    <w:lvl w:ilvl="5">
      <w:start w:val="0"/>
      <w:numFmt w:val="bullet"/>
      <w:lvlText w:val="•"/>
      <w:lvlJc w:val="left"/>
      <w:pPr>
        <w:ind w:left="5116" w:hanging="706"/>
      </w:pPr>
      <w:rPr>
        <w:rFonts w:hint="default"/>
        <w:lang w:val="lt-LT" w:eastAsia="en-US" w:bidi="ar-SA"/>
      </w:rPr>
    </w:lvl>
    <w:lvl w:ilvl="6">
      <w:start w:val="0"/>
      <w:numFmt w:val="bullet"/>
      <w:lvlText w:val="•"/>
      <w:lvlJc w:val="left"/>
      <w:pPr>
        <w:ind w:left="6190" w:hanging="706"/>
      </w:pPr>
      <w:rPr>
        <w:rFonts w:hint="default"/>
        <w:lang w:val="lt-LT" w:eastAsia="en-US" w:bidi="ar-SA"/>
      </w:rPr>
    </w:lvl>
    <w:lvl w:ilvl="7">
      <w:start w:val="0"/>
      <w:numFmt w:val="bullet"/>
      <w:lvlText w:val="•"/>
      <w:lvlJc w:val="left"/>
      <w:pPr>
        <w:ind w:left="7264" w:hanging="706"/>
      </w:pPr>
      <w:rPr>
        <w:rFonts w:hint="default"/>
        <w:lang w:val="lt-LT" w:eastAsia="en-US" w:bidi="ar-SA"/>
      </w:rPr>
    </w:lvl>
    <w:lvl w:ilvl="8">
      <w:start w:val="0"/>
      <w:numFmt w:val="bullet"/>
      <w:lvlText w:val="•"/>
      <w:lvlJc w:val="left"/>
      <w:pPr>
        <w:ind w:left="8338" w:hanging="706"/>
      </w:pPr>
      <w:rPr>
        <w:rFonts w:hint="default"/>
        <w:lang w:val="lt-LT" w:eastAsia="en-US" w:bidi="ar-SA"/>
      </w:rPr>
    </w:lvl>
  </w:abstractNum>
  <w:abstractNum w:abstractNumId="5">
    <w:multiLevelType w:val="hybridMultilevel"/>
    <w:lvl w:ilvl="0">
      <w:start w:val="6"/>
      <w:numFmt w:val="decimal"/>
      <w:lvlText w:val="%1"/>
      <w:lvlJc w:val="left"/>
      <w:pPr>
        <w:ind w:left="828" w:hanging="720"/>
        <w:jc w:val="left"/>
      </w:pPr>
      <w:rPr>
        <w:rFonts w:hint="default"/>
        <w:lang w:val="lt-LT" w:eastAsia="en-US" w:bidi="ar-SA"/>
      </w:rPr>
    </w:lvl>
    <w:lvl w:ilvl="1">
      <w:start w:val="1"/>
      <w:numFmt w:val="decimal"/>
      <w:lvlText w:val="%1.%2."/>
      <w:lvlJc w:val="left"/>
      <w:pPr>
        <w:ind w:left="828" w:hanging="720"/>
        <w:jc w:val="left"/>
      </w:pPr>
      <w:rPr>
        <w:rFonts w:hint="default" w:ascii="GHEA Grapalat" w:hAnsi="GHEA Grapalat" w:eastAsia="GHEA Grapalat" w:cs="GHEA Grapalat"/>
        <w:b/>
        <w:bCs/>
        <w:i w:val="0"/>
        <w:iCs w:val="0"/>
        <w:spacing w:val="-1"/>
        <w:w w:val="100"/>
        <w:sz w:val="22"/>
        <w:szCs w:val="22"/>
        <w:lang w:val="lt-LT" w:eastAsia="en-US" w:bidi="ar-SA"/>
      </w:rPr>
    </w:lvl>
    <w:lvl w:ilvl="2">
      <w:start w:val="1"/>
      <w:numFmt w:val="decimal"/>
      <w:lvlText w:val="%1.%2.%3."/>
      <w:lvlJc w:val="left"/>
      <w:pPr>
        <w:ind w:left="108" w:hanging="706"/>
        <w:jc w:val="left"/>
      </w:pPr>
      <w:rPr>
        <w:rFonts w:hint="default" w:ascii="GHEA Grapalat" w:hAnsi="GHEA Grapalat" w:eastAsia="GHEA Grapalat" w:cs="GHEA Grapalat"/>
        <w:b w:val="0"/>
        <w:bCs w:val="0"/>
        <w:i w:val="0"/>
        <w:iCs w:val="0"/>
        <w:spacing w:val="-3"/>
        <w:w w:val="100"/>
        <w:sz w:val="22"/>
        <w:szCs w:val="22"/>
        <w:lang w:val="lt-LT" w:eastAsia="en-US" w:bidi="ar-SA"/>
      </w:rPr>
    </w:lvl>
    <w:lvl w:ilvl="3">
      <w:start w:val="0"/>
      <w:numFmt w:val="bullet"/>
      <w:lvlText w:val="•"/>
      <w:lvlJc w:val="left"/>
      <w:pPr>
        <w:ind w:left="2968" w:hanging="706"/>
      </w:pPr>
      <w:rPr>
        <w:rFonts w:hint="default"/>
        <w:lang w:val="lt-LT" w:eastAsia="en-US" w:bidi="ar-SA"/>
      </w:rPr>
    </w:lvl>
    <w:lvl w:ilvl="4">
      <w:start w:val="0"/>
      <w:numFmt w:val="bullet"/>
      <w:lvlText w:val="•"/>
      <w:lvlJc w:val="left"/>
      <w:pPr>
        <w:ind w:left="4042" w:hanging="706"/>
      </w:pPr>
      <w:rPr>
        <w:rFonts w:hint="default"/>
        <w:lang w:val="lt-LT" w:eastAsia="en-US" w:bidi="ar-SA"/>
      </w:rPr>
    </w:lvl>
    <w:lvl w:ilvl="5">
      <w:start w:val="0"/>
      <w:numFmt w:val="bullet"/>
      <w:lvlText w:val="•"/>
      <w:lvlJc w:val="left"/>
      <w:pPr>
        <w:ind w:left="5116" w:hanging="706"/>
      </w:pPr>
      <w:rPr>
        <w:rFonts w:hint="default"/>
        <w:lang w:val="lt-LT" w:eastAsia="en-US" w:bidi="ar-SA"/>
      </w:rPr>
    </w:lvl>
    <w:lvl w:ilvl="6">
      <w:start w:val="0"/>
      <w:numFmt w:val="bullet"/>
      <w:lvlText w:val="•"/>
      <w:lvlJc w:val="left"/>
      <w:pPr>
        <w:ind w:left="6190" w:hanging="706"/>
      </w:pPr>
      <w:rPr>
        <w:rFonts w:hint="default"/>
        <w:lang w:val="lt-LT" w:eastAsia="en-US" w:bidi="ar-SA"/>
      </w:rPr>
    </w:lvl>
    <w:lvl w:ilvl="7">
      <w:start w:val="0"/>
      <w:numFmt w:val="bullet"/>
      <w:lvlText w:val="•"/>
      <w:lvlJc w:val="left"/>
      <w:pPr>
        <w:ind w:left="7264" w:hanging="706"/>
      </w:pPr>
      <w:rPr>
        <w:rFonts w:hint="default"/>
        <w:lang w:val="lt-LT" w:eastAsia="en-US" w:bidi="ar-SA"/>
      </w:rPr>
    </w:lvl>
    <w:lvl w:ilvl="8">
      <w:start w:val="0"/>
      <w:numFmt w:val="bullet"/>
      <w:lvlText w:val="•"/>
      <w:lvlJc w:val="left"/>
      <w:pPr>
        <w:ind w:left="8338" w:hanging="706"/>
      </w:pPr>
      <w:rPr>
        <w:rFonts w:hint="default"/>
        <w:lang w:val="lt-LT" w:eastAsia="en-US" w:bidi="ar-SA"/>
      </w:rPr>
    </w:lvl>
  </w:abstractNum>
  <w:abstractNum w:abstractNumId="4">
    <w:multiLevelType w:val="hybridMultilevel"/>
    <w:lvl w:ilvl="0">
      <w:start w:val="5"/>
      <w:numFmt w:val="decimal"/>
      <w:lvlText w:val="%1"/>
      <w:lvlJc w:val="left"/>
      <w:pPr>
        <w:ind w:left="828" w:hanging="721"/>
        <w:jc w:val="left"/>
      </w:pPr>
      <w:rPr>
        <w:rFonts w:hint="default"/>
        <w:lang w:val="lt-LT" w:eastAsia="en-US" w:bidi="ar-SA"/>
      </w:rPr>
    </w:lvl>
    <w:lvl w:ilvl="1">
      <w:start w:val="1"/>
      <w:numFmt w:val="decimal"/>
      <w:lvlText w:val="%1.%2."/>
      <w:lvlJc w:val="left"/>
      <w:pPr>
        <w:ind w:left="828" w:hanging="721"/>
        <w:jc w:val="left"/>
      </w:pPr>
      <w:rPr>
        <w:rFonts w:hint="default"/>
        <w:spacing w:val="-1"/>
        <w:w w:val="100"/>
        <w:lang w:val="lt-LT" w:eastAsia="en-US" w:bidi="ar-SA"/>
      </w:rPr>
    </w:lvl>
    <w:lvl w:ilvl="2">
      <w:start w:val="1"/>
      <w:numFmt w:val="decimal"/>
      <w:lvlText w:val="%1.%2.%3."/>
      <w:lvlJc w:val="left"/>
      <w:pPr>
        <w:ind w:left="108" w:hanging="706"/>
        <w:jc w:val="left"/>
      </w:pPr>
      <w:rPr>
        <w:rFonts w:hint="default" w:ascii="GHEA Grapalat" w:hAnsi="GHEA Grapalat" w:eastAsia="GHEA Grapalat" w:cs="GHEA Grapalat"/>
        <w:b w:val="0"/>
        <w:bCs w:val="0"/>
        <w:i w:val="0"/>
        <w:iCs w:val="0"/>
        <w:w w:val="100"/>
        <w:sz w:val="22"/>
        <w:szCs w:val="22"/>
        <w:lang w:val="lt-LT" w:eastAsia="en-US" w:bidi="ar-SA"/>
      </w:rPr>
    </w:lvl>
    <w:lvl w:ilvl="3">
      <w:start w:val="0"/>
      <w:numFmt w:val="bullet"/>
      <w:lvlText w:val="•"/>
      <w:lvlJc w:val="left"/>
      <w:pPr>
        <w:ind w:left="5458" w:hanging="706"/>
      </w:pPr>
      <w:rPr>
        <w:rFonts w:hint="default"/>
        <w:lang w:val="lt-LT" w:eastAsia="en-US" w:bidi="ar-SA"/>
      </w:rPr>
    </w:lvl>
    <w:lvl w:ilvl="4">
      <w:start w:val="0"/>
      <w:numFmt w:val="bullet"/>
      <w:lvlText w:val="•"/>
      <w:lvlJc w:val="left"/>
      <w:pPr>
        <w:ind w:left="6176" w:hanging="706"/>
      </w:pPr>
      <w:rPr>
        <w:rFonts w:hint="default"/>
        <w:lang w:val="lt-LT" w:eastAsia="en-US" w:bidi="ar-SA"/>
      </w:rPr>
    </w:lvl>
    <w:lvl w:ilvl="5">
      <w:start w:val="0"/>
      <w:numFmt w:val="bullet"/>
      <w:lvlText w:val="•"/>
      <w:lvlJc w:val="left"/>
      <w:pPr>
        <w:ind w:left="6894" w:hanging="706"/>
      </w:pPr>
      <w:rPr>
        <w:rFonts w:hint="default"/>
        <w:lang w:val="lt-LT" w:eastAsia="en-US" w:bidi="ar-SA"/>
      </w:rPr>
    </w:lvl>
    <w:lvl w:ilvl="6">
      <w:start w:val="0"/>
      <w:numFmt w:val="bullet"/>
      <w:lvlText w:val="•"/>
      <w:lvlJc w:val="left"/>
      <w:pPr>
        <w:ind w:left="7613" w:hanging="706"/>
      </w:pPr>
      <w:rPr>
        <w:rFonts w:hint="default"/>
        <w:lang w:val="lt-LT" w:eastAsia="en-US" w:bidi="ar-SA"/>
      </w:rPr>
    </w:lvl>
    <w:lvl w:ilvl="7">
      <w:start w:val="0"/>
      <w:numFmt w:val="bullet"/>
      <w:lvlText w:val="•"/>
      <w:lvlJc w:val="left"/>
      <w:pPr>
        <w:ind w:left="8331" w:hanging="706"/>
      </w:pPr>
      <w:rPr>
        <w:rFonts w:hint="default"/>
        <w:lang w:val="lt-LT" w:eastAsia="en-US" w:bidi="ar-SA"/>
      </w:rPr>
    </w:lvl>
    <w:lvl w:ilvl="8">
      <w:start w:val="0"/>
      <w:numFmt w:val="bullet"/>
      <w:lvlText w:val="•"/>
      <w:lvlJc w:val="left"/>
      <w:pPr>
        <w:ind w:left="9049" w:hanging="706"/>
      </w:pPr>
      <w:rPr>
        <w:rFonts w:hint="default"/>
        <w:lang w:val="lt-LT" w:eastAsia="en-US" w:bidi="ar-SA"/>
      </w:rPr>
    </w:lvl>
  </w:abstractNum>
  <w:abstractNum w:abstractNumId="3">
    <w:multiLevelType w:val="hybridMultilevel"/>
    <w:lvl w:ilvl="0">
      <w:start w:val="4"/>
      <w:numFmt w:val="decimal"/>
      <w:lvlText w:val="%1"/>
      <w:lvlJc w:val="left"/>
      <w:pPr>
        <w:ind w:left="107" w:hanging="706"/>
        <w:jc w:val="left"/>
      </w:pPr>
      <w:rPr>
        <w:rFonts w:hint="default"/>
        <w:lang w:val="lt-LT" w:eastAsia="en-US" w:bidi="ar-SA"/>
      </w:rPr>
    </w:lvl>
    <w:lvl w:ilvl="1">
      <w:start w:val="1"/>
      <w:numFmt w:val="decimal"/>
      <w:lvlText w:val="%1.%2."/>
      <w:lvlJc w:val="left"/>
      <w:pPr>
        <w:ind w:left="107" w:hanging="706"/>
        <w:jc w:val="left"/>
      </w:pPr>
      <w:rPr>
        <w:rFonts w:hint="default" w:ascii="GHEA Grapalat" w:hAnsi="GHEA Grapalat" w:eastAsia="GHEA Grapalat" w:cs="GHEA Grapalat"/>
        <w:b w:val="0"/>
        <w:bCs w:val="0"/>
        <w:i w:val="0"/>
        <w:iCs w:val="0"/>
        <w:spacing w:val="-2"/>
        <w:w w:val="100"/>
        <w:sz w:val="22"/>
        <w:szCs w:val="22"/>
        <w:lang w:val="lt-LT" w:eastAsia="en-US" w:bidi="ar-SA"/>
      </w:rPr>
    </w:lvl>
    <w:lvl w:ilvl="2">
      <w:start w:val="0"/>
      <w:numFmt w:val="bullet"/>
      <w:lvlText w:val="•"/>
      <w:lvlJc w:val="left"/>
      <w:pPr>
        <w:ind w:left="2177" w:hanging="706"/>
      </w:pPr>
      <w:rPr>
        <w:rFonts w:hint="default"/>
        <w:lang w:val="lt-LT" w:eastAsia="en-US" w:bidi="ar-SA"/>
      </w:rPr>
    </w:lvl>
    <w:lvl w:ilvl="3">
      <w:start w:val="0"/>
      <w:numFmt w:val="bullet"/>
      <w:lvlText w:val="•"/>
      <w:lvlJc w:val="left"/>
      <w:pPr>
        <w:ind w:left="3215" w:hanging="706"/>
      </w:pPr>
      <w:rPr>
        <w:rFonts w:hint="default"/>
        <w:lang w:val="lt-LT" w:eastAsia="en-US" w:bidi="ar-SA"/>
      </w:rPr>
    </w:lvl>
    <w:lvl w:ilvl="4">
      <w:start w:val="0"/>
      <w:numFmt w:val="bullet"/>
      <w:lvlText w:val="•"/>
      <w:lvlJc w:val="left"/>
      <w:pPr>
        <w:ind w:left="4254" w:hanging="706"/>
      </w:pPr>
      <w:rPr>
        <w:rFonts w:hint="default"/>
        <w:lang w:val="lt-LT" w:eastAsia="en-US" w:bidi="ar-SA"/>
      </w:rPr>
    </w:lvl>
    <w:lvl w:ilvl="5">
      <w:start w:val="0"/>
      <w:numFmt w:val="bullet"/>
      <w:lvlText w:val="•"/>
      <w:lvlJc w:val="left"/>
      <w:pPr>
        <w:ind w:left="5293" w:hanging="706"/>
      </w:pPr>
      <w:rPr>
        <w:rFonts w:hint="default"/>
        <w:lang w:val="lt-LT" w:eastAsia="en-US" w:bidi="ar-SA"/>
      </w:rPr>
    </w:lvl>
    <w:lvl w:ilvl="6">
      <w:start w:val="0"/>
      <w:numFmt w:val="bullet"/>
      <w:lvlText w:val="•"/>
      <w:lvlJc w:val="left"/>
      <w:pPr>
        <w:ind w:left="6331" w:hanging="706"/>
      </w:pPr>
      <w:rPr>
        <w:rFonts w:hint="default"/>
        <w:lang w:val="lt-LT" w:eastAsia="en-US" w:bidi="ar-SA"/>
      </w:rPr>
    </w:lvl>
    <w:lvl w:ilvl="7">
      <w:start w:val="0"/>
      <w:numFmt w:val="bullet"/>
      <w:lvlText w:val="•"/>
      <w:lvlJc w:val="left"/>
      <w:pPr>
        <w:ind w:left="7370" w:hanging="706"/>
      </w:pPr>
      <w:rPr>
        <w:rFonts w:hint="default"/>
        <w:lang w:val="lt-LT" w:eastAsia="en-US" w:bidi="ar-SA"/>
      </w:rPr>
    </w:lvl>
    <w:lvl w:ilvl="8">
      <w:start w:val="0"/>
      <w:numFmt w:val="bullet"/>
      <w:lvlText w:val="•"/>
      <w:lvlJc w:val="left"/>
      <w:pPr>
        <w:ind w:left="8409" w:hanging="706"/>
      </w:pPr>
      <w:rPr>
        <w:rFonts w:hint="default"/>
        <w:lang w:val="lt-LT" w:eastAsia="en-US" w:bidi="ar-SA"/>
      </w:rPr>
    </w:lvl>
  </w:abstractNum>
  <w:abstractNum w:abstractNumId="2">
    <w:multiLevelType w:val="hybridMultilevel"/>
    <w:lvl w:ilvl="0">
      <w:start w:val="3"/>
      <w:numFmt w:val="decimal"/>
      <w:lvlText w:val="%1"/>
      <w:lvlJc w:val="left"/>
      <w:pPr>
        <w:ind w:left="107" w:hanging="694"/>
        <w:jc w:val="left"/>
      </w:pPr>
      <w:rPr>
        <w:rFonts w:hint="default"/>
        <w:lang w:val="lt-LT" w:eastAsia="en-US" w:bidi="ar-SA"/>
      </w:rPr>
    </w:lvl>
    <w:lvl w:ilvl="1">
      <w:start w:val="1"/>
      <w:numFmt w:val="decimal"/>
      <w:lvlText w:val="%1.%2."/>
      <w:lvlJc w:val="left"/>
      <w:pPr>
        <w:ind w:left="107" w:hanging="694"/>
        <w:jc w:val="left"/>
      </w:pPr>
      <w:rPr>
        <w:rFonts w:hint="default" w:ascii="GHEA Grapalat" w:hAnsi="GHEA Grapalat" w:eastAsia="GHEA Grapalat" w:cs="GHEA Grapalat"/>
        <w:b w:val="0"/>
        <w:bCs w:val="0"/>
        <w:i w:val="0"/>
        <w:iCs w:val="0"/>
        <w:spacing w:val="-1"/>
        <w:w w:val="100"/>
        <w:sz w:val="22"/>
        <w:szCs w:val="22"/>
        <w:lang w:val="lt-LT" w:eastAsia="en-US" w:bidi="ar-SA"/>
      </w:rPr>
    </w:lvl>
    <w:lvl w:ilvl="2">
      <w:start w:val="0"/>
      <w:numFmt w:val="bullet"/>
      <w:lvlText w:val="•"/>
      <w:lvlJc w:val="left"/>
      <w:pPr>
        <w:ind w:left="2177" w:hanging="694"/>
      </w:pPr>
      <w:rPr>
        <w:rFonts w:hint="default"/>
        <w:lang w:val="lt-LT" w:eastAsia="en-US" w:bidi="ar-SA"/>
      </w:rPr>
    </w:lvl>
    <w:lvl w:ilvl="3">
      <w:start w:val="0"/>
      <w:numFmt w:val="bullet"/>
      <w:lvlText w:val="•"/>
      <w:lvlJc w:val="left"/>
      <w:pPr>
        <w:ind w:left="3215" w:hanging="694"/>
      </w:pPr>
      <w:rPr>
        <w:rFonts w:hint="default"/>
        <w:lang w:val="lt-LT" w:eastAsia="en-US" w:bidi="ar-SA"/>
      </w:rPr>
    </w:lvl>
    <w:lvl w:ilvl="4">
      <w:start w:val="0"/>
      <w:numFmt w:val="bullet"/>
      <w:lvlText w:val="•"/>
      <w:lvlJc w:val="left"/>
      <w:pPr>
        <w:ind w:left="4254" w:hanging="694"/>
      </w:pPr>
      <w:rPr>
        <w:rFonts w:hint="default"/>
        <w:lang w:val="lt-LT" w:eastAsia="en-US" w:bidi="ar-SA"/>
      </w:rPr>
    </w:lvl>
    <w:lvl w:ilvl="5">
      <w:start w:val="0"/>
      <w:numFmt w:val="bullet"/>
      <w:lvlText w:val="•"/>
      <w:lvlJc w:val="left"/>
      <w:pPr>
        <w:ind w:left="5293" w:hanging="694"/>
      </w:pPr>
      <w:rPr>
        <w:rFonts w:hint="default"/>
        <w:lang w:val="lt-LT" w:eastAsia="en-US" w:bidi="ar-SA"/>
      </w:rPr>
    </w:lvl>
    <w:lvl w:ilvl="6">
      <w:start w:val="0"/>
      <w:numFmt w:val="bullet"/>
      <w:lvlText w:val="•"/>
      <w:lvlJc w:val="left"/>
      <w:pPr>
        <w:ind w:left="6331" w:hanging="694"/>
      </w:pPr>
      <w:rPr>
        <w:rFonts w:hint="default"/>
        <w:lang w:val="lt-LT" w:eastAsia="en-US" w:bidi="ar-SA"/>
      </w:rPr>
    </w:lvl>
    <w:lvl w:ilvl="7">
      <w:start w:val="0"/>
      <w:numFmt w:val="bullet"/>
      <w:lvlText w:val="•"/>
      <w:lvlJc w:val="left"/>
      <w:pPr>
        <w:ind w:left="7370" w:hanging="694"/>
      </w:pPr>
      <w:rPr>
        <w:rFonts w:hint="default"/>
        <w:lang w:val="lt-LT" w:eastAsia="en-US" w:bidi="ar-SA"/>
      </w:rPr>
    </w:lvl>
    <w:lvl w:ilvl="8">
      <w:start w:val="0"/>
      <w:numFmt w:val="bullet"/>
      <w:lvlText w:val="•"/>
      <w:lvlJc w:val="left"/>
      <w:pPr>
        <w:ind w:left="8409" w:hanging="694"/>
      </w:pPr>
      <w:rPr>
        <w:rFonts w:hint="default"/>
        <w:lang w:val="lt-LT" w:eastAsia="en-US" w:bidi="ar-SA"/>
      </w:rPr>
    </w:lvl>
  </w:abstractNum>
  <w:abstractNum w:abstractNumId="1">
    <w:multiLevelType w:val="hybridMultilevel"/>
    <w:lvl w:ilvl="0">
      <w:start w:val="1"/>
      <w:numFmt w:val="decimal"/>
      <w:lvlText w:val="%1."/>
      <w:lvlJc w:val="left"/>
      <w:pPr>
        <w:ind w:left="107" w:hanging="706"/>
        <w:jc w:val="right"/>
      </w:pPr>
      <w:rPr>
        <w:rFonts w:hint="default"/>
        <w:w w:val="100"/>
        <w:lang w:val="lt-LT" w:eastAsia="en-US" w:bidi="ar-SA"/>
      </w:rPr>
    </w:lvl>
    <w:lvl w:ilvl="1">
      <w:start w:val="2"/>
      <w:numFmt w:val="decimal"/>
      <w:lvlText w:val="%1.%2."/>
      <w:lvlJc w:val="left"/>
      <w:pPr>
        <w:ind w:left="120" w:hanging="694"/>
        <w:jc w:val="left"/>
      </w:pPr>
      <w:rPr>
        <w:rFonts w:hint="default" w:ascii="GHEA Grapalat" w:hAnsi="GHEA Grapalat" w:eastAsia="GHEA Grapalat" w:cs="GHEA Grapalat"/>
        <w:b w:val="0"/>
        <w:bCs w:val="0"/>
        <w:i w:val="0"/>
        <w:iCs w:val="0"/>
        <w:w w:val="100"/>
        <w:sz w:val="22"/>
        <w:szCs w:val="22"/>
        <w:lang w:val="lt-LT" w:eastAsia="en-US" w:bidi="ar-SA"/>
      </w:rPr>
    </w:lvl>
    <w:lvl w:ilvl="2">
      <w:start w:val="0"/>
      <w:numFmt w:val="bullet"/>
      <w:lvlText w:val=""/>
      <w:lvlJc w:val="left"/>
      <w:pPr>
        <w:ind w:left="828" w:hanging="360"/>
      </w:pPr>
      <w:rPr>
        <w:rFonts w:hint="default" w:ascii="Symbol" w:hAnsi="Symbol" w:eastAsia="Symbol" w:cs="Symbol"/>
        <w:w w:val="99"/>
        <w:lang w:val="lt-LT" w:eastAsia="en-US" w:bidi="ar-SA"/>
      </w:rPr>
    </w:lvl>
    <w:lvl w:ilvl="3">
      <w:start w:val="0"/>
      <w:numFmt w:val="bullet"/>
      <w:lvlText w:val="•"/>
      <w:lvlJc w:val="left"/>
      <w:pPr>
        <w:ind w:left="2028" w:hanging="360"/>
      </w:pPr>
      <w:rPr>
        <w:rFonts w:hint="default"/>
        <w:lang w:val="lt-LT" w:eastAsia="en-US" w:bidi="ar-SA"/>
      </w:rPr>
    </w:lvl>
    <w:lvl w:ilvl="4">
      <w:start w:val="0"/>
      <w:numFmt w:val="bullet"/>
      <w:lvlText w:val="•"/>
      <w:lvlJc w:val="left"/>
      <w:pPr>
        <w:ind w:left="3236" w:hanging="360"/>
      </w:pPr>
      <w:rPr>
        <w:rFonts w:hint="default"/>
        <w:lang w:val="lt-LT" w:eastAsia="en-US" w:bidi="ar-SA"/>
      </w:rPr>
    </w:lvl>
    <w:lvl w:ilvl="5">
      <w:start w:val="0"/>
      <w:numFmt w:val="bullet"/>
      <w:lvlText w:val="•"/>
      <w:lvlJc w:val="left"/>
      <w:pPr>
        <w:ind w:left="4444" w:hanging="360"/>
      </w:pPr>
      <w:rPr>
        <w:rFonts w:hint="default"/>
        <w:lang w:val="lt-LT" w:eastAsia="en-US" w:bidi="ar-SA"/>
      </w:rPr>
    </w:lvl>
    <w:lvl w:ilvl="6">
      <w:start w:val="0"/>
      <w:numFmt w:val="bullet"/>
      <w:lvlText w:val="•"/>
      <w:lvlJc w:val="left"/>
      <w:pPr>
        <w:ind w:left="5653" w:hanging="360"/>
      </w:pPr>
      <w:rPr>
        <w:rFonts w:hint="default"/>
        <w:lang w:val="lt-LT" w:eastAsia="en-US" w:bidi="ar-SA"/>
      </w:rPr>
    </w:lvl>
    <w:lvl w:ilvl="7">
      <w:start w:val="0"/>
      <w:numFmt w:val="bullet"/>
      <w:lvlText w:val="•"/>
      <w:lvlJc w:val="left"/>
      <w:pPr>
        <w:ind w:left="6861" w:hanging="360"/>
      </w:pPr>
      <w:rPr>
        <w:rFonts w:hint="default"/>
        <w:lang w:val="lt-LT" w:eastAsia="en-US" w:bidi="ar-SA"/>
      </w:rPr>
    </w:lvl>
    <w:lvl w:ilvl="8">
      <w:start w:val="0"/>
      <w:numFmt w:val="bullet"/>
      <w:lvlText w:val="•"/>
      <w:lvlJc w:val="left"/>
      <w:pPr>
        <w:ind w:left="8069" w:hanging="360"/>
      </w:pPr>
      <w:rPr>
        <w:rFonts w:hint="default"/>
        <w:lang w:val="lt-LT" w:eastAsia="en-US" w:bidi="ar-SA"/>
      </w:rPr>
    </w:lvl>
  </w:abstractNum>
  <w:abstractNum w:abstractNumId="0">
    <w:multiLevelType w:val="hybridMultilevel"/>
    <w:lvl w:ilvl="0">
      <w:start w:val="1"/>
      <w:numFmt w:val="decimal"/>
      <w:lvlText w:val="%1."/>
      <w:lvlJc w:val="left"/>
      <w:pPr>
        <w:ind w:left="535" w:hanging="286"/>
        <w:jc w:val="left"/>
      </w:pPr>
      <w:rPr>
        <w:rFonts w:hint="default"/>
        <w:w w:val="100"/>
        <w:lang w:val="lt-LT" w:eastAsia="en-US" w:bidi="ar-SA"/>
      </w:rPr>
    </w:lvl>
    <w:lvl w:ilvl="1">
      <w:start w:val="1"/>
      <w:numFmt w:val="decimal"/>
      <w:lvlText w:val="%2."/>
      <w:lvlJc w:val="left"/>
      <w:pPr>
        <w:ind w:left="3916" w:hanging="360"/>
        <w:jc w:val="left"/>
      </w:pPr>
      <w:rPr>
        <w:rFonts w:hint="default" w:ascii="GHEA Grapalat" w:hAnsi="GHEA Grapalat" w:eastAsia="GHEA Grapalat" w:cs="GHEA Grapalat"/>
        <w:b/>
        <w:bCs/>
        <w:i w:val="0"/>
        <w:iCs w:val="0"/>
        <w:w w:val="100"/>
        <w:sz w:val="22"/>
        <w:szCs w:val="22"/>
        <w:lang w:val="lt-LT" w:eastAsia="en-US" w:bidi="ar-SA"/>
      </w:rPr>
    </w:lvl>
    <w:lvl w:ilvl="2">
      <w:start w:val="0"/>
      <w:numFmt w:val="bullet"/>
      <w:lvlText w:val="•"/>
      <w:lvlJc w:val="left"/>
      <w:pPr>
        <w:ind w:left="4649" w:hanging="360"/>
      </w:pPr>
      <w:rPr>
        <w:rFonts w:hint="default"/>
        <w:lang w:val="lt-LT" w:eastAsia="en-US" w:bidi="ar-SA"/>
      </w:rPr>
    </w:lvl>
    <w:lvl w:ilvl="3">
      <w:start w:val="0"/>
      <w:numFmt w:val="bullet"/>
      <w:lvlText w:val="•"/>
      <w:lvlJc w:val="left"/>
      <w:pPr>
        <w:ind w:left="5379" w:hanging="360"/>
      </w:pPr>
      <w:rPr>
        <w:rFonts w:hint="default"/>
        <w:lang w:val="lt-LT" w:eastAsia="en-US" w:bidi="ar-SA"/>
      </w:rPr>
    </w:lvl>
    <w:lvl w:ilvl="4">
      <w:start w:val="0"/>
      <w:numFmt w:val="bullet"/>
      <w:lvlText w:val="•"/>
      <w:lvlJc w:val="left"/>
      <w:pPr>
        <w:ind w:left="6108" w:hanging="360"/>
      </w:pPr>
      <w:rPr>
        <w:rFonts w:hint="default"/>
        <w:lang w:val="lt-LT" w:eastAsia="en-US" w:bidi="ar-SA"/>
      </w:rPr>
    </w:lvl>
    <w:lvl w:ilvl="5">
      <w:start w:val="0"/>
      <w:numFmt w:val="bullet"/>
      <w:lvlText w:val="•"/>
      <w:lvlJc w:val="left"/>
      <w:pPr>
        <w:ind w:left="6838" w:hanging="360"/>
      </w:pPr>
      <w:rPr>
        <w:rFonts w:hint="default"/>
        <w:lang w:val="lt-LT" w:eastAsia="en-US" w:bidi="ar-SA"/>
      </w:rPr>
    </w:lvl>
    <w:lvl w:ilvl="6">
      <w:start w:val="0"/>
      <w:numFmt w:val="bullet"/>
      <w:lvlText w:val="•"/>
      <w:lvlJc w:val="left"/>
      <w:pPr>
        <w:ind w:left="7568" w:hanging="360"/>
      </w:pPr>
      <w:rPr>
        <w:rFonts w:hint="default"/>
        <w:lang w:val="lt-LT" w:eastAsia="en-US" w:bidi="ar-SA"/>
      </w:rPr>
    </w:lvl>
    <w:lvl w:ilvl="7">
      <w:start w:val="0"/>
      <w:numFmt w:val="bullet"/>
      <w:lvlText w:val="•"/>
      <w:lvlJc w:val="left"/>
      <w:pPr>
        <w:ind w:left="8297" w:hanging="360"/>
      </w:pPr>
      <w:rPr>
        <w:rFonts w:hint="default"/>
        <w:lang w:val="lt-LT" w:eastAsia="en-US" w:bidi="ar-SA"/>
      </w:rPr>
    </w:lvl>
    <w:lvl w:ilvl="8">
      <w:start w:val="0"/>
      <w:numFmt w:val="bullet"/>
      <w:lvlText w:val="•"/>
      <w:lvlJc w:val="left"/>
      <w:pPr>
        <w:ind w:left="9027" w:hanging="360"/>
      </w:pPr>
      <w:rPr>
        <w:rFonts w:hint="default"/>
        <w:lang w:val="lt-LT"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HEA Grapalat" w:hAnsi="GHEA Grapalat" w:eastAsia="GHEA Grapalat" w:cs="GHEA Grapalat"/>
      <w:lang w:val="lt-LT" w:eastAsia="en-US" w:bidi="ar-SA"/>
    </w:rPr>
  </w:style>
  <w:style w:styleId="TOC1" w:type="paragraph">
    <w:name w:val="TOC 1"/>
    <w:basedOn w:val="Normal"/>
    <w:uiPriority w:val="1"/>
    <w:qFormat/>
    <w:pPr>
      <w:spacing w:line="322" w:lineRule="exact"/>
      <w:ind w:left="535" w:hanging="287"/>
    </w:pPr>
    <w:rPr>
      <w:rFonts w:ascii="GHEA Grapalat" w:hAnsi="GHEA Grapalat" w:eastAsia="GHEA Grapalat" w:cs="GHEA Grapalat"/>
      <w:sz w:val="24"/>
      <w:szCs w:val="24"/>
      <w:lang w:val="lt-LT" w:eastAsia="en-US" w:bidi="ar-SA"/>
    </w:rPr>
  </w:style>
  <w:style w:styleId="TOC2" w:type="paragraph">
    <w:name w:val="TOC 2"/>
    <w:basedOn w:val="Normal"/>
    <w:uiPriority w:val="1"/>
    <w:qFormat/>
    <w:pPr>
      <w:spacing w:line="322" w:lineRule="exact"/>
      <w:ind w:left="535" w:hanging="287"/>
    </w:pPr>
    <w:rPr>
      <w:rFonts w:ascii="GHEA Grapalat" w:hAnsi="GHEA Grapalat" w:eastAsia="GHEA Grapalat" w:cs="GHEA Grapalat"/>
      <w:sz w:val="24"/>
      <w:szCs w:val="24"/>
      <w:lang w:val="lt-LT" w:eastAsia="en-US" w:bidi="ar-SA"/>
    </w:rPr>
  </w:style>
  <w:style w:styleId="BodyText" w:type="paragraph">
    <w:name w:val="Body Text"/>
    <w:basedOn w:val="Normal"/>
    <w:uiPriority w:val="1"/>
    <w:qFormat/>
    <w:pPr>
      <w:jc w:val="both"/>
    </w:pPr>
    <w:rPr>
      <w:rFonts w:ascii="GHEA Grapalat" w:hAnsi="GHEA Grapalat" w:eastAsia="GHEA Grapalat" w:cs="GHEA Grapalat"/>
      <w:sz w:val="22"/>
      <w:szCs w:val="22"/>
      <w:lang w:val="lt-LT" w:eastAsia="en-US" w:bidi="ar-SA"/>
    </w:rPr>
  </w:style>
  <w:style w:styleId="Heading1" w:type="paragraph">
    <w:name w:val="Heading 1"/>
    <w:basedOn w:val="Normal"/>
    <w:uiPriority w:val="1"/>
    <w:qFormat/>
    <w:pPr>
      <w:ind w:left="359" w:hanging="361"/>
      <w:outlineLvl w:val="1"/>
    </w:pPr>
    <w:rPr>
      <w:rFonts w:ascii="GHEA Grapalat" w:hAnsi="GHEA Grapalat" w:eastAsia="GHEA Grapalat" w:cs="GHEA Grapalat"/>
      <w:b/>
      <w:bCs/>
      <w:sz w:val="22"/>
      <w:szCs w:val="22"/>
      <w:lang w:val="lt-LT" w:eastAsia="en-US" w:bidi="ar-SA"/>
    </w:rPr>
  </w:style>
  <w:style w:styleId="Heading2" w:type="paragraph">
    <w:name w:val="Heading 2"/>
    <w:basedOn w:val="Normal"/>
    <w:uiPriority w:val="1"/>
    <w:qFormat/>
    <w:pPr>
      <w:ind w:left="828" w:hanging="721"/>
      <w:jc w:val="both"/>
      <w:outlineLvl w:val="2"/>
    </w:pPr>
    <w:rPr>
      <w:rFonts w:ascii="GHEA Grapalat" w:hAnsi="GHEA Grapalat" w:eastAsia="GHEA Grapalat" w:cs="GHEA Grapalat"/>
      <w:b/>
      <w:bCs/>
      <w:sz w:val="22"/>
      <w:szCs w:val="22"/>
      <w:lang w:val="lt-LT" w:eastAsia="en-US" w:bidi="ar-SA"/>
    </w:rPr>
  </w:style>
  <w:style w:styleId="Heading3" w:type="paragraph">
    <w:name w:val="Heading 3"/>
    <w:basedOn w:val="Normal"/>
    <w:uiPriority w:val="1"/>
    <w:qFormat/>
    <w:pPr>
      <w:spacing w:before="199"/>
      <w:ind w:left="827"/>
      <w:outlineLvl w:val="3"/>
    </w:pPr>
    <w:rPr>
      <w:rFonts w:ascii="GHEA Grapalat" w:hAnsi="GHEA Grapalat" w:eastAsia="GHEA Grapalat" w:cs="GHEA Grapalat"/>
      <w:b/>
      <w:bCs/>
      <w:i/>
      <w:iCs/>
      <w:sz w:val="22"/>
      <w:szCs w:val="22"/>
      <w:lang w:val="lt-LT" w:eastAsia="en-US" w:bidi="ar-SA"/>
    </w:rPr>
  </w:style>
  <w:style w:styleId="Title" w:type="paragraph">
    <w:name w:val="Title"/>
    <w:basedOn w:val="Normal"/>
    <w:uiPriority w:val="1"/>
    <w:qFormat/>
    <w:pPr>
      <w:spacing w:before="102"/>
      <w:ind w:left="1063" w:right="1130"/>
      <w:jc w:val="center"/>
    </w:pPr>
    <w:rPr>
      <w:rFonts w:ascii="GHEA Grapalat" w:hAnsi="GHEA Grapalat" w:eastAsia="GHEA Grapalat" w:cs="GHEA Grapalat"/>
      <w:b/>
      <w:bCs/>
      <w:sz w:val="32"/>
      <w:szCs w:val="32"/>
      <w:lang w:val="lt-LT" w:eastAsia="en-US" w:bidi="ar-SA"/>
    </w:rPr>
  </w:style>
  <w:style w:styleId="ListParagraph" w:type="paragraph">
    <w:name w:val="List Paragraph"/>
    <w:basedOn w:val="Normal"/>
    <w:uiPriority w:val="1"/>
    <w:qFormat/>
    <w:pPr>
      <w:ind w:left="107"/>
      <w:jc w:val="both"/>
    </w:pPr>
    <w:rPr>
      <w:rFonts w:ascii="GHEA Grapalat" w:hAnsi="GHEA Grapalat" w:eastAsia="GHEA Grapalat" w:cs="GHEA Grapalat"/>
      <w:lang w:val="lt-LT" w:eastAsia="en-US" w:bidi="ar-SA"/>
    </w:rPr>
  </w:style>
  <w:style w:styleId="TableParagraph" w:type="paragraph">
    <w:name w:val="Table Paragraph"/>
    <w:basedOn w:val="Normal"/>
    <w:uiPriority w:val="1"/>
    <w:qFormat/>
    <w:pPr/>
    <w:rPr>
      <w:rFonts w:ascii="GHEA Grapalat" w:hAnsi="GHEA Grapalat" w:eastAsia="GHEA Grapalat" w:cs="GHEA Grapalat"/>
      <w:lang w:val="lt-L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Info@silinsurance.a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Levon Mamikonyan</dc:creator>
  <dc:title>Ñ³ëó» ª</dc:title>
  <dcterms:created xsi:type="dcterms:W3CDTF">2026-08-24T13:18:12Z</dcterms:created>
  <dcterms:modified xsi:type="dcterms:W3CDTF">2026-08-24T13:18:12Z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2018-11-21T00:00:00Z</vt:filetime>
  </property>
  <property fmtid="{D5CDD505-2E9C-101B-9397-08002B2CF9AE}" pid="3" name="Creator">
    <vt:lpwstr>Acrobat PDFMaker 10.1 for Word</vt:lpwstr>
  </property>
  <property fmtid="{D5CDD505-2E9C-101B-9397-08002B2CF9AE}" pid="4" name="LastSaved">
    <vt:filetime>2026-08-24T00:00:00Z</vt:filetime>
  </property>
</Properties>
</file>