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Solution Assurance Engine</w:t>
      </w:r>
    </w:p>
    <w:p>
      <w:pPr>
        <w:pStyle w:val="Subtitle"/>
      </w:pPr>
      <w:r>
        <w:t>CSCF New Build Brief</w:t>
      </w:r>
    </w:p>
    <w:p>
      <w:r>
        <w:rPr>
          <w:b w:val="0"/>
        </w:rPr>
        <w:t>This brief defines the proposed purpose, boundaries, deliverables and acceptance basis for building Solution Assurance Engine through the Continuous Solution Creation Flow. The implementation and verification contracts must remain traceable to this baseline. Release requires evidence and a named human decision.</w:t>
      </w:r>
    </w:p>
    <w:tbl>
      <w:tblPr>
        <w:tblW w:type="auto" w:w="0"/>
        <w:jc w:val="center"/>
        <w:tblLayout w:type="fixed"/>
        <w:tblLook w:firstColumn="1" w:firstRow="1" w:lastColumn="0" w:lastRow="0" w:noHBand="0" w:noVBand="1" w:val="04A0"/>
      </w:tblPr>
      <w:tblGrid>
        <w:gridCol w:w="2232"/>
        <w:gridCol w:w="7416"/>
      </w:tblGrid>
      <w:tr>
        <w:trPr>
          <w:cantSplit/>
          <w:tblHeader/>
        </w:trPr>
        <w:tc>
          <w:tcPr>
            <w:tcW w:type="dxa" w:w="2232"/>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Control field</w:t>
            </w:r>
          </w:p>
        </w:tc>
        <w:tc>
          <w:tcPr>
            <w:tcW w:type="dxa" w:w="7416"/>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Baseline</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Document identity</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CSCF-SAE-NB-001</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Version and date</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1.1 | 11 October 2026</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Entry mode</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Build</w:t>
            </w:r>
          </w:p>
        </w:tc>
      </w:tr>
      <w:tr>
        <w:trPr>
          <w:cantSplit/>
        </w:trPr>
        <w:tc>
          <w:tcPr>
            <w:tcW w:type="dxa" w:w="223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Status</w:t>
            </w:r>
          </w:p>
        </w:tc>
        <w:tc>
          <w:tcPr>
            <w:tcW w:type="dxa" w:w="7416"/>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build specification; formal approval not recorded</w:t>
            </w:r>
          </w:p>
        </w:tc>
      </w:tr>
      <w:tr>
        <w:trPr>
          <w:cantSplit/>
        </w:trPr>
        <w:tc>
          <w:tcPr>
            <w:tcW w:type="dxa" w:w="223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w:t>
            </w:r>
          </w:p>
        </w:tc>
        <w:tc>
          <w:tcPr>
            <w:tcW w:type="dxa" w:w="7416"/>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Solution Assurance Engine</w:t>
            </w:r>
          </w:p>
        </w:tc>
      </w:tr>
    </w:tbl>
    <w:p>
      <w:pPr>
        <w:spacing w:after="20"/>
      </w:pPr>
    </w:p>
    <w:p>
      <w:pPr>
        <w:pStyle w:val="Heading1"/>
      </w:pPr>
      <w:r>
        <w:t>Purpose and desired outcomes</w:t>
      </w:r>
    </w:p>
    <w:p>
      <w:r>
        <w:rPr>
          <w:b w:val="0"/>
        </w:rPr>
        <w:t>Create evidence-gated readiness analysis for digital solutions by comparing declared purpose, documentation, implementation, tests and observed behaviour. Deterministic controls govern findings and progression; named humans retain formal decision authority.</w:t>
      </w:r>
    </w:p>
    <w:p>
      <w:r>
        <w:rPr>
          <w:b w:val="0"/>
        </w:rPr>
        <w:t>The expected outcome is a reproducible, decision-ready package that explains what the submitted evidence supports, where proof is missing and which human decisions remain necessary. Success is measured through the ten acceptance criteria in this brief; operational value must later be demonstrated using real usage and outcome evidence.</w:t>
      </w:r>
    </w:p>
    <w:p>
      <w:pPr>
        <w:pStyle w:val="Heading1"/>
      </w:pPr>
      <w:r>
        <w:t>Users and accountable roles</w:t>
      </w:r>
    </w:p>
    <w:p>
      <w:r>
        <w:rPr>
          <w:b w:val="0"/>
        </w:rPr>
        <w:t>Solution owners confirm intended use and review findings. Architects and engineers provide implementation evidence. Security, privacy and governance reviewers resolve scoped questions. Release approvers authorize lifecycle transitions. Auditors reconstruct decisions from the evidence ledger. Individual appointments remain a real-project decision.</w:t>
      </w:r>
    </w:p>
    <w:p>
      <w:pPr>
        <w:pStyle w:val="Heading1"/>
      </w:pPr>
      <w:r>
        <w:t>Scope and exclusions</w:t>
      </w:r>
    </w:p>
    <w:p>
      <w:r>
        <w:rPr>
          <w:b w:val="0"/>
        </w:rPr>
        <w:t>Scope includes safe source intake, confirmed case understanding, the A-F instrument, independent verification, deterministic readiness, grounded tactics, controlled publication and canonical outputs. Autonomous legal conclusions, residual-risk acceptance, production approval and automatic finding closure are excluded.</w:t>
      </w:r>
    </w:p>
    <w:p>
      <w:r>
        <w:br w:type="page"/>
      </w:r>
    </w:p>
    <w:p>
      <w:pPr>
        <w:pStyle w:val="Heading1"/>
      </w:pPr>
      <w:r>
        <w:t>Register change intent and entry mode</w:t>
      </w:r>
    </w:p>
    <w:p>
      <w:r>
        <w:rPr>
          <w:b w:val="0"/>
        </w:rPr>
        <w:t>Blueprint Step 01 intake establishes the declared request before classification, contract creation or execution. The proposed new solution starts with a target-state hypothesis; unknowns remain visible until the accountable owner resolves them.</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Intake field</w:t>
            </w:r>
          </w:p>
        </w:tc>
        <w:tc>
          <w:tcPr>
            <w:tcW w:type="dxa" w:w="7344"/>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Declared value</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Change identity</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CSCF-SAE-NB-001</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Entry mode</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New Build</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Demand or trigger</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Customer demand and governance improvement opportunity</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Target solution</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Proposed Solution Assurance Engine, a new application with controlled reasoning adapters and deterministic assurance services.</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Accountable owner</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Jori Eskolin, solution owner; accountable for purpose, scope and intake confirmation.</w:t>
            </w:r>
          </w:p>
        </w:tc>
      </w:tr>
      <w:tr>
        <w:trPr>
          <w:cantSplit/>
        </w:trPr>
        <w:tc>
          <w:tcPr>
            <w:tcW w:type="dxa" w:w="230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Priority</w:t>
            </w:r>
          </w:p>
        </w:tc>
        <w:tc>
          <w:tcPr>
            <w:tcW w:type="dxa" w:w="7344"/>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High: establish the assurance foundation before introducing autonomous execution or a production release.</w:t>
            </w:r>
          </w:p>
        </w:tc>
      </w:tr>
      <w:tr>
        <w:trPr>
          <w:cantSplit/>
        </w:trPr>
        <w:tc>
          <w:tcPr>
            <w:tcW w:type="dxa" w:w="230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Delivery context</w:t>
            </w:r>
          </w:p>
        </w:tc>
        <w:tc>
          <w:tcPr>
            <w:tcW w:type="dxa" w:w="7344"/>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Initial controlled pilot for solution owners, architects and governance reviewers; release requires a confirmed target environment and named authorities.</w:t>
            </w:r>
          </w:p>
        </w:tc>
      </w:tr>
    </w:tbl>
    <w:p>
      <w:pPr>
        <w:spacing w:after="20"/>
      </w:pPr>
    </w:p>
    <w:p>
      <w:pPr>
        <w:pStyle w:val="Heading2"/>
      </w:pPr>
      <w:r>
        <w:t>User demand</w:t>
      </w:r>
    </w:p>
    <w:p>
      <w:r>
        <w:rPr>
          <w:b w:val="0"/>
        </w:rPr>
        <w:t>Solution owners need a consistent way to determine what evidence supports readiness, identify missing proof and route accountable human decisions.</w:t>
      </w:r>
    </w:p>
    <w:p>
      <w:pPr>
        <w:pStyle w:val="Heading2"/>
      </w:pPr>
      <w:r>
        <w:t>Target state hypothesis</w:t>
      </w:r>
    </w:p>
    <w:p>
      <w:r>
        <w:rPr>
          <w:b w:val="0"/>
        </w:rPr>
        <w:t>Combining governed A-F knowledge, attributable evidence, independent verification and deterministic gates can produce reproducible readiness recommendations without transferring approval authority.</w:t>
      </w:r>
    </w:p>
    <w:p>
      <w:pPr>
        <w:pStyle w:val="Heading2"/>
      </w:pPr>
      <w:r>
        <w:t>Declared facts</w:t>
      </w:r>
    </w:p>
    <w:p>
      <w:r>
        <w:rPr>
          <w:b w:val="0"/>
        </w:rPr>
        <w:t>New solution; A-F assessment instrument; 30 capabilities and 30 anti-patterns with three primary questions each; confirmed intake; raw-source locality; one canonical package; human release authority.</w:t>
      </w:r>
    </w:p>
    <w:p>
      <w:pPr>
        <w:pStyle w:val="Heading2"/>
      </w:pPr>
      <w:r>
        <w:t>Unresolved information</w:t>
      </w:r>
    </w:p>
    <w:p>
      <w:r>
        <w:rPr>
          <w:b w:val="0"/>
        </w:rPr>
        <w:t>Production hosting, retention periods, identity provider, approved reasoning providers, operational service levels and named independent reviewers remain to be confirmed.</w:t>
      </w:r>
    </w:p>
    <w:p>
      <w:r>
        <w:rPr>
          <w:b w:val="0"/>
        </w:rPr>
        <w:t>Registration checks: mandatory fields and types, identity and timestamp assignment, ownership validation, duplicate checks and initial scope classification. Missing identifiable purpose or target prevents creation of an executable contract.</w:t>
      </w:r>
    </w:p>
    <w:p>
      <w:r>
        <w:br w:type="page"/>
      </w:r>
    </w:p>
    <w:p>
      <w:pPr>
        <w:pStyle w:val="Heading1"/>
      </w:pPr>
      <w:r>
        <w:t>Proposed architecture and boundaries</w:t>
      </w:r>
    </w:p>
    <w:p>
      <w:pPr>
        <w:pStyle w:val="Heading2"/>
      </w:pPr>
      <w:r>
        <w:t>Acquisition and intake</w:t>
      </w:r>
    </w:p>
    <w:p>
      <w:r>
        <w:rPr>
          <w:b w:val="0"/>
        </w:rPr>
        <w:t>Local source parsers create a source ingestion manifest. A user reviews purpose, actors, data, autonomy and lifecycle before an immutable intake snapshot is bound to the manifest.</w:t>
      </w:r>
    </w:p>
    <w:p>
      <w:pPr>
        <w:pStyle w:val="Heading2"/>
      </w:pPr>
      <w:r>
        <w:t>Governed control layer</w:t>
      </w:r>
    </w:p>
    <w:p>
      <w:r>
        <w:rPr>
          <w:b w:val="0"/>
        </w:rPr>
        <w:t>Versioned knowledge collections define criteria. Deterministic services enforce object references, evidence ceilings, finding lock, applicability, hard gates and action eligibility.</w:t>
      </w:r>
    </w:p>
    <w:p>
      <w:pPr>
        <w:pStyle w:val="Heading2"/>
      </w:pPr>
      <w:r>
        <w:t>Bounded reasoning adapters</w:t>
      </w:r>
    </w:p>
    <w:p>
      <w:r>
        <w:rPr>
          <w:b w:val="0"/>
        </w:rPr>
        <w:t>The future SAE may use approved AI routes for interpretation, independent challenge and controlled synthesis. Only approved summaries and confirmed intake may cross that boundary. Provider selection and independence are governed configuration.</w:t>
      </w:r>
    </w:p>
    <w:p>
      <w:pPr>
        <w:pStyle w:val="Heading2"/>
      </w:pPr>
      <w:r>
        <w:t>Decision and presentation</w:t>
      </w:r>
    </w:p>
    <w:p>
      <w:r>
        <w:rPr>
          <w:b w:val="0"/>
        </w:rPr>
        <w:t>One ReadinessPackageV2 drives the Assessment Workspace, Assurance Summary and exports. Publication integrity, readiness recommendation and formal human approval remain separate decisions.</w:t>
      </w:r>
    </w:p>
    <w:p>
      <w:pPr>
        <w:pStyle w:val="Heading1"/>
      </w:pPr>
      <w:r>
        <w:t>Governance domains</w:t>
      </w:r>
    </w:p>
    <w:tbl>
      <w:tblPr>
        <w:tblW w:type="auto" w:w="0"/>
        <w:jc w:val="center"/>
        <w:tblLayout w:type="fixed"/>
        <w:tblLook w:firstColumn="1" w:firstRow="1" w:lastColumn="0" w:lastRow="0" w:noHBand="0" w:noVBand="1" w:val="04A0"/>
      </w:tblPr>
      <w:tblGrid>
        <w:gridCol w:w="1008"/>
        <w:gridCol w:w="8640"/>
      </w:tblGrid>
      <w:tr>
        <w:trPr>
          <w:cantSplit/>
          <w:tblHeader/>
        </w:trPr>
        <w:tc>
          <w:tcPr>
            <w:tcW w:type="dxa" w:w="100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Domain</w:t>
            </w:r>
          </w:p>
        </w:tc>
        <w:tc>
          <w:tcPr>
            <w:tcW w:type="dxa" w:w="8640"/>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Assessment coverage</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Purpose, value and classification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Data, privacy, confidentiality and IP</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C</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Models, agents, providers and supply chain</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D</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Architecture, security, robustness and evaluation</w:t>
            </w:r>
          </w:p>
        </w:tc>
      </w:tr>
      <w:tr>
        <w:trPr>
          <w:cantSplit/>
        </w:trPr>
        <w:tc>
          <w:tcPr>
            <w:tcW w:type="dxa" w:w="10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E</w:t>
            </w:r>
          </w:p>
        </w:tc>
        <w:tc>
          <w:tcPr>
            <w:tcW w:type="dxa" w:w="8640"/>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Human impact, fairness and oversight</w:t>
            </w:r>
          </w:p>
        </w:tc>
      </w:tr>
      <w:tr>
        <w:trPr>
          <w:cantSplit/>
        </w:trPr>
        <w:tc>
          <w:tcPr>
            <w:tcW w:type="dxa" w:w="10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F</w:t>
            </w:r>
          </w:p>
        </w:tc>
        <w:tc>
          <w:tcPr>
            <w:tcW w:type="dxa" w:w="8640"/>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Accountability, evidence and lifecycle</w:t>
            </w:r>
          </w:p>
        </w:tc>
      </w:tr>
    </w:tbl>
    <w:p>
      <w:pPr>
        <w:spacing w:after="20"/>
      </w:pPr>
    </w:p>
    <w:p>
      <w:pPr>
        <w:pStyle w:val="Heading1"/>
      </w:pPr>
      <w:r>
        <w:t>Dependencies and operating assumptions</w:t>
      </w:r>
    </w:p>
    <w:p>
      <w:r>
        <w:rPr>
          <w:b w:val="0"/>
        </w:rPr>
        <w:t>The real Engine depends on approved source parsers, versioned knowledge collections, identity and access controls, an evidence store, a configured reasoning-adapter registry and operational monitoring. Missing evidence remains UNKNOWN. Raw source bytes and image pixels stay outside provider packets; credentials must never enter audit exports.</w:t>
      </w:r>
    </w:p>
    <w:p>
      <w:r>
        <w:rPr>
          <w:b w:val="0"/>
        </w:rPr>
        <w:t>The build intake must preserve declared facts and unknowns. Executable contracts require confirmed purpose, target boundary and accountable ownership. Evidence remains distinct from governing knowledge and approval authority.</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SAE-REQ-01 Safe evidence intake and provenance</w:t>
      </w:r>
    </w:p>
    <w:p>
      <w:r>
        <w:rPr>
          <w:b w:val="0"/>
        </w:rPr>
        <w:t>Acquire supported source material as inert evidence. Record source IDs, hashes, locators, extraction methods and limitations before reasoning. Uploaded instructions must not change control logic.</w:t>
      </w:r>
    </w:p>
    <w:p>
      <w:r>
        <w:rPr>
          <w:b/>
        </w:rPr>
        <w:t xml:space="preserve">Acceptance criterion  </w:t>
      </w:r>
      <w:r>
        <w:t>A file containing executable or instruction-like content is never executed. Every acquired unit has a source ID, hash and locator; unreadable units remain explicit limitations.</w:t>
      </w:r>
    </w:p>
    <w:p>
      <w:r>
        <w:rPr>
          <w:b/>
        </w:rPr>
        <w:t xml:space="preserve">SAE-VER-01  </w:t>
      </w:r>
      <w:r>
        <w:t>Submit mixed source files with embedded instructions and an unreadable unit; inspect the manifest and confirm that no content is executed.</w:t>
      </w:r>
    </w:p>
    <w:p>
      <w:r>
        <w:rPr>
          <w:b/>
        </w:rPr>
        <w:t xml:space="preserve">Required deliverable  </w:t>
      </w:r>
      <w:r>
        <w:t>Source ingestion manifest and local acquisition adapters</w:t>
      </w:r>
    </w:p>
    <w:p>
      <w:pPr>
        <w:pStyle w:val="Heading2"/>
      </w:pPr>
      <w:r>
        <w:t>SAE-REQ-02 Human confirmed intake</w:t>
      </w:r>
    </w:p>
    <w:p>
      <w:r>
        <w:rPr>
          <w:b w:val="0"/>
        </w:rPr>
        <w:t>Present purpose, users, data, autonomy, lifecycle and uncertainty for human review. Only an explicit user action freezes the approved intake and permits assessment.</w:t>
      </w:r>
    </w:p>
    <w:p>
      <w:r>
        <w:rPr>
          <w:b/>
        </w:rPr>
        <w:t xml:space="preserve">Acceptance criterion  </w:t>
      </w:r>
      <w:r>
        <w:t>Assessment cannot start before confirmation. The confirmed snapshot is hashed and bound to the acquisition manifest; unknown fields remain visible.</w:t>
      </w:r>
    </w:p>
    <w:p>
      <w:r>
        <w:rPr>
          <w:b/>
        </w:rPr>
        <w:t xml:space="preserve">SAE-VER-02  </w:t>
      </w:r>
      <w:r>
        <w:t>Attempt analysis before confirmation, confirm an intake containing unknowns, and check snapshot and manifest binding.</w:t>
      </w:r>
    </w:p>
    <w:p>
      <w:r>
        <w:rPr>
          <w:b/>
        </w:rPr>
        <w:t xml:space="preserve">Required deliverable  </w:t>
      </w:r>
      <w:r>
        <w:t>Intake workspace and immutable confirmation snapshot</w:t>
      </w:r>
    </w:p>
    <w:p>
      <w:pPr>
        <w:pStyle w:val="Heading2"/>
      </w:pPr>
      <w:r>
        <w:t>SAE-REQ-03 Governed knowledge snapshot</w:t>
      </w:r>
    </w:p>
    <w:p>
      <w:r>
        <w:rPr>
          <w:b w:val="0"/>
        </w:rPr>
        <w:t>Validate versioned sources, requirements, controls, anti-patterns and tactics as governed criteria. Methodology must never count as evidence about the assessed solution.</w:t>
      </w:r>
    </w:p>
    <w:p>
      <w:r>
        <w:rPr>
          <w:b/>
        </w:rPr>
        <w:t xml:space="preserve">Acceptance criterion  </w:t>
      </w:r>
      <w:r>
        <w:t>An invalid manifest hash or unknown assessment object prevents activation. Criteria remain separate from case evidence throughout the package.</w:t>
      </w:r>
    </w:p>
    <w:p>
      <w:r>
        <w:rPr>
          <w:b/>
        </w:rPr>
        <w:t xml:space="preserve">SAE-VER-03  </w:t>
      </w:r>
      <w:r>
        <w:t>Load valid and invalid knowledge manifests; submit a claim using an unknown object ID and inspect rejection.</w:t>
      </w:r>
    </w:p>
    <w:p>
      <w:r>
        <w:rPr>
          <w:b/>
        </w:rPr>
        <w:t xml:space="preserve">Required deliverable  </w:t>
      </w:r>
      <w:r>
        <w:t>Knowledge loader with manifest and reference validation</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SAE-REQ-04 Complete A to F coverage</w:t>
      </w:r>
    </w:p>
    <w:p>
      <w:r>
        <w:rPr>
          <w:b w:val="0"/>
        </w:rPr>
        <w:t>Apply the six governance domains using 30 capabilities, 30 paired anti-patterns and three primary questions per object. Record explicit results and applicability for all 180 work items.</w:t>
      </w:r>
    </w:p>
    <w:p>
      <w:r>
        <w:rPr>
          <w:b/>
        </w:rPr>
        <w:t xml:space="preserve">Acceptance criterion  </w:t>
      </w:r>
      <w:r>
        <w:t>The coverage matrix accounts for all 180 work items. Missing evidence produces UNKNOWN; exclusions have recorded applicability reasons.</w:t>
      </w:r>
    </w:p>
    <w:p>
      <w:r>
        <w:rPr>
          <w:b/>
        </w:rPr>
        <w:t xml:space="preserve">SAE-VER-04  </w:t>
      </w:r>
      <w:r>
        <w:t>Run a complete synthetic case and a sparse case; verify all work items are accounted for and missing evidence remains UNKNOWN.</w:t>
      </w:r>
    </w:p>
    <w:p>
      <w:r>
        <w:rPr>
          <w:b/>
        </w:rPr>
        <w:t xml:space="preserve">Required deliverable  </w:t>
      </w:r>
      <w:r>
        <w:t>Assessment instrument and complete coverage matrix</w:t>
      </w:r>
    </w:p>
    <w:p>
      <w:pPr>
        <w:pStyle w:val="Heading2"/>
      </w:pPr>
      <w:r>
        <w:t>SAE-REQ-05 Independent verification and finding lock</w:t>
      </w:r>
    </w:p>
    <w:p>
      <w:r>
        <w:rPr>
          <w:b w:val="0"/>
        </w:rPr>
        <w:t>Validate citations and independently challenge candidate claims before they become decision-eligible locked findings. Preserve contradictions, unresolved claims and evidence ceilings.</w:t>
      </w:r>
    </w:p>
    <w:p>
      <w:r>
        <w:rPr>
          <w:b/>
        </w:rPr>
        <w:t xml:space="preserve">Acceptance criterion  </w:t>
      </w:r>
      <w:r>
        <w:t>Broken citations and unsupported claims cannot lock. Code evidence cannot establish TESTED status, and test evidence cannot establish OPERATIONALLY_OBSERVED status.</w:t>
      </w:r>
    </w:p>
    <w:p>
      <w:r>
        <w:rPr>
          <w:b/>
        </w:rPr>
        <w:t xml:space="preserve">SAE-VER-05  </w:t>
      </w:r>
      <w:r>
        <w:t>Inject fabricated locators, unsupported claims and excessive assurance states; confirm rejection or unresolved status.</w:t>
      </w:r>
    </w:p>
    <w:p>
      <w:r>
        <w:rPr>
          <w:b/>
        </w:rPr>
        <w:t xml:space="preserve">Required deliverable  </w:t>
      </w:r>
      <w:r>
        <w:t>Claim verifier, adjudication route and finding ledger</w:t>
      </w:r>
    </w:p>
    <w:p>
      <w:pPr>
        <w:pStyle w:val="Heading2"/>
      </w:pPr>
      <w:r>
        <w:t>SAE-REQ-06 Deterministic readiness and hard gates</w:t>
      </w:r>
    </w:p>
    <w:p>
      <w:r>
        <w:rPr>
          <w:b w:val="0"/>
        </w:rPr>
        <w:t>Calculate applicability, readiness dimensions and hard gates from governed rules and locked evidence. Aggregate scores and narrative must not override blockers or accept residual risk.</w:t>
      </w:r>
    </w:p>
    <w:p>
      <w:r>
        <w:rPr>
          <w:b/>
        </w:rPr>
        <w:t xml:space="preserve">Acceptance criterion  </w:t>
      </w:r>
      <w:r>
        <w:t>A case with a high diagnostic score and a mandatory blocker remains blocked. Residual risk remains NOT_DETERMINED without authorized evaluation.</w:t>
      </w:r>
    </w:p>
    <w:p>
      <w:r>
        <w:rPr>
          <w:b/>
        </w:rPr>
        <w:t xml:space="preserve">SAE-VER-06  </w:t>
      </w:r>
      <w:r>
        <w:t>Evaluate a high score case containing a blocker and an unevaluated risk; confirm both boundaries remain enforced.</w:t>
      </w:r>
    </w:p>
    <w:p>
      <w:r>
        <w:rPr>
          <w:b/>
        </w:rPr>
        <w:t xml:space="preserve">Required deliverable  </w:t>
      </w:r>
      <w:r>
        <w:t>Readiness decision kernel and hard gate rules</w:t>
      </w:r>
    </w:p>
    <w:p>
      <w:r>
        <w:br w:type="page"/>
      </w:r>
    </w:p>
    <w:p>
      <w:pPr>
        <w:pStyle w:val="Heading1"/>
      </w:pPr>
      <w:r>
        <w:t>Requirements and acceptance criteria</w:t>
      </w:r>
    </w:p>
    <w:p>
      <w:r>
        <w:rPr>
          <w:b w:val="0"/>
        </w:rPr>
        <w:t>Each requirement carries an independent verification scenario. The future implementation must produce revision-linked evidence rather than rely on its own completion claim.</w:t>
      </w:r>
    </w:p>
    <w:p>
      <w:pPr>
        <w:pStyle w:val="Heading2"/>
      </w:pPr>
      <w:r>
        <w:t>SAE-REQ-07 Exact tactics and reassessment</w:t>
      </w:r>
    </w:p>
    <w:p>
      <w:r>
        <w:rPr>
          <w:b w:val="0"/>
        </w:rPr>
        <w:t>Retrieve only approved tactics mapped to locked capability or anti-pattern IDs. Tactic completion creates new evidence and requires reassessment rather than closing findings automatically.</w:t>
      </w:r>
    </w:p>
    <w:p>
      <w:r>
        <w:rPr>
          <w:b/>
        </w:rPr>
        <w:t xml:space="preserve">Acceptance criterion  </w:t>
      </w:r>
      <w:r>
        <w:t>Keyword similarity alone retrieves no tactic. Unresolved claims retrieve none; completing a mapped tactic does not automatically close its finding.</w:t>
      </w:r>
    </w:p>
    <w:p>
      <w:r>
        <w:rPr>
          <w:b/>
        </w:rPr>
        <w:t xml:space="preserve">SAE-VER-07  </w:t>
      </w:r>
      <w:r>
        <w:t>Compare exact ID, keyword-only and unresolved cases; complete a tactic and inspect the still-open finding before reverification.</w:t>
      </w:r>
    </w:p>
    <w:p>
      <w:r>
        <w:rPr>
          <w:b/>
        </w:rPr>
        <w:t xml:space="preserve">Required deliverable  </w:t>
      </w:r>
      <w:r>
        <w:t>Finding to tactic mapping and reassessment workflow</w:t>
      </w:r>
    </w:p>
    <w:p>
      <w:pPr>
        <w:pStyle w:val="Heading2"/>
      </w:pPr>
      <w:r>
        <w:t>SAE-REQ-08 Controlled narrative and publication integrity</w:t>
      </w:r>
    </w:p>
    <w:p>
      <w:r>
        <w:rPr>
          <w:b w:val="0"/>
        </w:rPr>
        <w:t>Explain locked results without altering scores or inventing actions. Independently check synthesis, quarantine unsupported prose and calculate publication status separately from readiness.</w:t>
      </w:r>
    </w:p>
    <w:p>
      <w:r>
        <w:rPr>
          <w:b/>
        </w:rPr>
        <w:t xml:space="preserve">Acceptance criterion  </w:t>
      </w:r>
      <w:r>
        <w:t>Unsupported prose is withheld or replaced with deterministic wording. REPORT_READY does not change readiness or authorize deployment.</w:t>
      </w:r>
    </w:p>
    <w:p>
      <w:r>
        <w:rPr>
          <w:b/>
        </w:rPr>
        <w:t xml:space="preserve">SAE-VER-08  </w:t>
      </w:r>
      <w:r>
        <w:t>Insert an unsupported narrative claim and compare publication status with unchanged deterministic readiness.</w:t>
      </w:r>
    </w:p>
    <w:p>
      <w:r>
        <w:rPr>
          <w:b/>
        </w:rPr>
        <w:t xml:space="preserve">Required deliverable  </w:t>
      </w:r>
      <w:r>
        <w:t>Synthesis fact check and publication gate</w:t>
      </w:r>
    </w:p>
    <w:p>
      <w:pPr>
        <w:pStyle w:val="Heading2"/>
      </w:pPr>
      <w:r>
        <w:t>SAE-REQ-09 Canonical readiness package and trace</w:t>
      </w:r>
    </w:p>
    <w:p>
      <w:r>
        <w:rPr>
          <w:b w:val="0"/>
        </w:rPr>
        <w:t>Publish one versioned ReadinessPackageV2 for the Assessment Workspace, Assurance Summary and exports. Bind intake, evidence, domains, findings, actions, gates and execution trace.</w:t>
      </w:r>
    </w:p>
    <w:p>
      <w:r>
        <w:rPr>
          <w:b/>
        </w:rPr>
        <w:t xml:space="preserve">Acceptance criterion  </w:t>
      </w:r>
      <w:r>
        <w:t>Workspace and summary display the same package identity and results. Exporting does not recalculate readiness; every decisive finding links to its evidence and governing object.</w:t>
      </w:r>
    </w:p>
    <w:p>
      <w:r>
        <w:rPr>
          <w:b/>
        </w:rPr>
        <w:t xml:space="preserve">SAE-VER-09  </w:t>
      </w:r>
      <w:r>
        <w:t>Render the same fixture in both views and an export; compare package identity, decisions and requirement to evidence links.</w:t>
      </w:r>
    </w:p>
    <w:p>
      <w:r>
        <w:rPr>
          <w:b/>
        </w:rPr>
        <w:t xml:space="preserve">Required deliverable  </w:t>
      </w:r>
      <w:r>
        <w:t>Canonical package, workspace, summary and exports</w:t>
      </w:r>
    </w:p>
    <w:p>
      <w:pPr>
        <w:pStyle w:val="Heading2"/>
      </w:pPr>
      <w:r>
        <w:t>SAE-REQ-10 Information boundaries and human authority</w:t>
      </w:r>
    </w:p>
    <w:p>
      <w:r>
        <w:rPr>
          <w:b w:val="0"/>
        </w:rPr>
        <w:t>Keep raw sources process-local and restrict future model calls to approved summaries and confirmed intake. Protect access, audit actions and reserve legal, risk and lifecycle decisions for named humans.</w:t>
      </w:r>
    </w:p>
    <w:p>
      <w:r>
        <w:rPr>
          <w:b/>
        </w:rPr>
        <w:t xml:space="preserve">Acceptance criterion  </w:t>
      </w:r>
      <w:r>
        <w:t>Provider packet fixtures contain no raw files, pixels or secrets. Unauthorized access is denied, audit records omit credentials, and the Engine cannot grant formal approval.</w:t>
      </w:r>
    </w:p>
    <w:p>
      <w:r>
        <w:rPr>
          <w:b/>
        </w:rPr>
        <w:t xml:space="preserve">SAE-VER-10  </w:t>
      </w:r>
      <w:r>
        <w:t>Inspect packet fixtures and access denial cases; attempt an automated approval and confirm refusal.</w:t>
      </w:r>
    </w:p>
    <w:p>
      <w:r>
        <w:rPr>
          <w:b/>
        </w:rPr>
        <w:t xml:space="preserve">Required deliverable  </w:t>
      </w:r>
      <w:r>
        <w:t>Packet boundary, access controls and authority ledger</w:t>
      </w:r>
    </w:p>
    <w:p>
      <w:r>
        <w:br w:type="page"/>
      </w:r>
    </w:p>
    <w:p>
      <w:pPr>
        <w:pStyle w:val="Heading1"/>
      </w:pPr>
      <w:r>
        <w:t>Test selection from intake and governed knowledge</w:t>
      </w:r>
    </w:p>
    <w:p>
      <w:r>
        <w:rPr>
          <w:b w:val="0"/>
        </w:rPr>
        <w:t>Classify confirmed intake facts, activate governed rule packs, bind required tests to acceptance criteria, merge owner-requested additional tests, then freeze an independently reviewed Verification Contract.</w:t>
      </w:r>
    </w:p>
    <w:p>
      <w:r>
        <w:rPr>
          <w:b w:val="0"/>
        </w:rPr>
        <w:t>The proposed rule snapshot is SAE-KB-BASELINE-001 v1.1. Rules must be governed and independently approved before activation in an implementation. A cognitive model may propose tests or gaps; it cannot remove mandatory checks, infer successful execution or clear blockers.</w:t>
      </w:r>
    </w:p>
    <w:tbl>
      <w:tblPr>
        <w:tblW w:type="auto" w:w="0"/>
        <w:jc w:val="center"/>
        <w:tblLayout w:type="fixed"/>
        <w:tblLook w:firstColumn="1" w:firstRow="1" w:lastColumn="0" w:lastRow="0" w:noHBand="0" w:noVBand="1" w:val="04A0"/>
      </w:tblPr>
      <w:tblGrid>
        <w:gridCol w:w="2088"/>
        <w:gridCol w:w="1152"/>
        <w:gridCol w:w="6408"/>
      </w:tblGrid>
      <w:tr>
        <w:trPr>
          <w:cantSplit/>
          <w:tblHeader/>
        </w:trPr>
        <w:tc>
          <w:tcPr>
            <w:tcW w:type="dxa" w:w="208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Rule pack</w:t>
            </w:r>
          </w:p>
        </w:tc>
        <w:tc>
          <w:tcPr>
            <w:tcW w:type="dxa" w:w="1152"/>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Blueprint</w:t>
            </w:r>
          </w:p>
        </w:tc>
        <w:tc>
          <w:tcPr>
            <w:tcW w:type="dxa" w:w="6408"/>
            <w:vAlign w:val="center"/>
            <w:shd w:fill="203D4A"/>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color w:val="FFFFFF"/>
                <w:sz w:val="18"/>
              </w:rPr>
              <w:t>Selection basis</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KB-STRUCT-01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12</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Structural and software supply chain</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KB-BEHAV-01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13</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Behavioral adversarial and regression</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KB-IMPACT-01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14</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Actual impact and architecture invariants</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KB-EVID-01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15</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Semantic claims and evidence quality</w:t>
            </w:r>
          </w:p>
        </w:tc>
      </w:tr>
      <w:tr>
        <w:trPr>
          <w:cantSplit/>
        </w:trPr>
        <w:tc>
          <w:tcPr>
            <w:tcW w:type="dxa" w:w="208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KB-POLICY-01</w:t>
            </w:r>
          </w:p>
        </w:tc>
        <w:tc>
          <w:tcPr>
            <w:tcW w:type="dxa" w:w="1152"/>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16</w:t>
            </w:r>
          </w:p>
        </w:tc>
        <w:tc>
          <w:tcPr>
            <w:tcW w:type="dxa" w:w="6408"/>
            <w:vAlign w:val="center"/>
            <w:shd w:fill="F2F5F6"/>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Policy enforcement and authority</w:t>
            </w:r>
          </w:p>
        </w:tc>
      </w:tr>
      <w:tr>
        <w:trPr>
          <w:cantSplit/>
        </w:trPr>
        <w:tc>
          <w:tcPr>
            <w:tcW w:type="dxa" w:w="208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KB-SCOPE-01</w:t>
            </w:r>
          </w:p>
        </w:tc>
        <w:tc>
          <w:tcPr>
            <w:tcW w:type="dxa" w:w="1152"/>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17</w:t>
            </w:r>
          </w:p>
        </w:tc>
        <w:tc>
          <w:tcPr>
            <w:tcW w:type="dxa" w:w="6408"/>
            <w:vAlign w:val="center"/>
            <w:shd w:fill="FFFFFF"/>
            <w:tcMar>
              <w:top w:w="110" w:type="dxa"/>
              <w:left w:w="110" w:type="dxa"/>
              <w:bottom w:w="110" w:type="dxa"/>
              <w:right w:w="110" w:type="dxa"/>
            </w:tcMar>
            <w:tcBorders>
              <w:top w:val="single" w:sz="4" w:color="D9D9D9"/>
              <w:left w:val="single" w:sz="4" w:color="D9D9D9"/>
              <w:bottom w:val="single" w:sz="4" w:color="D9D9D9"/>
              <w:right w:val="single" w:sz="4" w:color="D9D9D9"/>
            </w:tcBorders>
          </w:tcPr>
          <w:p>
            <w:pPr>
              <w:spacing w:after="0" w:line="252" w:lineRule="auto"/>
            </w:pPr>
            <w:r>
              <w:rPr>
                <w:b w:val="0"/>
                <w:color w:val="000000"/>
                <w:sz w:val="18"/>
              </w:rPr>
              <w:t>Assurance scope and materiality</w:t>
            </w:r>
          </w:p>
        </w:tc>
      </w:tr>
    </w:tbl>
    <w:p>
      <w:pPr>
        <w:spacing w:after="20"/>
      </w:pPr>
    </w:p>
    <w:p>
      <w:pPr>
        <w:pStyle w:val="Heading2"/>
      </w:pPr>
      <w:r>
        <w:t>Required verification scope</w:t>
      </w:r>
    </w:p>
    <w:p>
      <w:r>
        <w:rPr>
          <w:b w:val="0"/>
        </w:rPr>
        <w:t>The registered facts activate 23 knowledge-pack tests and three Additional Tests, producing 26 applicable tests. SAE-TST-08 is recorded as NOT_APPLICABLE because no container target is confirmed. A later container decision reopens classification and makes the image check mandatory.</w:t>
      </w:r>
    </w:p>
    <w:p>
      <w:r>
        <w:rPr>
          <w:b w:val="0"/>
        </w:rPr>
        <w:t>Structural checks include build, types, lint, schemas, authorized paths, SAST, SCA, secrets, configuration, dependency policy, SBOM and artifact integrity. Behavioral checks include unit, integration, API, end-to-end, negative and adversarial cases, authentication, authorization, recovery, privacy, accessibility, dynamic security and regression. Differential comparison is required; mutation testing is not mandated by this baseline.</w:t>
      </w:r>
    </w:p>
    <w:p>
      <w:r>
        <w:rPr>
          <w:b w:val="0"/>
        </w:rPr>
        <w:t>Impact review covers candidate changes, dependencies, data flows, permissions and trust boundaries. Evidence checks cover exact citations, revisions, contradictions and finding lock. Policy traces connect source authority to enforced controls, tests, findings and gates. A new solution with changed purpose and trust boundaries requires local, affected-system and whole-solution assurance.</w:t>
      </w:r>
    </w:p>
    <w:p>
      <w:pPr>
        <w:pStyle w:val="Heading2"/>
      </w:pPr>
      <w:r>
        <w:t>Verification evidence and release rules</w:t>
      </w:r>
    </w:p>
    <w:p>
      <w:r>
        <w:rPr>
          <w:b w:val="0"/>
        </w:rPr>
        <w:t>Record the assessed candidate revision, runner and configuration versions, check identity, actual result, evidence locator, independence limitations and uncovered criteria. Missing execution or decision-critical evidence stays UNKNOWN; documentation alone cannot satisfy a control.</w:t>
      </w:r>
    </w:p>
    <w:p>
      <w:r>
        <w:rPr>
          <w:b w:val="0"/>
        </w:rPr>
        <w:t>A failed mandatory test, missing essential execution evidence, unsupported decision-critical claim or unresolved authority decision blocks release. UNKNOWN never becomes PASS by omission; exceptions require named authority, scope and expiry.</w:t>
      </w:r>
    </w:p>
    <w:p>
      <w:r>
        <w:br w:type="page"/>
      </w:r>
    </w:p>
    <w:p>
      <w:pPr>
        <w:pStyle w:val="Heading1"/>
      </w:pPr>
      <w:r>
        <w:t>Additional Tests (if not included to KB)</w:t>
      </w:r>
    </w:p>
    <w:p>
      <w:r>
        <w:rPr>
          <w:b w:val="0"/>
        </w:rPr>
        <w:t>These owner-requested tests supplement the governed catalogue. They must enter the Verification Contract with an accountable requester, requirement links, measurable pass condition and retained result. They do not replace mandatory knowledge-pack checks.</w:t>
      </w:r>
    </w:p>
    <w:p>
      <w:pPr>
        <w:pStyle w:val="Heading2"/>
      </w:pPr>
      <w:r>
        <w:t>SAE-ADD-01 Intake manifests cannot promote themselves into governed knowledge</w:t>
      </w:r>
    </w:p>
    <w:p>
      <w:r>
        <w:rPr>
          <w:b w:val="0"/>
        </w:rPr>
        <w:t>Requested by: Solution owner. SAE-specific separation of declared evidence and governing authority is absent from the generic structural pack.</w:t>
      </w:r>
    </w:p>
    <w:p>
      <w:r>
        <w:rPr>
          <w:b w:val="0"/>
        </w:rPr>
        <w:t>Requirements: SAE-REQ-01, SAE-REQ-03, SAE-REQ-05. Blueprint Step 15.</w:t>
      </w:r>
    </w:p>
    <w:p>
      <w:r>
        <w:rPr>
          <w:b w:val="0"/>
        </w:rPr>
        <w:t>Procedure: Submit a manifest claiming to be the normative catalogue and attempt criterion replacement.</w:t>
      </w:r>
    </w:p>
    <w:p>
      <w:r>
        <w:rPr>
          <w:b w:val="0"/>
        </w:rPr>
        <w:t>Acceptance criterion: The catalogue remains unchanged and the manifest stays declared source evidence.</w:t>
      </w:r>
    </w:p>
    <w:p>
      <w:pPr>
        <w:pStyle w:val="Heading2"/>
      </w:pPr>
      <w:r>
        <w:t>SAE-ADD-02 High aggregate scores and completed tactics cannot clear blockers</w:t>
      </w:r>
    </w:p>
    <w:p>
      <w:r>
        <w:rPr>
          <w:b w:val="0"/>
        </w:rPr>
        <w:t>Requested by: Solution owner. Cross-control interaction between SAE score, exact tactic mapping and finding closure needs a dedicated case.</w:t>
      </w:r>
    </w:p>
    <w:p>
      <w:r>
        <w:rPr>
          <w:b w:val="0"/>
        </w:rPr>
        <w:t>Requirements: SAE-REQ-06, SAE-REQ-07. Blueprint Step 13.</w:t>
      </w:r>
    </w:p>
    <w:p>
      <w:r>
        <w:rPr>
          <w:b w:val="0"/>
        </w:rPr>
        <w:t>Procedure: Combine a high domain score with a mandatory blocker, then mark a tactic complete without reverification.</w:t>
      </w:r>
    </w:p>
    <w:p>
      <w:r>
        <w:rPr>
          <w:b w:val="0"/>
        </w:rPr>
        <w:t>Acceptance criterion: Readiness remains blocked; tactic completion never closes the finding without new verified proof.</w:t>
      </w:r>
    </w:p>
    <w:p>
      <w:pPr>
        <w:pStyle w:val="Heading2"/>
      </w:pPr>
      <w:r>
        <w:t>SAE-ADD-03 Publication and exports cannot alter canonical readiness</w:t>
      </w:r>
    </w:p>
    <w:p>
      <w:r>
        <w:rPr>
          <w:b w:val="0"/>
        </w:rPr>
        <w:t>Requested by: Solution owner. SAE publication eligibility and canonical view integrity need one combined cross-view regression case.</w:t>
      </w:r>
    </w:p>
    <w:p>
      <w:r>
        <w:rPr>
          <w:b w:val="0"/>
        </w:rPr>
        <w:t>Requirements: SAE-REQ-08, SAE-REQ-09. Blueprint Step 13.</w:t>
      </w:r>
    </w:p>
    <w:p>
      <w:r>
        <w:rPr>
          <w:b w:val="0"/>
        </w:rPr>
        <w:t>Procedure: Quarantine unsupported prose and compare workspace, summary and export package identities.</w:t>
      </w:r>
    </w:p>
    <w:p>
      <w:r>
        <w:rPr>
          <w:b w:val="0"/>
        </w:rPr>
        <w:t>Acceptance criterion: Publication state is independent; all views retain identical package ID and readiness.</w:t>
      </w:r>
    </w:p>
    <w:p>
      <w:pPr>
        <w:pStyle w:val="Heading2"/>
      </w:pPr>
      <w:r>
        <w:t>Owner confirmation and required output</w:t>
      </w:r>
    </w:p>
    <w:p>
      <w:r>
        <w:rPr>
          <w:b w:val="0"/>
        </w:rPr>
        <w:t>Solution owner confirms intent; independent assurance lead reviews findings; security and privacy owners approve controls; release authority decides deployment. Named reviewer appointments remain pending.</w:t>
      </w:r>
    </w:p>
    <w:p>
      <w:r>
        <w:rPr>
          <w:b w:val="0"/>
        </w:rPr>
        <w:t>One traceable ReadinessPackageV2, consistent workspace and summary views, grounded actions and an approval package preserving unknowns and human decision boundaries.</w:t>
      </w:r>
    </w:p>
    <w:p>
      <w:r>
        <w:br w:type="page"/>
      </w:r>
    </w:p>
    <w:p>
      <w:pPr>
        <w:pStyle w:val="Heading1"/>
      </w:pPr>
      <w:r>
        <w:t>Contracts and delivery conditions</w:t>
      </w:r>
    </w:p>
    <w:p>
      <w:pPr>
        <w:pStyle w:val="Heading2"/>
      </w:pPr>
      <w:r>
        <w:t>Implementation contract</w:t>
      </w:r>
    </w:p>
    <w:p>
      <w:r>
        <w:rPr>
          <w:b w:val="0"/>
        </w:rPr>
        <w:t>Deliver acquisition adapters, confirmed intake, validated knowledge loading, the A-F instrument, independent claim verification, finding lock, deterministic readiness, exact tactic mapping, controlled publication and canonical views. Protect human authority and information boundaries.</w:t>
      </w:r>
    </w:p>
    <w:p>
      <w:pPr>
        <w:pStyle w:val="Heading2"/>
      </w:pPr>
      <w:r>
        <w:t>Verification contract</w:t>
      </w:r>
    </w:p>
    <w:p>
      <w:r>
        <w:rPr>
          <w:b w:val="0"/>
        </w:rPr>
        <w:t>Execute SAE-VER-01 through SAE-VER-10 independently against the assessed revision. Include malformed sources, missing proof, fabricated citations, score-versus-blocker conflicts, unmapped tactics, unsupported prose and unauthorized approval attempts.</w:t>
      </w:r>
    </w:p>
    <w:p>
      <w:pPr>
        <w:pStyle w:val="Heading2"/>
      </w:pPr>
      <w:r>
        <w:t>Release conditions</w:t>
      </w:r>
    </w:p>
    <w:p>
      <w:r>
        <w:rPr>
          <w:b w:val="0"/>
        </w:rPr>
        <w:t>All ten requirements must have attributable verification evidence on the assessed revision. Mandatory security failures, missing critical evidence and unresolved authority decisions remain blocking. Named humans authorize release after reviewing the package and target environment.</w:t>
      </w:r>
    </w:p>
    <w:p>
      <w:pPr>
        <w:pStyle w:val="Heading2"/>
      </w:pPr>
      <w:r>
        <w:t>Operational acceptance</w:t>
      </w:r>
    </w:p>
    <w:p>
      <w:r>
        <w:rPr>
          <w:b w:val="0"/>
        </w:rPr>
        <w:t>Pre-release tests do not establish operating effectiveness. After a real deployment, collect version-linked evidence, incidents and reassessment triggers. Validate learning before changing the accepted system model.</w:t>
      </w:r>
    </w:p>
    <w:p>
      <w:pPr>
        <w:pStyle w:val="Heading1"/>
      </w:pPr>
      <w:r>
        <w:t>Decisions to resolve for the real build</w:t>
      </w:r>
    </w:p>
    <w:p>
      <w:pPr>
        <w:pStyle w:val="ListBullet"/>
      </w:pPr>
      <w:r>
        <w:t>Confirm the product owner, security/privacy reviewers and release approver for a real implementation. These roles are requirements, not recorded appointments or signatures.</w:t>
      </w:r>
    </w:p>
    <w:p>
      <w:pPr>
        <w:pStyle w:val="ListBullet"/>
      </w:pPr>
      <w:r>
        <w:t>Choose the real deployment boundary, authentication model, retention periods and evidence-store controls according to actual data classification.</w:t>
      </w:r>
    </w:p>
    <w:p>
      <w:pPr>
        <w:pStyle w:val="ListBullet"/>
      </w:pPr>
      <w:r>
        <w:t>Approve provider routes, independence rules, budgets and data-processing arrangements before any future AI integration.</w:t>
      </w:r>
    </w:p>
    <w:p>
      <w:pPr>
        <w:pStyle w:val="ListBullet"/>
      </w:pPr>
      <w:r>
        <w:t>Validate the governed knowledge snapshot, current source editions, applicability and tactic catalogue before real activation.</w:t>
      </w:r>
    </w:p>
    <w:p>
      <w:pPr>
        <w:pStyle w:val="ListBullet"/>
      </w:pPr>
      <w:r>
        <w:t>Set operational service levels, recovery targets and evidence retention with the accountable service owner.</w:t>
      </w:r>
    </w:p>
    <w:p>
      <w:pPr>
        <w:pStyle w:val="Heading1"/>
      </w:pPr>
      <w:r>
        <w:t>Reference basis</w:t>
      </w:r>
    </w:p>
    <w:p>
      <w:pPr>
        <w:pStyle w:val="ListBullet"/>
      </w:pPr>
      <w:r>
        <w:t>CSCF The Blueprint - end-to-end reference architecture, repository baseline 11 October 2026.</w:t>
      </w:r>
    </w:p>
    <w:p>
      <w:pPr>
        <w:pStyle w:val="ListBullet"/>
      </w:pPr>
      <w:r>
        <w:t>Solution Assurance Engine Thinking Flow - supplied cognitive and control model; six domains, 30 capabilities, 30 anti-patterns and 180 primary questions.</w:t>
      </w:r>
    </w:p>
    <w:p>
      <w:pPr>
        <w:pStyle w:val="ListBullet"/>
      </w:pPr>
      <w:r>
        <w:t>CSCF The Description - Continuous Solution Creation Flow master concept paper, October 2026.</w:t>
      </w:r>
    </w:p>
    <w:p>
      <w:pPr>
        <w:pStyle w:val="ListBullet"/>
      </w:pPr>
      <w:r>
        <w:t>Secure Software Development Process V1.0A - supplied secure-development control reference, 29 September 2026.</w:t>
      </w:r>
    </w:p>
    <w:p>
      <w:r>
        <w:rPr>
          <w:b w:val="0"/>
        </w:rPr>
        <w:t>The architecture references define intended behavior. They do not establish that a real implementation passes these criteria or satisfies legal or secure-development obligations.</w:t>
      </w:r>
    </w:p>
    <w:sectPr w:rsidR="00FC693F" w:rsidRPr="0006063C" w:rsidSect="00034616">
      <w:footerReference w:type="default" r:id="rId9"/>
      <w:pgSz w:w="11909" w:h="16834"/>
      <w:pgMar w:top="1037" w:right="1094" w:bottom="93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CSCF-SAE-NB-001  |  v1.1  |  New Build Brief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Assurance Engine CSCF New Build Brief</dc:title>
  <dc:subject>CSCF-SAE-NB-001 version 1.1</dc:subject>
  <dc:creator>CSCF</dc:creator>
  <cp:keywords>CSCF, Solution Assurance Engine, New Build, requirements</cp:keywords>
  <dc:description>generated by python-docx</dc:description>
  <cp:lastModifiedBy/>
  <cp:revision>1</cp:revision>
  <dcterms:created xsi:type="dcterms:W3CDTF">2013-12-23T23:15:00Z</dcterms:created>
  <dcterms:modified xsi:type="dcterms:W3CDTF">2013-12-23T23:15:00Z</dcterms:modified>
  <cp:category/>
</cp:coreProperties>
</file>