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p>
    <w:p>
      <w:pPr>
        <w:spacing w:before="80" w:after="40"/>
        <w:jc w:val="center"/>
      </w:pPr>
      <w:r>
        <w:drawing>
          <wp:inline xmlns:a="http://schemas.openxmlformats.org/drawingml/2006/main" xmlns:pic="http://schemas.openxmlformats.org/drawingml/2006/picture">
            <wp:extent cx="4023360" cy="1058779"/>
            <wp:docPr id="1" name="Picture 1"/>
            <wp:cNvGraphicFramePr>
              <a:graphicFrameLocks noChangeAspect="1"/>
            </wp:cNvGraphicFramePr>
            <a:graphic>
              <a:graphicData uri="http://schemas.openxmlformats.org/drawingml/2006/picture">
                <pic:pic>
                  <pic:nvPicPr>
                    <pic:cNvPr id="0" name="lockup_light.png"/>
                    <pic:cNvPicPr/>
                  </pic:nvPicPr>
                  <pic:blipFill>
                    <a:blip r:embed="rId11"/>
                    <a:stretch>
                      <a:fillRect/>
                    </a:stretch>
                  </pic:blipFill>
                  <pic:spPr>
                    <a:xfrm>
                      <a:off x="0" y="0"/>
                      <a:ext cx="4023360" cy="1058779"/>
                    </a:xfrm>
                    <a:prstGeom prst="rect"/>
                  </pic:spPr>
                </pic:pic>
              </a:graphicData>
            </a:graphic>
          </wp:inline>
        </w:drawing>
      </w:r>
    </w:p>
    <w:p>
      <w:pPr>
        <w:spacing w:after="360"/>
      </w:pPr>
    </w:p>
    <w:p>
      <w:pPr>
        <w:spacing w:after="40"/>
        <w:jc w:val="center"/>
      </w:pPr>
      <w:r>
        <w:rPr>
          <w:rFonts w:ascii="JetBrains Mono" w:hAnsi="JetBrains Mono" w:cs="JetBrains Mono" w:eastAsia="JetBrains Mono"/>
          <w:b/>
          <w:i w:val="0"/>
          <w:color w:val="1E6FFF"/>
          <w:spacing w:val="40"/>
          <w:sz w:val="17"/>
        </w:rPr>
        <w:t>DOSSIER DE PRODUCTO Y MARCA</w:t>
      </w:r>
    </w:p>
    <w:p>
      <w:pPr>
        <w:spacing w:after="120"/>
        <w:jc w:val="center"/>
      </w:pPr>
      <w:r>
        <w:rPr>
          <w:rFonts w:ascii="Plus Jakarta Sans" w:hAnsi="Plus Jakarta Sans" w:cs="Plus Jakarta Sans" w:eastAsia="Plus Jakarta Sans"/>
          <w:b/>
          <w:i w:val="0"/>
          <w:color w:val="0A1A3A"/>
          <w:spacing w:val="-24"/>
          <w:sz w:val="60"/>
        </w:rPr>
        <w:t>Handoff para el diseño de la</w:t>
        <w:br/>
        <w:t>presentación comercial</w:t>
      </w:r>
    </w:p>
    <w:p>
      <w:pPr>
        <w:spacing w:after="400"/>
        <w:jc w:val="center"/>
      </w:pPr>
      <w:r>
        <w:rPr>
          <w:rFonts w:ascii="Inter" w:hAnsi="Inter" w:cs="Inter" w:eastAsia="Inter"/>
          <w:b w:val="0"/>
          <w:i w:val="0"/>
          <w:color w:val="76829C"/>
          <w:sz w:val="22"/>
        </w:rPr>
        <w:t>Todo lo que la plataforma hace hoy, con qué se puede afirmar, cómo se cobra y con qué reglas visuales se presenta.</w:t>
      </w:r>
    </w:p>
    <w:p>
      <w:pPr>
        <w:pBdr>
          <w:bottom w:val="single" w:sz="12" w:space="1" w:color="1E6FFF"/>
        </w:pBdr>
        <w:spacing w:before="0" w:after="280"/>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2448"/>
        <w:gridCol w:w="2448"/>
        <w:gridCol w:w="2448"/>
        <w:gridCol w:w="2448"/>
      </w:tblGrid>
      <w:tr>
        <w:tc>
          <w:tcPr>
            <w:tcW w:type="dxa" w:w="2448"/>
            <w:tcMar>
              <w:top w:w="60" w:type="dxa"/>
              <w:start w:w="0" w:type="dxa"/>
              <w:bottom w:w="60" w:type="dxa"/>
              <w:end w:w="60" w:type="dxa"/>
            </w:tcMar>
          </w:tcPr>
          <w:p>
            <w:pPr>
              <w:spacing w:after="20"/>
            </w:pPr>
            <w:r>
              <w:rPr>
                <w:rFonts w:ascii="JetBrains Mono" w:hAnsi="JetBrains Mono" w:cs="JetBrains Mono" w:eastAsia="JetBrains Mono"/>
                <w:b/>
                <w:i w:val="0"/>
                <w:color w:val="9AA6BF"/>
                <w:spacing w:val="20"/>
                <w:sz w:val="14"/>
              </w:rPr>
              <w:t>DESTINATARIO</w:t>
            </w:r>
          </w:p>
          <w:p>
            <w:pPr>
              <w:spacing w:after="0"/>
            </w:pPr>
            <w:r>
              <w:rPr>
                <w:rFonts w:ascii="Plus Jakarta Sans" w:hAnsi="Plus Jakarta Sans" w:cs="Plus Jakarta Sans" w:eastAsia="Plus Jakarta Sans"/>
                <w:b/>
                <w:i w:val="0"/>
                <w:color w:val="0A1A3A"/>
                <w:sz w:val="21"/>
              </w:rPr>
              <w:t>Diseñador senior</w:t>
            </w:r>
          </w:p>
        </w:tc>
        <w:tc>
          <w:tcPr>
            <w:tcW w:type="dxa" w:w="2448"/>
            <w:tcMar>
              <w:top w:w="60" w:type="dxa"/>
              <w:start w:w="0" w:type="dxa"/>
              <w:bottom w:w="60" w:type="dxa"/>
              <w:end w:w="60" w:type="dxa"/>
            </w:tcMar>
          </w:tcPr>
          <w:p>
            <w:pPr>
              <w:spacing w:after="20"/>
            </w:pPr>
            <w:r>
              <w:rPr>
                <w:rFonts w:ascii="JetBrains Mono" w:hAnsi="JetBrains Mono" w:cs="JetBrains Mono" w:eastAsia="JetBrains Mono"/>
                <w:b/>
                <w:i w:val="0"/>
                <w:color w:val="9AA6BF"/>
                <w:spacing w:val="20"/>
                <w:sz w:val="14"/>
              </w:rPr>
              <w:t>EMISOR</w:t>
            </w:r>
          </w:p>
          <w:p>
            <w:pPr>
              <w:spacing w:after="0"/>
            </w:pPr>
            <w:r>
              <w:rPr>
                <w:rFonts w:ascii="Plus Jakarta Sans" w:hAnsi="Plus Jakarta Sans" w:cs="Plus Jakarta Sans" w:eastAsia="Plus Jakarta Sans"/>
                <w:b/>
                <w:i w:val="0"/>
                <w:color w:val="0A1A3A"/>
                <w:sz w:val="21"/>
              </w:rPr>
              <w:t>SDQ Consulting</w:t>
            </w:r>
          </w:p>
        </w:tc>
        <w:tc>
          <w:tcPr>
            <w:tcW w:type="dxa" w:w="2448"/>
            <w:tcMar>
              <w:top w:w="60" w:type="dxa"/>
              <w:start w:w="0" w:type="dxa"/>
              <w:bottom w:w="60" w:type="dxa"/>
              <w:end w:w="60" w:type="dxa"/>
            </w:tcMar>
          </w:tcPr>
          <w:p>
            <w:pPr>
              <w:spacing w:after="20"/>
            </w:pPr>
            <w:r>
              <w:rPr>
                <w:rFonts w:ascii="JetBrains Mono" w:hAnsi="JetBrains Mono" w:cs="JetBrains Mono" w:eastAsia="JetBrains Mono"/>
                <w:b/>
                <w:i w:val="0"/>
                <w:color w:val="9AA6BF"/>
                <w:spacing w:val="20"/>
                <w:sz w:val="14"/>
              </w:rPr>
              <w:t>FECHA</w:t>
            </w:r>
          </w:p>
          <w:p>
            <w:pPr>
              <w:spacing w:after="0"/>
            </w:pPr>
            <w:r>
              <w:rPr>
                <w:rFonts w:ascii="Plus Jakarta Sans" w:hAnsi="Plus Jakarta Sans" w:cs="Plus Jakarta Sans" w:eastAsia="Plus Jakarta Sans"/>
                <w:b/>
                <w:i w:val="0"/>
                <w:color w:val="0A1A3A"/>
                <w:sz w:val="21"/>
              </w:rPr>
              <w:t>2026-08-22</w:t>
            </w:r>
          </w:p>
        </w:tc>
        <w:tc>
          <w:tcPr>
            <w:tcW w:type="dxa" w:w="2448"/>
            <w:tcMar>
              <w:top w:w="60" w:type="dxa"/>
              <w:start w:w="0" w:type="dxa"/>
              <w:bottom w:w="60" w:type="dxa"/>
              <w:end w:w="60" w:type="dxa"/>
            </w:tcMar>
          </w:tcPr>
          <w:p>
            <w:pPr>
              <w:spacing w:after="20"/>
            </w:pPr>
            <w:r>
              <w:rPr>
                <w:rFonts w:ascii="JetBrains Mono" w:hAnsi="JetBrains Mono" w:cs="JetBrains Mono" w:eastAsia="JetBrains Mono"/>
                <w:b/>
                <w:i w:val="0"/>
                <w:color w:val="9AA6BF"/>
                <w:spacing w:val="20"/>
                <w:sz w:val="14"/>
              </w:rPr>
              <w:t>ESTADO</w:t>
            </w:r>
          </w:p>
          <w:p>
            <w:pPr>
              <w:spacing w:after="0"/>
            </w:pPr>
            <w:r>
              <w:rPr>
                <w:rFonts w:ascii="Plus Jakarta Sans" w:hAnsi="Plus Jakarta Sans" w:cs="Plus Jakarta Sans" w:eastAsia="Plus Jakarta Sans"/>
                <w:b/>
                <w:i w:val="0"/>
                <w:color w:val="0A1A3A"/>
                <w:sz w:val="21"/>
              </w:rPr>
              <w:t>Vigente al corte</w:t>
            </w:r>
          </w:p>
        </w:tc>
      </w:tr>
    </w:tbl>
    <w:p>
      <w:pPr>
        <w:spacing w:after="320"/>
      </w:pPr>
    </w:p>
    <w:tbl>
      <w:tblPr>
        <w:tblW w:type="auto" w:w="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72"/>
        <w:gridCol w:w="9720"/>
      </w:tblGrid>
      <w:tr>
        <w:trPr>
          <w:cantSplit/>
        </w:trPr>
        <w:tc>
          <w:tcPr>
            <w:tcW w:type="dxa" w:w="72"/>
            <w:shd w:val="clear" w:color="auto" w:fill="1E6FFF"/>
            <w:tcMar>
              <w:top w:w="0" w:type="dxa"/>
              <w:start w:w="0" w:type="dxa"/>
              <w:bottom w:w="0" w:type="dxa"/>
              <w:end w:w="0" w:type="dxa"/>
            </w:tcMar>
          </w:tcPr>
          <w:p>
            <w:pPr>
              <w:spacing w:after="0"/>
            </w:pPr>
          </w:p>
        </w:tc>
        <w:tc>
          <w:tcPr>
            <w:tcW w:type="dxa" w:w="9720"/>
            <w:shd w:val="clear" w:color="auto" w:fill="EAF1FF"/>
            <w:tcMar>
              <w:top w:w="120" w:type="dxa"/>
              <w:start w:w="160" w:type="dxa"/>
              <w:bottom w:w="120" w:type="dxa"/>
              <w:end w:w="160" w:type="dxa"/>
            </w:tcMar>
          </w:tcPr>
          <w:p>
            <w:pPr>
              <w:spacing w:after="40"/>
            </w:pPr>
            <w:r>
              <w:rPr>
                <w:rFonts w:ascii="JetBrains Mono" w:hAnsi="JetBrains Mono" w:cs="JetBrains Mono" w:eastAsia="JetBrains Mono"/>
                <w:b/>
                <w:i w:val="0"/>
                <w:color w:val="1551C0"/>
                <w:spacing w:val="24"/>
                <w:sz w:val="15"/>
              </w:rPr>
              <w:t>LEA ESTO PRIMERO</w:t>
            </w:r>
          </w:p>
          <w:p>
            <w:pPr>
              <w:spacing w:after="0"/>
            </w:pPr>
            <w:r>
              <w:rPr>
                <w:rFonts w:ascii="Inter" w:hAnsi="Inter" w:cs="Inter" w:eastAsia="Inter"/>
                <w:b w:val="0"/>
                <w:i w:val="0"/>
                <w:color w:val="0A1A3A"/>
                <w:sz w:val="19"/>
              </w:rPr>
              <w:t>Este documento describe una plataforma que ya existe y corre. La regla que lo gobierna —y que la presentación debe heredar— es que SDQ·MIP no afirma más de lo que su código sostiene. Hay una sección entera (§7) dedicada a qué se puede decir y qué no; ninguna pieza de venta debería salir sin pasar por ella.</w:t>
            </w:r>
          </w:p>
        </w:tc>
      </w:tr>
    </w:tbl>
    <w:p>
      <w:pPr>
        <w:spacing w:after="80" w:before="0"/>
      </w:pPr>
    </w:p>
    <w:p>
      <w:r>
        <w:br w:type="page"/>
      </w:r>
    </w:p>
    <w:p>
      <w:pPr>
        <w:spacing w:before="40" w:after="20"/>
      </w:pPr>
      <w:r>
        <w:rPr>
          <w:rFonts w:ascii="JetBrains Mono" w:hAnsi="JetBrains Mono" w:cs="JetBrains Mono" w:eastAsia="JetBrains Mono"/>
          <w:b/>
          <w:i w:val="0"/>
          <w:color w:val="1E6FFF"/>
          <w:spacing w:val="26"/>
          <w:sz w:val="15"/>
        </w:rPr>
        <w:t>ÍNDICE</w:t>
      </w:r>
    </w:p>
    <w:p>
      <w:pPr>
        <w:keepNext/>
        <w:spacing w:before="0" w:after="60"/>
      </w:pPr>
      <w:r>
        <w:rPr>
          <w:rFonts w:ascii="Plus Jakarta Sans" w:hAnsi="Plus Jakarta Sans" w:cs="Plus Jakarta Sans" w:eastAsia="Plus Jakarta Sans"/>
          <w:b/>
          <w:i w:val="0"/>
          <w:color w:val="0A1A3A"/>
          <w:spacing w:val="-12"/>
          <w:sz w:val="38"/>
        </w:rPr>
        <w:t>Contenido</w:t>
      </w:r>
    </w:p>
    <w:p>
      <w:pPr>
        <w:pBdr>
          <w:bottom w:val="single" w:sz="10" w:space="1" w:color="1E6FFF"/>
        </w:pBdr>
        <w:spacing w:before="20" w:after="200"/>
      </w:pPr>
    </w:p>
    <w:tbl>
      <w:tblPr>
        <w:tblW w:type="auto" w:w="0"/>
        <w:jc w:val="left"/>
        <w:tblBorders>
          <w:top w:val="single" w:sz="4" w:space="0" w:color="E7ECF3"/>
          <w:left w:val="single" w:sz="4" w:space="0" w:color="E7ECF3"/>
          <w:bottom w:val="single" w:sz="4" w:space="0" w:color="E7ECF3"/>
          <w:right w:val="single" w:sz="4" w:space="0" w:color="E7ECF3"/>
          <w:insideH w:val="single" w:sz="4" w:space="0" w:color="E7ECF3"/>
          <w:insideV w:val="single" w:sz="4" w:space="0" w:color="E7ECF3"/>
        </w:tblBorders>
        <w:tblLayout w:type="fixed"/>
        <w:tblLook w:firstColumn="1" w:firstRow="1" w:lastColumn="0" w:lastRow="0" w:noHBand="0" w:noVBand="1" w:val="04A0"/>
      </w:tblPr>
      <w:tblGrid>
        <w:gridCol w:w="506"/>
        <w:gridCol w:w="2870"/>
        <w:gridCol w:w="6415"/>
      </w:tblGrid>
      <w:tr>
        <w:trPr>
          <w:tblHeader/>
        </w:trPr>
        <w:tc>
          <w:tcPr>
            <w:tcW w:type="dxa" w:w="506"/>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w:t>
            </w:r>
          </w:p>
        </w:tc>
        <w:tc>
          <w:tcPr>
            <w:tcW w:type="dxa" w:w="2870"/>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SECCIÓN</w:t>
            </w:r>
          </w:p>
        </w:tc>
        <w:tc>
          <w:tcPr>
            <w:tcW w:type="dxa" w:w="6415"/>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QUÉ RESUELVE</w:t>
            </w:r>
          </w:p>
        </w:tc>
      </w:tr>
      <w:tr>
        <w:trPr>
          <w:cantSplit/>
        </w:trPr>
        <w:tc>
          <w:tcPr>
            <w:tcW w:type="dxa" w:w="506"/>
            <w:tcMar>
              <w:top w:w="60" w:type="dxa"/>
              <w:start w:w="100" w:type="dxa"/>
              <w:bottom w:w="60" w:type="dxa"/>
              <w:end w:w="100" w:type="dxa"/>
            </w:tcMar>
          </w:tcPr>
          <w:p>
            <w:pPr>
              <w:spacing w:after="0" w:line="276" w:lineRule="auto"/>
            </w:pPr>
            <w:r>
              <w:rPr>
                <w:rFonts w:ascii="Inter" w:hAnsi="Inter" w:cs="Inter" w:eastAsia="Inter"/>
                <w:b/>
                <w:i w:val="0"/>
                <w:color w:val="0A1A3A"/>
                <w:sz w:val="17"/>
              </w:rPr>
              <w:t>0</w:t>
            </w:r>
          </w:p>
        </w:tc>
        <w:tc>
          <w:tcPr>
            <w:tcW w:type="dxa" w:w="2870"/>
            <w:tcMar>
              <w:top w:w="60" w:type="dxa"/>
              <w:start w:w="100" w:type="dxa"/>
              <w:bottom w:w="60" w:type="dxa"/>
              <w:end w:w="100" w:type="dxa"/>
            </w:tcMar>
          </w:tcPr>
          <w:p>
            <w:pPr>
              <w:spacing w:after="0" w:line="276" w:lineRule="auto"/>
            </w:pPr>
            <w:r>
              <w:rPr>
                <w:rFonts w:ascii="Inter" w:hAnsi="Inter" w:cs="Inter" w:eastAsia="Inter"/>
                <w:b w:val="0"/>
                <w:i w:val="0"/>
                <w:color w:val="43506B"/>
                <w:sz w:val="17"/>
              </w:rPr>
              <w:t>Cómo usar este documento</w:t>
            </w:r>
          </w:p>
        </w:tc>
        <w:tc>
          <w:tcPr>
            <w:tcW w:type="dxa" w:w="6415"/>
            <w:tcMar>
              <w:top w:w="60" w:type="dxa"/>
              <w:start w:w="100" w:type="dxa"/>
              <w:bottom w:w="60" w:type="dxa"/>
              <w:end w:w="100" w:type="dxa"/>
            </w:tcMar>
          </w:tcPr>
          <w:p>
            <w:pPr>
              <w:spacing w:after="0" w:line="276" w:lineRule="auto"/>
            </w:pPr>
            <w:r>
              <w:rPr>
                <w:rFonts w:ascii="Inter" w:hAnsi="Inter" w:cs="Inter" w:eastAsia="Inter"/>
                <w:b w:val="0"/>
                <w:i w:val="0"/>
                <w:color w:val="43506B"/>
                <w:sz w:val="17"/>
              </w:rPr>
              <w:t>Las tres capas del handoff y lo que hay que saber antes de abrir el archivo de diseño.</w:t>
            </w:r>
          </w:p>
        </w:tc>
      </w:tr>
      <w:tr>
        <w:trPr>
          <w:cantSplit/>
        </w:trPr>
        <w:tc>
          <w:tcPr>
            <w:tcW w:type="dxa" w:w="506"/>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7"/>
              </w:rPr>
              <w:t>1</w:t>
            </w:r>
          </w:p>
        </w:tc>
        <w:tc>
          <w:tcPr>
            <w:tcW w:type="dxa" w:w="2870"/>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7"/>
              </w:rPr>
              <w:t>Qué es SDQ·MIP</w:t>
            </w:r>
          </w:p>
        </w:tc>
        <w:tc>
          <w:tcPr>
            <w:tcW w:type="dxa" w:w="641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7"/>
              </w:rPr>
              <w:t>Posicionamiento, el foso, audiencias y la arquitectura en una lámina.</w:t>
            </w:r>
          </w:p>
        </w:tc>
      </w:tr>
      <w:tr>
        <w:trPr>
          <w:cantSplit/>
        </w:trPr>
        <w:tc>
          <w:tcPr>
            <w:tcW w:type="dxa" w:w="506"/>
            <w:tcMar>
              <w:top w:w="60" w:type="dxa"/>
              <w:start w:w="100" w:type="dxa"/>
              <w:bottom w:w="60" w:type="dxa"/>
              <w:end w:w="100" w:type="dxa"/>
            </w:tcMar>
          </w:tcPr>
          <w:p>
            <w:pPr>
              <w:spacing w:after="0" w:line="276" w:lineRule="auto"/>
            </w:pPr>
            <w:r>
              <w:rPr>
                <w:rFonts w:ascii="Inter" w:hAnsi="Inter" w:cs="Inter" w:eastAsia="Inter"/>
                <w:b/>
                <w:i w:val="0"/>
                <w:color w:val="0A1A3A"/>
                <w:sz w:val="17"/>
              </w:rPr>
              <w:t>2</w:t>
            </w:r>
          </w:p>
        </w:tc>
        <w:tc>
          <w:tcPr>
            <w:tcW w:type="dxa" w:w="2870"/>
            <w:tcMar>
              <w:top w:w="60" w:type="dxa"/>
              <w:start w:w="100" w:type="dxa"/>
              <w:bottom w:w="60" w:type="dxa"/>
              <w:end w:w="100" w:type="dxa"/>
            </w:tcMar>
          </w:tcPr>
          <w:p>
            <w:pPr>
              <w:spacing w:after="0" w:line="276" w:lineRule="auto"/>
            </w:pPr>
            <w:r>
              <w:rPr>
                <w:rFonts w:ascii="Inter" w:hAnsi="Inter" w:cs="Inter" w:eastAsia="Inter"/>
                <w:b w:val="0"/>
                <w:i w:val="0"/>
                <w:color w:val="43506B"/>
                <w:sz w:val="17"/>
              </w:rPr>
              <w:t>La marca</w:t>
            </w:r>
          </w:p>
        </w:tc>
        <w:tc>
          <w:tcPr>
            <w:tcW w:type="dxa" w:w="6415"/>
            <w:tcMar>
              <w:top w:w="60" w:type="dxa"/>
              <w:start w:w="100" w:type="dxa"/>
              <w:bottom w:w="60" w:type="dxa"/>
              <w:end w:w="100" w:type="dxa"/>
            </w:tcMar>
          </w:tcPr>
          <w:p>
            <w:pPr>
              <w:spacing w:after="0" w:line="276" w:lineRule="auto"/>
            </w:pPr>
            <w:r>
              <w:rPr>
                <w:rFonts w:ascii="Inter" w:hAnsi="Inter" w:cs="Inter" w:eastAsia="Inter"/>
                <w:b w:val="0"/>
                <w:i w:val="0"/>
                <w:color w:val="43506B"/>
                <w:sz w:val="17"/>
              </w:rPr>
              <w:t>Identidad Arco, tokens de color claro y oscuro, tipografía, componentes, visualización, reglas duras y tono.</w:t>
            </w:r>
          </w:p>
        </w:tc>
      </w:tr>
      <w:tr>
        <w:trPr>
          <w:cantSplit/>
        </w:trPr>
        <w:tc>
          <w:tcPr>
            <w:tcW w:type="dxa" w:w="506"/>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7"/>
              </w:rPr>
              <w:t>3</w:t>
            </w:r>
          </w:p>
        </w:tc>
        <w:tc>
          <w:tcPr>
            <w:tcW w:type="dxa" w:w="2870"/>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7"/>
              </w:rPr>
              <w:t>El catálogo — 16 ejes</w:t>
            </w:r>
          </w:p>
        </w:tc>
        <w:tc>
          <w:tcPr>
            <w:tcW w:type="dxa" w:w="641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7"/>
              </w:rPr>
              <w:t>Los productos, con índice, sujeto, fuente y ángulo de venta.</w:t>
            </w:r>
          </w:p>
        </w:tc>
      </w:tr>
      <w:tr>
        <w:trPr>
          <w:cantSplit/>
        </w:trPr>
        <w:tc>
          <w:tcPr>
            <w:tcW w:type="dxa" w:w="506"/>
            <w:tcMar>
              <w:top w:w="60" w:type="dxa"/>
              <w:start w:w="100" w:type="dxa"/>
              <w:bottom w:w="60" w:type="dxa"/>
              <w:end w:w="100" w:type="dxa"/>
            </w:tcMar>
          </w:tcPr>
          <w:p>
            <w:pPr>
              <w:spacing w:after="0" w:line="276" w:lineRule="auto"/>
            </w:pPr>
            <w:r>
              <w:rPr>
                <w:rFonts w:ascii="Inter" w:hAnsi="Inter" w:cs="Inter" w:eastAsia="Inter"/>
                <w:b/>
                <w:i w:val="0"/>
                <w:color w:val="0A1A3A"/>
                <w:sz w:val="17"/>
              </w:rPr>
              <w:t>4</w:t>
            </w:r>
          </w:p>
        </w:tc>
        <w:tc>
          <w:tcPr>
            <w:tcW w:type="dxa" w:w="2870"/>
            <w:tcMar>
              <w:top w:w="60" w:type="dxa"/>
              <w:start w:w="100" w:type="dxa"/>
              <w:bottom w:w="60" w:type="dxa"/>
              <w:end w:w="100" w:type="dxa"/>
            </w:tcMar>
          </w:tcPr>
          <w:p>
            <w:pPr>
              <w:spacing w:after="0" w:line="276" w:lineRule="auto"/>
            </w:pPr>
            <w:r>
              <w:rPr>
                <w:rFonts w:ascii="Inter" w:hAnsi="Inter" w:cs="Inter" w:eastAsia="Inter"/>
                <w:b w:val="0"/>
                <w:i w:val="0"/>
                <w:color w:val="43506B"/>
                <w:sz w:val="17"/>
              </w:rPr>
              <w:t>Niveles y anatomía del informe</w:t>
            </w:r>
          </w:p>
        </w:tc>
        <w:tc>
          <w:tcPr>
            <w:tcW w:type="dxa" w:w="6415"/>
            <w:tcMar>
              <w:top w:w="60" w:type="dxa"/>
              <w:start w:w="100" w:type="dxa"/>
              <w:bottom w:w="60" w:type="dxa"/>
              <w:end w:w="100" w:type="dxa"/>
            </w:tcMar>
          </w:tcPr>
          <w:p>
            <w:pPr>
              <w:spacing w:after="0" w:line="276" w:lineRule="auto"/>
            </w:pPr>
            <w:r>
              <w:rPr>
                <w:rFonts w:ascii="Inter" w:hAnsi="Inter" w:cs="Inter" w:eastAsia="Inter"/>
                <w:b w:val="0"/>
                <w:i w:val="0"/>
                <w:color w:val="43506B"/>
                <w:sz w:val="17"/>
              </w:rPr>
              <w:t>Pulse · Insight · Deep Dive y las diez secciones del reporte.</w:t>
            </w:r>
          </w:p>
        </w:tc>
      </w:tr>
      <w:tr>
        <w:trPr>
          <w:cantSplit/>
        </w:trPr>
        <w:tc>
          <w:tcPr>
            <w:tcW w:type="dxa" w:w="506"/>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7"/>
              </w:rPr>
              <w:t>5</w:t>
            </w:r>
          </w:p>
        </w:tc>
        <w:tc>
          <w:tcPr>
            <w:tcW w:type="dxa" w:w="2870"/>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7"/>
              </w:rPr>
              <w:t>Capacidades transversales</w:t>
            </w:r>
          </w:p>
        </w:tc>
        <w:tc>
          <w:tcPr>
            <w:tcW w:type="dxa" w:w="641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7"/>
              </w:rPr>
              <w:t>Narrativa con guardas, alertas, Data API, research, herramientas, gate de publicación, acceso y facturación.</w:t>
            </w:r>
          </w:p>
        </w:tc>
      </w:tr>
      <w:tr>
        <w:trPr>
          <w:cantSplit/>
        </w:trPr>
        <w:tc>
          <w:tcPr>
            <w:tcW w:type="dxa" w:w="506"/>
            <w:tcMar>
              <w:top w:w="60" w:type="dxa"/>
              <w:start w:w="100" w:type="dxa"/>
              <w:bottom w:w="60" w:type="dxa"/>
              <w:end w:w="100" w:type="dxa"/>
            </w:tcMar>
          </w:tcPr>
          <w:p>
            <w:pPr>
              <w:spacing w:after="0" w:line="276" w:lineRule="auto"/>
            </w:pPr>
            <w:r>
              <w:rPr>
                <w:rFonts w:ascii="Inter" w:hAnsi="Inter" w:cs="Inter" w:eastAsia="Inter"/>
                <w:b/>
                <w:i w:val="0"/>
                <w:color w:val="0A1A3A"/>
                <w:sz w:val="17"/>
              </w:rPr>
              <w:t>6</w:t>
            </w:r>
          </w:p>
        </w:tc>
        <w:tc>
          <w:tcPr>
            <w:tcW w:type="dxa" w:w="2870"/>
            <w:tcMar>
              <w:top w:w="60" w:type="dxa"/>
              <w:start w:w="100" w:type="dxa"/>
              <w:bottom w:w="60" w:type="dxa"/>
              <w:end w:w="100" w:type="dxa"/>
            </w:tcMar>
          </w:tcPr>
          <w:p>
            <w:pPr>
              <w:spacing w:after="0" w:line="276" w:lineRule="auto"/>
            </w:pPr>
            <w:r>
              <w:rPr>
                <w:rFonts w:ascii="Inter" w:hAnsi="Inter" w:cs="Inter" w:eastAsia="Inter"/>
                <w:b w:val="0"/>
                <w:i w:val="0"/>
                <w:color w:val="43506B"/>
                <w:sz w:val="17"/>
              </w:rPr>
              <w:t>Modelo comercial</w:t>
            </w:r>
          </w:p>
        </w:tc>
        <w:tc>
          <w:tcPr>
            <w:tcW w:type="dxa" w:w="6415"/>
            <w:tcMar>
              <w:top w:w="60" w:type="dxa"/>
              <w:start w:w="100" w:type="dxa"/>
              <w:bottom w:w="60" w:type="dxa"/>
              <w:end w:w="100" w:type="dxa"/>
            </w:tcMar>
          </w:tcPr>
          <w:p>
            <w:pPr>
              <w:spacing w:after="0" w:line="276" w:lineRule="auto"/>
            </w:pPr>
            <w:r>
              <w:rPr>
                <w:rFonts w:ascii="Inter" w:hAnsi="Inter" w:cs="Inter" w:eastAsia="Inter"/>
                <w:b w:val="0"/>
                <w:i w:val="0"/>
                <w:color w:val="43506B"/>
                <w:sz w:val="17"/>
              </w:rPr>
              <w:t>SKU, tarifario propuesto, estado del cobro y el argumento de la escalera.</w:t>
            </w:r>
          </w:p>
        </w:tc>
      </w:tr>
      <w:tr>
        <w:trPr>
          <w:cantSplit/>
        </w:trPr>
        <w:tc>
          <w:tcPr>
            <w:tcW w:type="dxa" w:w="506"/>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7"/>
              </w:rPr>
              <w:t>7</w:t>
            </w:r>
          </w:p>
        </w:tc>
        <w:tc>
          <w:tcPr>
            <w:tcW w:type="dxa" w:w="2870"/>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7"/>
              </w:rPr>
              <w:t>Qué se puede afirmar y qué no</w:t>
            </w:r>
          </w:p>
        </w:tc>
        <w:tc>
          <w:tcPr>
            <w:tcW w:type="dxa" w:w="641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7"/>
              </w:rPr>
              <w:t>El filtro obligatorio de mensaje. Léalo antes de escribir una sola lámina.</w:t>
            </w:r>
          </w:p>
        </w:tc>
      </w:tr>
      <w:tr>
        <w:trPr>
          <w:cantSplit/>
        </w:trPr>
        <w:tc>
          <w:tcPr>
            <w:tcW w:type="dxa" w:w="506"/>
            <w:tcMar>
              <w:top w:w="60" w:type="dxa"/>
              <w:start w:w="100" w:type="dxa"/>
              <w:bottom w:w="60" w:type="dxa"/>
              <w:end w:w="100" w:type="dxa"/>
            </w:tcMar>
          </w:tcPr>
          <w:p>
            <w:pPr>
              <w:spacing w:after="0" w:line="276" w:lineRule="auto"/>
            </w:pPr>
            <w:r>
              <w:rPr>
                <w:rFonts w:ascii="Inter" w:hAnsi="Inter" w:cs="Inter" w:eastAsia="Inter"/>
                <w:b/>
                <w:i w:val="0"/>
                <w:color w:val="0A1A3A"/>
                <w:sz w:val="17"/>
              </w:rPr>
              <w:t>8</w:t>
            </w:r>
          </w:p>
        </w:tc>
        <w:tc>
          <w:tcPr>
            <w:tcW w:type="dxa" w:w="2870"/>
            <w:tcMar>
              <w:top w:w="60" w:type="dxa"/>
              <w:start w:w="100" w:type="dxa"/>
              <w:bottom w:w="60" w:type="dxa"/>
              <w:end w:w="100" w:type="dxa"/>
            </w:tcMar>
          </w:tcPr>
          <w:p>
            <w:pPr>
              <w:spacing w:after="0" w:line="276" w:lineRule="auto"/>
            </w:pPr>
            <w:r>
              <w:rPr>
                <w:rFonts w:ascii="Inter" w:hAnsi="Inter" w:cs="Inter" w:eastAsia="Inter"/>
                <w:b w:val="0"/>
                <w:i w:val="0"/>
                <w:color w:val="43506B"/>
                <w:sz w:val="17"/>
              </w:rPr>
              <w:t>Brief para el diseñador</w:t>
            </w:r>
          </w:p>
        </w:tc>
        <w:tc>
          <w:tcPr>
            <w:tcW w:type="dxa" w:w="6415"/>
            <w:tcMar>
              <w:top w:w="60" w:type="dxa"/>
              <w:start w:w="100" w:type="dxa"/>
              <w:bottom w:w="60" w:type="dxa"/>
              <w:end w:w="100" w:type="dxa"/>
            </w:tcMar>
          </w:tcPr>
          <w:p>
            <w:pPr>
              <w:spacing w:after="0" w:line="276" w:lineRule="auto"/>
            </w:pPr>
            <w:r>
              <w:rPr>
                <w:rFonts w:ascii="Inter" w:hAnsi="Inter" w:cs="Inter" w:eastAsia="Inter"/>
                <w:b w:val="0"/>
                <w:i w:val="0"/>
                <w:color w:val="43506B"/>
                <w:sz w:val="17"/>
              </w:rPr>
              <w:t>Encargo, guion lámina por lámina, aciertos y errores, assets y decisiones pendientes.</w:t>
            </w:r>
          </w:p>
        </w:tc>
      </w:tr>
      <w:tr>
        <w:trPr>
          <w:cantSplit/>
        </w:trPr>
        <w:tc>
          <w:tcPr>
            <w:tcW w:type="dxa" w:w="506"/>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7"/>
              </w:rPr>
              <w:t>9</w:t>
            </w:r>
          </w:p>
        </w:tc>
        <w:tc>
          <w:tcPr>
            <w:tcW w:type="dxa" w:w="2870"/>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7"/>
              </w:rPr>
              <w:t>Anexos</w:t>
            </w:r>
          </w:p>
        </w:tc>
        <w:tc>
          <w:tcPr>
            <w:tcW w:type="dxa" w:w="641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7"/>
              </w:rPr>
              <w:t>Tokens completos, vectorial del símbolo, navegación, glosario y fuentes.</w:t>
            </w:r>
          </w:p>
        </w:tc>
      </w:tr>
    </w:tbl>
    <w:p>
      <w:pPr>
        <w:spacing w:after="120" w:before="0"/>
      </w:pPr>
    </w:p>
    <w:p>
      <w:r>
        <w:br w:type="page"/>
      </w:r>
    </w:p>
    <w:p>
      <w:pPr>
        <w:spacing w:before="40" w:after="20"/>
      </w:pPr>
      <w:r>
        <w:rPr>
          <w:rFonts w:ascii="JetBrains Mono" w:hAnsi="JetBrains Mono" w:cs="JetBrains Mono" w:eastAsia="JetBrains Mono"/>
          <w:b/>
          <w:i w:val="0"/>
          <w:color w:val="1E6FFF"/>
          <w:spacing w:val="26"/>
          <w:sz w:val="15"/>
        </w:rPr>
        <w:t>§0 · INSTRUCCIONES DE HANDOFF</w:t>
      </w:r>
    </w:p>
    <w:p>
      <w:pPr>
        <w:keepNext/>
        <w:spacing w:before="0" w:after="60"/>
      </w:pPr>
      <w:r>
        <w:rPr>
          <w:rFonts w:ascii="Plus Jakarta Sans" w:hAnsi="Plus Jakarta Sans" w:cs="Plus Jakarta Sans" w:eastAsia="Plus Jakarta Sans"/>
          <w:b/>
          <w:i w:val="0"/>
          <w:color w:val="0A1A3A"/>
          <w:spacing w:val="-12"/>
          <w:sz w:val="38"/>
        </w:rPr>
        <w:t>Cómo usar este documento</w:t>
      </w:r>
    </w:p>
    <w:p>
      <w:pPr>
        <w:pBdr>
          <w:bottom w:val="single" w:sz="10" w:space="1" w:color="1E6FFF"/>
        </w:pBdr>
        <w:spacing w:before="20" w:after="200"/>
      </w:pPr>
    </w:p>
    <w:p>
      <w:pPr>
        <w:spacing w:after="120" w:before="0"/>
      </w:pPr>
      <w:r>
        <w:rPr>
          <w:rFonts w:ascii="Inter" w:hAnsi="Inter" w:cs="Inter" w:eastAsia="Inter"/>
          <w:b w:val="0"/>
          <w:i w:val="0"/>
          <w:color w:val="43506B"/>
          <w:sz w:val="19"/>
        </w:rPr>
        <w:t>El documento tiene tres capas y cada una responde a una pregunta distinta del trabajo de diseño.</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Capas 1–2 (§1–§2) · La marca. </w:t>
      </w:r>
      <w:r>
        <w:rPr>
          <w:rFonts w:ascii="Inter" w:hAnsi="Inter" w:cs="Inter" w:eastAsia="Inter"/>
          <w:b w:val="0"/>
          <w:i w:val="0"/>
          <w:color w:val="43506B"/>
          <w:sz w:val="19"/>
        </w:rPr>
        <w:t>Identidad, tokens de color claro y oscuro, tipografía, componentes y reglas duras. Es lo que se aplica; no es una propuesta abierta.</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Capas 3–6 (§3–§6) · El producto y el negocio. </w:t>
      </w:r>
      <w:r>
        <w:rPr>
          <w:rFonts w:ascii="Inter" w:hAnsi="Inter" w:cs="Inter" w:eastAsia="Inter"/>
          <w:b w:val="0"/>
          <w:i w:val="0"/>
          <w:color w:val="43506B"/>
          <w:sz w:val="19"/>
        </w:rPr>
        <w:t>Los 16 ejes del catálogo, las capacidades transversales, los tres niveles comerciales y el modelo de precios. Es la materia de las láminas.</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Capa 7 (§7) · Las restricciones de mensaje. </w:t>
      </w:r>
      <w:r>
        <w:rPr>
          <w:rFonts w:ascii="Inter" w:hAnsi="Inter" w:cs="Inter" w:eastAsia="Inter"/>
          <w:b w:val="0"/>
          <w:i w:val="0"/>
          <w:color w:val="43506B"/>
          <w:sz w:val="19"/>
        </w:rPr>
        <w:t>Qué afirmación está permitida por producto. Es un filtro obligatorio, no una sugerencia de tono.</w:t>
      </w:r>
    </w:p>
    <w:p>
      <w:pPr>
        <w:spacing w:after="120" w:before="0"/>
      </w:pPr>
    </w:p>
    <w:p>
      <w:pPr>
        <w:keepNext/>
        <w:spacing w:before="260" w:after="60"/>
      </w:pPr>
      <w:r>
        <w:rPr>
          <w:rFonts w:ascii="Plus Jakarta Sans" w:hAnsi="Plus Jakarta Sans" w:cs="Plus Jakarta Sans" w:eastAsia="Plus Jakarta Sans"/>
          <w:b/>
          <w:i w:val="0"/>
          <w:color w:val="0A1A3A"/>
          <w:spacing w:val="-8"/>
          <w:sz w:val="25"/>
        </w:rPr>
        <w:t>Tres cosas que hay que saber antes de abrir el archivo de diseño</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La marca visual ya está construida y corre en producción. </w:t>
      </w:r>
      <w:r>
        <w:rPr>
          <w:rFonts w:ascii="Inter" w:hAnsi="Inter" w:cs="Inter" w:eastAsia="Inter"/>
          <w:b w:val="0"/>
          <w:i w:val="0"/>
          <w:color w:val="43506B"/>
          <w:sz w:val="19"/>
        </w:rPr>
        <w:t>Los tokens de §2.2 son literalmente los que consume la aplicación. Reprodúzcalos con exactitud: el objetivo no es reinventar la paleta, es que la presentación y el producto se lean como la misma cosa.</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Hay dos sistemas de color vigentes, no uno. </w:t>
      </w:r>
      <w:r>
        <w:rPr>
          <w:rFonts w:ascii="Inter" w:hAnsi="Inter" w:cs="Inter" w:eastAsia="Inter"/>
          <w:b w:val="0"/>
          <w:i w:val="0"/>
          <w:color w:val="43506B"/>
          <w:sz w:val="19"/>
        </w:rPr>
        <w:t>La aplicación usa la dirección «Claro &amp; Vivo» (azul eléctrico) y el motor de informes PDF/Word usa un navy con acento rojo. §2.4 explica la divergencia y cuál es la recomendación.</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Las cifras de validación NO se copian de este documento. </w:t>
      </w:r>
      <w:r>
        <w:rPr>
          <w:rFonts w:ascii="Inter" w:hAnsi="Inter" w:cs="Inter" w:eastAsia="Inter"/>
          <w:b w:val="0"/>
          <w:i w:val="0"/>
          <w:color w:val="43506B"/>
          <w:sz w:val="19"/>
        </w:rPr>
        <w:t>No hay ninguna: son la única clase de dato que se lee en vivo de la plataforma. §7.4 dice exactamente de dónde y por qué.</w:t>
      </w:r>
    </w:p>
    <w:p>
      <w:pPr>
        <w:spacing w:after="120" w:before="0"/>
      </w:pPr>
    </w:p>
    <w:tbl>
      <w:tblPr>
        <w:tblW w:type="auto" w:w="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72"/>
        <w:gridCol w:w="9720"/>
      </w:tblGrid>
      <w:tr>
        <w:trPr>
          <w:cantSplit/>
        </w:trPr>
        <w:tc>
          <w:tcPr>
            <w:tcW w:type="dxa" w:w="72"/>
            <w:shd w:val="clear" w:color="auto" w:fill="0F7E7E"/>
            <w:tcMar>
              <w:top w:w="0" w:type="dxa"/>
              <w:start w:w="0" w:type="dxa"/>
              <w:bottom w:w="0" w:type="dxa"/>
              <w:end w:w="0" w:type="dxa"/>
            </w:tcMar>
          </w:tcPr>
          <w:p>
            <w:pPr>
              <w:spacing w:after="0"/>
            </w:pPr>
          </w:p>
        </w:tc>
        <w:tc>
          <w:tcPr>
            <w:tcW w:type="dxa" w:w="9720"/>
            <w:shd w:val="clear" w:color="auto" w:fill="E3F2F2"/>
            <w:tcMar>
              <w:top w:w="120" w:type="dxa"/>
              <w:start w:w="160" w:type="dxa"/>
              <w:bottom w:w="120" w:type="dxa"/>
              <w:end w:w="160" w:type="dxa"/>
            </w:tcMar>
          </w:tcPr>
          <w:p>
            <w:pPr>
              <w:spacing w:after="40"/>
            </w:pPr>
            <w:r>
              <w:rPr>
                <w:rFonts w:ascii="JetBrains Mono" w:hAnsi="JetBrains Mono" w:cs="JetBrains Mono" w:eastAsia="JetBrains Mono"/>
                <w:b/>
                <w:i w:val="0"/>
                <w:color w:val="0F7E7E"/>
                <w:spacing w:val="24"/>
                <w:sz w:val="15"/>
              </w:rPr>
              <w:t>CONVENCIÓN DE NOMBRE</w:t>
            </w:r>
          </w:p>
          <w:p>
            <w:pPr>
              <w:spacing w:after="0"/>
            </w:pPr>
            <w:r>
              <w:rPr>
                <w:rFonts w:ascii="Inter" w:hAnsi="Inter" w:cs="Inter" w:eastAsia="Inter"/>
                <w:b w:val="0"/>
                <w:i w:val="0"/>
                <w:color w:val="0A1A3A"/>
                <w:sz w:val="19"/>
              </w:rPr>
              <w:t>La marca se escribe «SDQ·MIP» con punto medio (U+00B7), nunca «SDQMIP» ni «SDQ MIP». En el logotipo, «SDQ» va en tinta y «·MIP» en gris apagado. El nombre extendido es «SDQ Market Intelligence Platform»; el emisor es SDQ Consulting.</w:t>
            </w:r>
          </w:p>
        </w:tc>
      </w:tr>
    </w:tbl>
    <w:p>
      <w:pPr>
        <w:spacing w:after="80" w:before="0"/>
      </w:pPr>
    </w:p>
    <w:p>
      <w:r>
        <w:br w:type="page"/>
      </w:r>
    </w:p>
    <w:p>
      <w:pPr>
        <w:spacing w:before="40" w:after="20"/>
      </w:pPr>
      <w:r>
        <w:rPr>
          <w:rFonts w:ascii="JetBrains Mono" w:hAnsi="JetBrains Mono" w:cs="JetBrains Mono" w:eastAsia="JetBrains Mono"/>
          <w:b/>
          <w:i w:val="0"/>
          <w:color w:val="1E6FFF"/>
          <w:spacing w:val="26"/>
          <w:sz w:val="15"/>
        </w:rPr>
        <w:t>§1 · POSICIONAMIENTO</w:t>
      </w:r>
    </w:p>
    <w:p>
      <w:pPr>
        <w:keepNext/>
        <w:spacing w:before="0" w:after="60"/>
      </w:pPr>
      <w:r>
        <w:rPr>
          <w:rFonts w:ascii="Plus Jakarta Sans" w:hAnsi="Plus Jakarta Sans" w:cs="Plus Jakarta Sans" w:eastAsia="Plus Jakarta Sans"/>
          <w:b/>
          <w:i w:val="0"/>
          <w:color w:val="0A1A3A"/>
          <w:spacing w:val="-12"/>
          <w:sz w:val="38"/>
        </w:rPr>
        <w:t>Qué es SDQ·MIP</w:t>
      </w:r>
    </w:p>
    <w:p>
      <w:pPr>
        <w:pBdr>
          <w:bottom w:val="single" w:sz="10" w:space="1" w:color="1E6FFF"/>
        </w:pBdr>
        <w:spacing w:before="20" w:after="200"/>
      </w:pPr>
    </w:p>
    <w:tbl>
      <w:tblPr>
        <w:tblW w:type="auto" w:w="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72"/>
        <w:gridCol w:w="9720"/>
      </w:tblGrid>
      <w:tr>
        <w:trPr>
          <w:cantSplit/>
        </w:trPr>
        <w:tc>
          <w:tcPr>
            <w:tcW w:type="dxa" w:w="72"/>
            <w:shd w:val="clear" w:color="auto" w:fill="1E6FFF"/>
            <w:tcMar>
              <w:top w:w="0" w:type="dxa"/>
              <w:start w:w="0" w:type="dxa"/>
              <w:bottom w:w="0" w:type="dxa"/>
              <w:end w:w="0" w:type="dxa"/>
            </w:tcMar>
          </w:tcPr>
          <w:p>
            <w:pPr>
              <w:spacing w:after="0"/>
            </w:pPr>
          </w:p>
        </w:tc>
        <w:tc>
          <w:tcPr>
            <w:tcW w:type="dxa" w:w="9720"/>
            <w:shd w:val="clear" w:color="auto" w:fill="EAF1FF"/>
            <w:tcMar>
              <w:top w:w="120" w:type="dxa"/>
              <w:start w:w="160" w:type="dxa"/>
              <w:bottom w:w="120" w:type="dxa"/>
              <w:end w:w="160" w:type="dxa"/>
            </w:tcMar>
          </w:tcPr>
          <w:p>
            <w:pPr>
              <w:spacing w:after="40"/>
            </w:pPr>
            <w:r>
              <w:rPr>
                <w:rFonts w:ascii="JetBrains Mono" w:hAnsi="JetBrains Mono" w:cs="JetBrains Mono" w:eastAsia="JetBrains Mono"/>
                <w:b/>
                <w:i w:val="0"/>
                <w:color w:val="1551C0"/>
                <w:spacing w:val="24"/>
                <w:sz w:val="15"/>
              </w:rPr>
              <w:t>LA FRASE DE UNA SOLA LÍNEA</w:t>
            </w:r>
          </w:p>
          <w:p>
            <w:pPr>
              <w:spacing w:after="0"/>
            </w:pPr>
            <w:r>
              <w:rPr>
                <w:rFonts w:ascii="Inter" w:hAnsi="Inter" w:cs="Inter" w:eastAsia="Inter"/>
                <w:b w:val="0"/>
                <w:i w:val="0"/>
                <w:color w:val="0A1A3A"/>
                <w:sz w:val="19"/>
              </w:rPr>
              <w:t>SDQ·MIP es la plataforma de inteligencia de mercado de la República Dominicana y el Caribe: dieciséis ejes de análisis construidos sobre la fuente oficial de cada sector, donde toda cifra publicada declara si es dato medido, criterio de la casa o brecha — y se puede auditar hasta su origen.</w:t>
            </w:r>
          </w:p>
        </w:tc>
      </w:tr>
    </w:tbl>
    <w:p>
      <w:pPr>
        <w:spacing w:after="80" w:before="0"/>
      </w:pPr>
    </w:p>
    <w:p>
      <w:pPr>
        <w:keepNext/>
        <w:spacing w:before="260" w:after="60"/>
      </w:pPr>
      <w:r>
        <w:rPr>
          <w:rFonts w:ascii="Plus Jakarta Sans" w:hAnsi="Plus Jakarta Sans" w:cs="Plus Jakarta Sans" w:eastAsia="Plus Jakarta Sans"/>
          <w:b/>
          <w:i w:val="0"/>
          <w:color w:val="0A1A3A"/>
          <w:spacing w:val="-8"/>
          <w:sz w:val="25"/>
        </w:rPr>
        <w:t>1.1 El problema de mercado</w:t>
      </w:r>
    </w:p>
    <w:p>
      <w:pPr>
        <w:spacing w:after="120" w:before="0"/>
      </w:pPr>
      <w:r>
        <w:rPr>
          <w:rFonts w:ascii="Inter" w:hAnsi="Inter" w:cs="Inter" w:eastAsia="Inter"/>
          <w:b w:val="0"/>
          <w:i w:val="0"/>
          <w:color w:val="43506B"/>
          <w:sz w:val="19"/>
        </w:rPr>
        <w:t>En República Dominicana el dato existe —la SIB, el BCRD, la SIPEN, la Superintendencia de Seguros, la DGA, la ONE y el MEPyD publican— pero está fragmentado en PDF, Excel y boletines con criterios distintos, ninguna serie normalizada y ninguna lectura comparable entre períodos. Quien necesita decidir —un comité de crédito, un fondo, un gremio, un multilateral, un regulador— paga a un consultor para que reconstruya a mano lo que ya es público, y recibe un informe que no se puede auditar y que envejece el día que se entrega.</w:t>
      </w:r>
    </w:p>
    <w:p>
      <w:pPr>
        <w:keepNext/>
        <w:spacing w:before="260" w:after="60"/>
      </w:pPr>
      <w:r>
        <w:rPr>
          <w:rFonts w:ascii="Plus Jakarta Sans" w:hAnsi="Plus Jakarta Sans" w:cs="Plus Jakarta Sans" w:eastAsia="Plus Jakarta Sans"/>
          <w:b/>
          <w:i w:val="0"/>
          <w:color w:val="0A1A3A"/>
          <w:spacing w:val="-8"/>
          <w:sz w:val="25"/>
        </w:rPr>
        <w:t>1.2 El foso: procedencia auditable</w:t>
      </w:r>
    </w:p>
    <w:p>
      <w:pPr>
        <w:spacing w:after="120" w:before="0"/>
      </w:pPr>
      <w:r>
        <w:rPr>
          <w:rFonts w:ascii="Inter" w:hAnsi="Inter" w:cs="Inter" w:eastAsia="Inter"/>
          <w:b w:val="0"/>
          <w:i w:val="0"/>
          <w:color w:val="43506B"/>
          <w:sz w:val="19"/>
        </w:rPr>
        <w:t>El diferenciador de SDQ·MIP no es tener el dato. Es tener el dato con su procedencia declarada a nivel de variable, y una plataforma que se niega a publicar lo que no puede sostener. Cuatro reglas lo hacen operativo:</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Se declara la brecha, nunca se rellena. </w:t>
      </w:r>
      <w:r>
        <w:rPr>
          <w:rFonts w:ascii="Inter" w:hAnsi="Inter" w:cs="Inter" w:eastAsia="Inter"/>
          <w:b w:val="0"/>
          <w:i w:val="0"/>
          <w:color w:val="43506B"/>
          <w:sz w:val="19"/>
        </w:rPr>
        <w:t>Un dato ausente es ausencia, jamás un cero ni un promedio. Y si una métrica existe pero no mide lo que el eje afirma medir para esa entidad, tampoco se publica: se declara el motivo.</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Las relaciones se computan, no se narran. </w:t>
      </w:r>
      <w:r>
        <w:rPr>
          <w:rFonts w:ascii="Inter" w:hAnsi="Inter" w:cs="Inter" w:eastAsia="Inter"/>
          <w:b w:val="0"/>
          <w:i w:val="0"/>
          <w:color w:val="43506B"/>
          <w:sz w:val="19"/>
        </w:rPr>
        <w:t>Dirección, superlativos, deltas, rankings y posiciones se calculan en código; el modelo de lenguaje los copia. Un modelo acierta las cifras y falla las relaciones.</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Solo se ordena lo comparable. </w:t>
      </w:r>
      <w:r>
        <w:rPr>
          <w:rFonts w:ascii="Inter" w:hAnsi="Inter" w:cs="Inter" w:eastAsia="Inter"/>
          <w:b w:val="0"/>
          <w:i w:val="0"/>
          <w:color w:val="43506B"/>
          <w:sz w:val="19"/>
        </w:rPr>
        <w:t>Un score armado sobre 3 de 5 dimensiones no rankea contra uno de 5. Los parciales no se ocultan —eso los haría desaparecer sin aviso—: van aparte y marcados.</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La frescura veta. </w:t>
      </w:r>
      <w:r>
        <w:rPr>
          <w:rFonts w:ascii="Inter" w:hAnsi="Inter" w:cs="Inter" w:eastAsia="Inter"/>
          <w:b w:val="0"/>
          <w:i w:val="0"/>
          <w:color w:val="43506B"/>
          <w:sz w:val="19"/>
        </w:rPr>
        <w:t>Una credencial de validación cuyo insumo cambió después del cálculo no se publica; y una cuya frescura es indeterminada, tampoco. «No sé de cuándo es» y «está al día» son cosas distintas.</w:t>
      </w:r>
    </w:p>
    <w:p>
      <w:pPr>
        <w:spacing w:after="120" w:before="0"/>
      </w:pPr>
    </w:p>
    <w:p>
      <w:pPr>
        <w:spacing w:after="120" w:before="0"/>
      </w:pPr>
      <w:r>
        <w:rPr>
          <w:rFonts w:ascii="Inter" w:hAnsi="Inter" w:cs="Inter" w:eastAsia="Inter"/>
          <w:b/>
          <w:i w:val="0"/>
          <w:color w:val="0A1A3A"/>
          <w:sz w:val="19"/>
        </w:rPr>
        <w:t xml:space="preserve">Por qué esto vende. </w:t>
      </w:r>
      <w:r>
        <w:rPr>
          <w:rFonts w:ascii="Inter" w:hAnsi="Inter" w:cs="Inter" w:eastAsia="Inter"/>
          <w:b w:val="0"/>
          <w:i w:val="0"/>
          <w:color w:val="43506B"/>
          <w:sz w:val="19"/>
        </w:rPr>
        <w:t>Un comprador institucional puede auditar. El mayor riesgo reputacional de una casa de inteligencia es la brecha entre lo que el material promete y lo que el producto sostiene. SDQ·MIP convierte esa exposición en el argumento: si el comprador pregunta «¿esto es dato o criterio?», la respuesta existe a nivel de variable y está rotulada en la interfaz, en el informe y en la API.</w:t>
      </w:r>
    </w:p>
    <w:p>
      <w:pPr>
        <w:keepNext/>
        <w:spacing w:before="260" w:after="60"/>
      </w:pPr>
      <w:r>
        <w:rPr>
          <w:rFonts w:ascii="Plus Jakarta Sans" w:hAnsi="Plus Jakarta Sans" w:cs="Plus Jakarta Sans" w:eastAsia="Plus Jakarta Sans"/>
          <w:b/>
          <w:i w:val="0"/>
          <w:color w:val="0A1A3A"/>
          <w:spacing w:val="-8"/>
          <w:sz w:val="25"/>
        </w:rPr>
        <w:t>1.3 A quién se le vende</w:t>
      </w:r>
    </w:p>
    <w:tbl>
      <w:tblPr>
        <w:tblW w:type="auto" w:w="0"/>
        <w:jc w:val="left"/>
        <w:tblBorders>
          <w:top w:val="single" w:sz="4" w:space="0" w:color="E7ECF3"/>
          <w:left w:val="single" w:sz="4" w:space="0" w:color="E7ECF3"/>
          <w:bottom w:val="single" w:sz="4" w:space="0" w:color="E7ECF3"/>
          <w:right w:val="single" w:sz="4" w:space="0" w:color="E7ECF3"/>
          <w:insideH w:val="single" w:sz="4" w:space="0" w:color="E7ECF3"/>
          <w:insideV w:val="single" w:sz="4" w:space="0" w:color="E7ECF3"/>
        </w:tblBorders>
        <w:tblLayout w:type="fixed"/>
        <w:tblLook w:firstColumn="1" w:firstRow="1" w:lastColumn="0" w:lastRow="0" w:noHBand="0" w:noVBand="1" w:val="04A0"/>
      </w:tblPr>
      <w:tblGrid>
        <w:gridCol w:w="2532"/>
        <w:gridCol w:w="5402"/>
        <w:gridCol w:w="1857"/>
      </w:tblGrid>
      <w:tr>
        <w:trPr>
          <w:tblHeader/>
        </w:trPr>
        <w:tc>
          <w:tcPr>
            <w:tcW w:type="dxa" w:w="2532"/>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AUDIENCIA</w:t>
            </w:r>
          </w:p>
        </w:tc>
        <w:tc>
          <w:tcPr>
            <w:tcW w:type="dxa" w:w="5402"/>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QUÉ COMPRA</w:t>
            </w:r>
          </w:p>
        </w:tc>
        <w:tc>
          <w:tcPr>
            <w:tcW w:type="dxa" w:w="1857"/>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NIVEL TÍPICO</w:t>
            </w:r>
          </w:p>
        </w:tc>
      </w:tr>
      <w:tr>
        <w:trPr>
          <w:cantSplit/>
        </w:trPr>
        <w:tc>
          <w:tcPr>
            <w:tcW w:type="dxa" w:w="2532"/>
            <w:tcMar>
              <w:top w:w="60" w:type="dxa"/>
              <w:start w:w="100" w:type="dxa"/>
              <w:bottom w:w="60" w:type="dxa"/>
              <w:end w:w="100" w:type="dxa"/>
            </w:tcMar>
          </w:tcPr>
          <w:p>
            <w:pPr>
              <w:spacing w:after="0" w:line="276" w:lineRule="auto"/>
            </w:pPr>
            <w:r>
              <w:rPr>
                <w:rFonts w:ascii="Inter" w:hAnsi="Inter" w:cs="Inter" w:eastAsia="Inter"/>
                <w:b/>
                <w:i w:val="0"/>
                <w:color w:val="0A1A3A"/>
                <w:sz w:val="16"/>
              </w:rPr>
              <w:t>Bancos y entidades financieras</w:t>
            </w:r>
          </w:p>
        </w:tc>
        <w:tc>
          <w:tcPr>
            <w:tcW w:type="dxa" w:w="5402"/>
            <w:tcMar>
              <w:top w:w="60" w:type="dxa"/>
              <w:start w:w="100" w:type="dxa"/>
              <w:bottom w:w="60" w:type="dxa"/>
              <w:end w:w="100" w:type="dxa"/>
            </w:tcMar>
          </w:tcPr>
          <w:p>
            <w:pPr>
              <w:spacing w:after="0" w:line="276" w:lineRule="auto"/>
            </w:pPr>
            <w:r>
              <w:rPr>
                <w:rFonts w:ascii="Inter" w:hAnsi="Inter" w:cs="Inter" w:eastAsia="Inter"/>
                <w:b w:val="0"/>
                <w:i w:val="0"/>
                <w:color w:val="43506B"/>
                <w:sz w:val="16"/>
              </w:rPr>
              <w:t>Posición propia y de pares en el panel supervisado; alerta temprana; insumo para comité de riesgo.</w:t>
            </w:r>
          </w:p>
        </w:tc>
        <w:tc>
          <w:tcPr>
            <w:tcW w:type="dxa" w:w="1857"/>
            <w:tcMar>
              <w:top w:w="60" w:type="dxa"/>
              <w:start w:w="100" w:type="dxa"/>
              <w:bottom w:w="60" w:type="dxa"/>
              <w:end w:w="100" w:type="dxa"/>
            </w:tcMar>
          </w:tcPr>
          <w:p>
            <w:pPr>
              <w:spacing w:after="0" w:line="276" w:lineRule="auto"/>
            </w:pPr>
            <w:r>
              <w:rPr>
                <w:rFonts w:ascii="Inter" w:hAnsi="Inter" w:cs="Inter" w:eastAsia="Inter"/>
                <w:b w:val="0"/>
                <w:i w:val="0"/>
                <w:color w:val="43506B"/>
                <w:sz w:val="16"/>
              </w:rPr>
              <w:t>Insight · Enterprise</w:t>
            </w:r>
          </w:p>
        </w:tc>
      </w:tr>
      <w:tr>
        <w:trPr>
          <w:cantSplit/>
        </w:trPr>
        <w:tc>
          <w:tcPr>
            <w:tcW w:type="dxa" w:w="2532"/>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Fondos, inversionistas y family offices</w:t>
            </w:r>
          </w:p>
        </w:tc>
        <w:tc>
          <w:tcPr>
            <w:tcW w:type="dxa" w:w="540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Riesgo país, atractivo sectorial, resiliencia comercial y climática; due diligence de entrada.</w:t>
            </w:r>
          </w:p>
        </w:tc>
        <w:tc>
          <w:tcPr>
            <w:tcW w:type="dxa" w:w="1857"/>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Insight · Deep Dive</w:t>
            </w:r>
          </w:p>
        </w:tc>
      </w:tr>
      <w:tr>
        <w:trPr>
          <w:cantSplit/>
        </w:trPr>
        <w:tc>
          <w:tcPr>
            <w:tcW w:type="dxa" w:w="2532"/>
            <w:tcMar>
              <w:top w:w="60" w:type="dxa"/>
              <w:start w:w="100" w:type="dxa"/>
              <w:bottom w:w="60" w:type="dxa"/>
              <w:end w:w="100" w:type="dxa"/>
            </w:tcMar>
          </w:tcPr>
          <w:p>
            <w:pPr>
              <w:spacing w:after="0" w:line="276" w:lineRule="auto"/>
            </w:pPr>
            <w:r>
              <w:rPr>
                <w:rFonts w:ascii="Inter" w:hAnsi="Inter" w:cs="Inter" w:eastAsia="Inter"/>
                <w:b/>
                <w:i w:val="0"/>
                <w:color w:val="0A1A3A"/>
                <w:sz w:val="16"/>
              </w:rPr>
              <w:t>Gremios y asociaciones sectoriales</w:t>
            </w:r>
          </w:p>
        </w:tc>
        <w:tc>
          <w:tcPr>
            <w:tcW w:type="dxa" w:w="5402"/>
            <w:tcMar>
              <w:top w:w="60" w:type="dxa"/>
              <w:start w:w="100" w:type="dxa"/>
              <w:bottom w:w="60" w:type="dxa"/>
              <w:end w:w="100" w:type="dxa"/>
            </w:tcMar>
          </w:tcPr>
          <w:p>
            <w:pPr>
              <w:spacing w:after="0" w:line="276" w:lineRule="auto"/>
            </w:pPr>
            <w:r>
              <w:rPr>
                <w:rFonts w:ascii="Inter" w:hAnsi="Inter" w:cs="Inter" w:eastAsia="Inter"/>
                <w:b w:val="0"/>
                <w:i w:val="0"/>
                <w:color w:val="43506B"/>
                <w:sz w:val="16"/>
              </w:rPr>
              <w:t>Pulso del sistema sin nombrar entidades; posicionamiento del sector ante el Estado y la prensa.</w:t>
            </w:r>
          </w:p>
        </w:tc>
        <w:tc>
          <w:tcPr>
            <w:tcW w:type="dxa" w:w="1857"/>
            <w:tcMar>
              <w:top w:w="60" w:type="dxa"/>
              <w:start w:w="100" w:type="dxa"/>
              <w:bottom w:w="60" w:type="dxa"/>
              <w:end w:w="100" w:type="dxa"/>
            </w:tcMar>
          </w:tcPr>
          <w:p>
            <w:pPr>
              <w:spacing w:after="0" w:line="276" w:lineRule="auto"/>
            </w:pPr>
            <w:r>
              <w:rPr>
                <w:rFonts w:ascii="Inter" w:hAnsi="Inter" w:cs="Inter" w:eastAsia="Inter"/>
                <w:b w:val="0"/>
                <w:i w:val="0"/>
                <w:color w:val="43506B"/>
                <w:sz w:val="16"/>
              </w:rPr>
              <w:t>Pulse · Insight</w:t>
            </w:r>
          </w:p>
        </w:tc>
      </w:tr>
      <w:tr>
        <w:trPr>
          <w:cantSplit/>
        </w:trPr>
        <w:tc>
          <w:tcPr>
            <w:tcW w:type="dxa" w:w="2532"/>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Multilaterales y cooperación</w:t>
            </w:r>
          </w:p>
        </w:tc>
        <w:tc>
          <w:tcPr>
            <w:tcW w:type="dxa" w:w="540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Desarrollo social sub-nacional, ESG y clima, evaluación de cumplimiento de instrumentos normativos.</w:t>
            </w:r>
          </w:p>
        </w:tc>
        <w:tc>
          <w:tcPr>
            <w:tcW w:type="dxa" w:w="1857"/>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Deep Dive · Research</w:t>
            </w:r>
          </w:p>
        </w:tc>
      </w:tr>
      <w:tr>
        <w:trPr>
          <w:cantSplit/>
        </w:trPr>
        <w:tc>
          <w:tcPr>
            <w:tcW w:type="dxa" w:w="2532"/>
            <w:tcMar>
              <w:top w:w="60" w:type="dxa"/>
              <w:start w:w="100" w:type="dxa"/>
              <w:bottom w:w="60" w:type="dxa"/>
              <w:end w:w="100" w:type="dxa"/>
            </w:tcMar>
          </w:tcPr>
          <w:p>
            <w:pPr>
              <w:spacing w:after="0" w:line="276" w:lineRule="auto"/>
            </w:pPr>
            <w:r>
              <w:rPr>
                <w:rFonts w:ascii="Inter" w:hAnsi="Inter" w:cs="Inter" w:eastAsia="Inter"/>
                <w:b/>
                <w:i w:val="0"/>
                <w:color w:val="0A1A3A"/>
                <w:sz w:val="16"/>
              </w:rPr>
              <w:t>Estado, reguladores y comisiones legislativas</w:t>
            </w:r>
          </w:p>
        </w:tc>
        <w:tc>
          <w:tcPr>
            <w:tcW w:type="dxa" w:w="5402"/>
            <w:tcMar>
              <w:top w:w="60" w:type="dxa"/>
              <w:start w:w="100" w:type="dxa"/>
              <w:bottom w:w="60" w:type="dxa"/>
              <w:end w:w="100" w:type="dxa"/>
            </w:tcMar>
          </w:tcPr>
          <w:p>
            <w:pPr>
              <w:spacing w:after="0" w:line="276" w:lineRule="auto"/>
            </w:pPr>
            <w:r>
              <w:rPr>
                <w:rFonts w:ascii="Inter" w:hAnsi="Inter" w:cs="Inter" w:eastAsia="Inter"/>
                <w:b w:val="0"/>
                <w:i w:val="0"/>
                <w:color w:val="43506B"/>
                <w:sz w:val="16"/>
              </w:rPr>
              <w:t>Evaluación de leyes contra las metas que ellas mismas fijaron; estructura de la economía.</w:t>
            </w:r>
          </w:p>
        </w:tc>
        <w:tc>
          <w:tcPr>
            <w:tcW w:type="dxa" w:w="1857"/>
            <w:tcMar>
              <w:top w:w="60" w:type="dxa"/>
              <w:start w:w="100" w:type="dxa"/>
              <w:bottom w:w="60" w:type="dxa"/>
              <w:end w:w="100" w:type="dxa"/>
            </w:tcMar>
          </w:tcPr>
          <w:p>
            <w:pPr>
              <w:spacing w:after="0" w:line="276" w:lineRule="auto"/>
            </w:pPr>
            <w:r>
              <w:rPr>
                <w:rFonts w:ascii="Inter" w:hAnsi="Inter" w:cs="Inter" w:eastAsia="Inter"/>
                <w:b w:val="0"/>
                <w:i w:val="0"/>
                <w:color w:val="43506B"/>
                <w:sz w:val="16"/>
              </w:rPr>
              <w:t>Deep Dive · Research</w:t>
            </w:r>
          </w:p>
        </w:tc>
      </w:tr>
      <w:tr>
        <w:trPr>
          <w:cantSplit/>
        </w:trPr>
        <w:tc>
          <w:tcPr>
            <w:tcW w:type="dxa" w:w="2532"/>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Empresas y corporativos</w:t>
            </w:r>
          </w:p>
        </w:tc>
        <w:tc>
          <w:tcPr>
            <w:tcW w:type="dxa" w:w="540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Contexto de marca y categoría, escenarios, Deal Scoring de una operación concreta.</w:t>
            </w:r>
          </w:p>
        </w:tc>
        <w:tc>
          <w:tcPr>
            <w:tcW w:type="dxa" w:w="1857"/>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Insight · herramientas</w:t>
            </w:r>
          </w:p>
        </w:tc>
      </w:tr>
      <w:tr>
        <w:trPr>
          <w:cantSplit/>
        </w:trPr>
        <w:tc>
          <w:tcPr>
            <w:tcW w:type="dxa" w:w="2532"/>
            <w:tcMar>
              <w:top w:w="60" w:type="dxa"/>
              <w:start w:w="100" w:type="dxa"/>
              <w:bottom w:w="60" w:type="dxa"/>
              <w:end w:w="100" w:type="dxa"/>
            </w:tcMar>
          </w:tcPr>
          <w:p>
            <w:pPr>
              <w:spacing w:after="0" w:line="276" w:lineRule="auto"/>
            </w:pPr>
            <w:r>
              <w:rPr>
                <w:rFonts w:ascii="Inter" w:hAnsi="Inter" w:cs="Inter" w:eastAsia="Inter"/>
                <w:b/>
                <w:i w:val="0"/>
                <w:color w:val="0A1A3A"/>
                <w:sz w:val="16"/>
              </w:rPr>
              <w:t>Prensa económica y academia</w:t>
            </w:r>
          </w:p>
        </w:tc>
        <w:tc>
          <w:tcPr>
            <w:tcW w:type="dxa" w:w="5402"/>
            <w:tcMar>
              <w:top w:w="60" w:type="dxa"/>
              <w:start w:w="100" w:type="dxa"/>
              <w:bottom w:w="60" w:type="dxa"/>
              <w:end w:w="100" w:type="dxa"/>
            </w:tcMar>
          </w:tcPr>
          <w:p>
            <w:pPr>
              <w:spacing w:after="0" w:line="276" w:lineRule="auto"/>
            </w:pPr>
            <w:r>
              <w:rPr>
                <w:rFonts w:ascii="Inter" w:hAnsi="Inter" w:cs="Inter" w:eastAsia="Inter"/>
                <w:b w:val="0"/>
                <w:i w:val="0"/>
                <w:color w:val="43506B"/>
                <w:sz w:val="16"/>
              </w:rPr>
              <w:t>Pulse abierto: bandas y tendencias del sistema, sin entidades nombradas.</w:t>
            </w:r>
          </w:p>
        </w:tc>
        <w:tc>
          <w:tcPr>
            <w:tcW w:type="dxa" w:w="1857"/>
            <w:tcMar>
              <w:top w:w="60" w:type="dxa"/>
              <w:start w:w="100" w:type="dxa"/>
              <w:bottom w:w="60" w:type="dxa"/>
              <w:end w:w="100" w:type="dxa"/>
            </w:tcMar>
          </w:tcPr>
          <w:p>
            <w:pPr>
              <w:spacing w:after="0" w:line="276" w:lineRule="auto"/>
            </w:pPr>
            <w:r>
              <w:rPr>
                <w:rFonts w:ascii="Inter" w:hAnsi="Inter" w:cs="Inter" w:eastAsia="Inter"/>
                <w:b w:val="0"/>
                <w:i w:val="0"/>
                <w:color w:val="43506B"/>
                <w:sz w:val="16"/>
              </w:rPr>
              <w:t>Pulse</w:t>
            </w:r>
          </w:p>
        </w:tc>
      </w:tr>
    </w:tbl>
    <w:p>
      <w:pPr>
        <w:spacing w:after="120" w:before="0"/>
      </w:pPr>
    </w:p>
    <w:p>
      <w:pPr>
        <w:keepNext/>
        <w:spacing w:before="260" w:after="60"/>
      </w:pPr>
      <w:r>
        <w:rPr>
          <w:rFonts w:ascii="Plus Jakarta Sans" w:hAnsi="Plus Jakarta Sans" w:cs="Plus Jakarta Sans" w:eastAsia="Plus Jakarta Sans"/>
          <w:b/>
          <w:i w:val="0"/>
          <w:color w:val="0A1A3A"/>
          <w:spacing w:val="-8"/>
          <w:sz w:val="25"/>
        </w:rPr>
        <w:t>1.4 La arquitectura, en una lámina</w:t>
      </w:r>
    </w:p>
    <w:p>
      <w:pPr>
        <w:spacing w:before="80" w:after="40"/>
        <w:jc w:val="center"/>
      </w:pPr>
      <w:r>
        <w:drawing>
          <wp:inline xmlns:a="http://schemas.openxmlformats.org/drawingml/2006/main" xmlns:pic="http://schemas.openxmlformats.org/drawingml/2006/picture">
            <wp:extent cx="6217920" cy="2709236"/>
            <wp:docPr id="2" name="Picture 2"/>
            <wp:cNvGraphicFramePr>
              <a:graphicFrameLocks noChangeAspect="1"/>
            </wp:cNvGraphicFramePr>
            <a:graphic>
              <a:graphicData uri="http://schemas.openxmlformats.org/drawingml/2006/picture">
                <pic:pic>
                  <pic:nvPicPr>
                    <pic:cNvPr id="0" name="arch.png"/>
                    <pic:cNvPicPr/>
                  </pic:nvPicPr>
                  <pic:blipFill>
                    <a:blip r:embed="rId12"/>
                    <a:stretch>
                      <a:fillRect/>
                    </a:stretch>
                  </pic:blipFill>
                  <pic:spPr>
                    <a:xfrm>
                      <a:off x="0" y="0"/>
                      <a:ext cx="6217920" cy="2709236"/>
                    </a:xfrm>
                    <a:prstGeom prst="rect"/>
                  </pic:spPr>
                </pic:pic>
              </a:graphicData>
            </a:graphic>
          </wp:inline>
        </w:drawing>
      </w:r>
    </w:p>
    <w:p>
      <w:pPr>
        <w:spacing w:after="200"/>
        <w:jc w:val="center"/>
      </w:pPr>
      <w:r>
        <w:rPr>
          <w:rFonts w:ascii="Inter" w:hAnsi="Inter" w:cs="Inter" w:eastAsia="Inter"/>
          <w:b w:val="0"/>
          <w:i/>
          <w:color w:val="76829C"/>
          <w:sz w:val="15"/>
        </w:rPr>
        <w:t>Figura 1 — De la fuente oficial al artefacto vendible. Cada capa es auditable hacia atrás: toda cifra publicada rastrea hasta su conector, su peso de doctrina y su estado de validación.</w:t>
      </w:r>
    </w:p>
    <w:p>
      <w:r>
        <w:br w:type="page"/>
      </w:r>
    </w:p>
    <w:p>
      <w:pPr>
        <w:spacing w:before="40" w:after="20"/>
      </w:pPr>
      <w:r>
        <w:rPr>
          <w:rFonts w:ascii="JetBrains Mono" w:hAnsi="JetBrains Mono" w:cs="JetBrains Mono" w:eastAsia="JetBrains Mono"/>
          <w:b/>
          <w:i w:val="0"/>
          <w:color w:val="1E6FFF"/>
          <w:spacing w:val="26"/>
          <w:sz w:val="15"/>
        </w:rPr>
        <w:t>§2 · SISTEMA DE IDENTIDAD Y DISEÑO</w:t>
      </w:r>
    </w:p>
    <w:p>
      <w:pPr>
        <w:keepNext/>
        <w:spacing w:before="0" w:after="60"/>
      </w:pPr>
      <w:r>
        <w:rPr>
          <w:rFonts w:ascii="Plus Jakarta Sans" w:hAnsi="Plus Jakarta Sans" w:cs="Plus Jakarta Sans" w:eastAsia="Plus Jakarta Sans"/>
          <w:b/>
          <w:i w:val="0"/>
          <w:color w:val="0A1A3A"/>
          <w:spacing w:val="-12"/>
          <w:sz w:val="38"/>
        </w:rPr>
        <w:t>La marca</w:t>
      </w:r>
    </w:p>
    <w:p>
      <w:pPr>
        <w:pBdr>
          <w:bottom w:val="single" w:sz="10" w:space="1" w:color="1E6FFF"/>
        </w:pBdr>
        <w:spacing w:before="20" w:after="200"/>
      </w:pPr>
    </w:p>
    <w:p>
      <w:pPr>
        <w:spacing w:after="120" w:before="0"/>
      </w:pPr>
      <w:r>
        <w:rPr>
          <w:rFonts w:ascii="Inter" w:hAnsi="Inter" w:cs="Inter" w:eastAsia="Inter"/>
          <w:b w:val="0"/>
          <w:i w:val="0"/>
          <w:color w:val="43506B"/>
          <w:sz w:val="19"/>
        </w:rPr>
        <w:t>La dirección visual aprobada se llama «Claro &amp; Vivo» y la identidad, «Arco». Ambas están implementadas en la aplicación: lo que sigue no es una propuesta, es el contrato vigente.</w:t>
      </w:r>
    </w:p>
    <w:p>
      <w:pPr>
        <w:keepNext/>
        <w:spacing w:before="260" w:after="60"/>
      </w:pPr>
      <w:r>
        <w:rPr>
          <w:rFonts w:ascii="Plus Jakarta Sans" w:hAnsi="Plus Jakarta Sans" w:cs="Plus Jakarta Sans" w:eastAsia="Plus Jakarta Sans"/>
          <w:b/>
          <w:i w:val="0"/>
          <w:color w:val="0A1A3A"/>
          <w:spacing w:val="-8"/>
          <w:sz w:val="25"/>
        </w:rPr>
        <w:t>2.1 El símbolo: Arco</w:t>
      </w:r>
    </w:p>
    <w:p>
      <w:pPr>
        <w:spacing w:after="120" w:before="0"/>
      </w:pPr>
      <w:r>
        <w:rPr>
          <w:rFonts w:ascii="Inter" w:hAnsi="Inter" w:cs="Inter" w:eastAsia="Inter"/>
          <w:b w:val="0"/>
          <w:i w:val="0"/>
          <w:color w:val="43506B"/>
          <w:sz w:val="19"/>
        </w:rPr>
        <w:t>El logotipo es un arco abierto —la aguja de un medidor 0–100— con un punto: el dato, la señal. Resume el producto, porque un medidor explicable es literalmente lo que la plataforma emite. En la aplicación el arco puede animarse como medidor.</w:t>
      </w:r>
    </w:p>
    <w:p>
      <w:pPr>
        <w:spacing w:before="80" w:after="40"/>
        <w:jc w:val="center"/>
      </w:pPr>
      <w:r>
        <w:drawing>
          <wp:inline xmlns:a="http://schemas.openxmlformats.org/drawingml/2006/main" xmlns:pic="http://schemas.openxmlformats.org/drawingml/2006/picture">
            <wp:extent cx="1143000" cy="1143000"/>
            <wp:docPr id="3" name="Picture 3"/>
            <wp:cNvGraphicFramePr>
              <a:graphicFrameLocks noChangeAspect="1"/>
            </wp:cNvGraphicFramePr>
            <a:graphic>
              <a:graphicData uri="http://schemas.openxmlformats.org/drawingml/2006/picture">
                <pic:pic>
                  <pic:nvPicPr>
                    <pic:cNvPr id="0" name="logo_arco_v2_1024.png"/>
                    <pic:cNvPicPr/>
                  </pic:nvPicPr>
                  <pic:blipFill>
                    <a:blip r:embed="rId13"/>
                    <a:stretch>
                      <a:fillRect/>
                    </a:stretch>
                  </pic:blipFill>
                  <pic:spPr>
                    <a:xfrm>
                      <a:off x="0" y="0"/>
                      <a:ext cx="1143000" cy="1143000"/>
                    </a:xfrm>
                    <a:prstGeom prst="rect"/>
                  </pic:spPr>
                </pic:pic>
              </a:graphicData>
            </a:graphic>
          </wp:inline>
        </w:drawing>
      </w:r>
    </w:p>
    <w:p>
      <w:pPr>
        <w:spacing w:after="80" w:before="0"/>
      </w:pPr>
      <w:r>
        <w:rPr>
          <w:rFonts w:ascii="Inter" w:hAnsi="Inter" w:cs="Inter" w:eastAsia="Inter"/>
          <w:b w:val="0"/>
          <w:i w:val="0"/>
          <w:color w:val="43506B"/>
          <w:sz w:val="19"/>
        </w:rPr>
        <w:t>Existen tres marcas en circulación y no son idénticas. El diseñador tiene que saberlo antes de maquetar:</w:t>
      </w:r>
    </w:p>
    <w:p>
      <w:pPr>
        <w:spacing w:before="80" w:after="40"/>
        <w:jc w:val="center"/>
      </w:pPr>
      <w:r>
        <w:drawing>
          <wp:inline xmlns:a="http://schemas.openxmlformats.org/drawingml/2006/main" xmlns:pic="http://schemas.openxmlformats.org/drawingml/2006/picture">
            <wp:extent cx="5852160" cy="2128058"/>
            <wp:docPr id="4" name="Picture 4"/>
            <wp:cNvGraphicFramePr>
              <a:graphicFrameLocks noChangeAspect="1"/>
            </wp:cNvGraphicFramePr>
            <a:graphic>
              <a:graphicData uri="http://schemas.openxmlformats.org/drawingml/2006/picture">
                <pic:pic>
                  <pic:nvPicPr>
                    <pic:cNvPr id="0" name="logo_variants.png"/>
                    <pic:cNvPicPr/>
                  </pic:nvPicPr>
                  <pic:blipFill>
                    <a:blip r:embed="rId14"/>
                    <a:stretch>
                      <a:fillRect/>
                    </a:stretch>
                  </pic:blipFill>
                  <pic:spPr>
                    <a:xfrm>
                      <a:off x="0" y="0"/>
                      <a:ext cx="5852160" cy="2128058"/>
                    </a:xfrm>
                    <a:prstGeom prst="rect"/>
                  </pic:spPr>
                </pic:pic>
              </a:graphicData>
            </a:graphic>
          </wp:inline>
        </w:drawing>
      </w:r>
    </w:p>
    <w:p>
      <w:pPr>
        <w:spacing w:after="200"/>
        <w:jc w:val="center"/>
      </w:pPr>
      <w:r>
        <w:rPr>
          <w:rFonts w:ascii="Inter" w:hAnsi="Inter" w:cs="Inter" w:eastAsia="Inter"/>
          <w:b w:val="0"/>
          <w:i/>
          <w:color w:val="76829C"/>
          <w:sz w:val="15"/>
        </w:rPr>
        <w:t>Figura 2 — Izquierda: el SVG del sistema de diseño, tal como se sirve hoy como favicon de la aplicación (el punto y el terminal del arco quedan fusionados). Centro: el logotipo de producción que va en los informes PDF y Word, con el punto separado y en un azul distinto. Derecha: la armonización propuesta —construcción del de producción, color del de aplicación.</w:t>
      </w:r>
    </w:p>
    <w:tbl>
      <w:tblPr>
        <w:tblW w:type="auto" w:w="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72"/>
        <w:gridCol w:w="9720"/>
      </w:tblGrid>
      <w:tr>
        <w:trPr>
          <w:cantSplit/>
        </w:trPr>
        <w:tc>
          <w:tcPr>
            <w:tcW w:type="dxa" w:w="72"/>
            <w:shd w:val="clear" w:color="auto" w:fill="B7791F"/>
            <w:tcMar>
              <w:top w:w="0" w:type="dxa"/>
              <w:start w:w="0" w:type="dxa"/>
              <w:bottom w:w="0" w:type="dxa"/>
              <w:end w:w="0" w:type="dxa"/>
            </w:tcMar>
          </w:tcPr>
          <w:p>
            <w:pPr>
              <w:spacing w:after="0"/>
            </w:pPr>
          </w:p>
        </w:tc>
        <w:tc>
          <w:tcPr>
            <w:tcW w:type="dxa" w:w="9720"/>
            <w:shd w:val="clear" w:color="auto" w:fill="FBF1DD"/>
            <w:tcMar>
              <w:top w:w="120" w:type="dxa"/>
              <w:start w:w="160" w:type="dxa"/>
              <w:bottom w:w="120" w:type="dxa"/>
              <w:end w:w="160" w:type="dxa"/>
            </w:tcMar>
          </w:tcPr>
          <w:p>
            <w:pPr>
              <w:spacing w:after="40"/>
            </w:pPr>
            <w:r>
              <w:rPr>
                <w:rFonts w:ascii="JetBrains Mono" w:hAnsi="JetBrains Mono" w:cs="JetBrains Mono" w:eastAsia="JetBrains Mono"/>
                <w:b/>
                <w:i w:val="0"/>
                <w:color w:val="B7791F"/>
                <w:spacing w:val="24"/>
                <w:sz w:val="15"/>
              </w:rPr>
              <w:t>DECISIÓN PENDIENTE · PARA EL DUEÑO, NO PARA EL DISEÑADOR</w:t>
            </w:r>
          </w:p>
          <w:p>
            <w:pPr>
              <w:spacing w:after="0"/>
            </w:pPr>
            <w:r>
              <w:rPr>
                <w:rFonts w:ascii="Inter" w:hAnsi="Inter" w:cs="Inter" w:eastAsia="Inter"/>
                <w:b w:val="0"/>
                <w:i w:val="0"/>
                <w:color w:val="0A1A3A"/>
                <w:sz w:val="19"/>
              </w:rPr>
              <w:t>El símbolo tiene que quedar en UNA sola geometría y UN solo azul. La recomendación es la variante de la derecha: la construcción del logotipo de producción (punto separado, que es lo que hace legible la metáfora del medidor) en el azul acento #1E6FFF de la aplicación. Hasta que se decida, use esa variante en la presentación y no mezcle las tres.</w:t>
            </w:r>
          </w:p>
        </w:tc>
      </w:tr>
    </w:tbl>
    <w:p>
      <w:pPr>
        <w:spacing w:after="80" w:before="0"/>
      </w:pPr>
    </w:p>
    <w:p>
      <w:pPr>
        <w:spacing w:after="120" w:before="0"/>
      </w:pPr>
    </w:p>
    <w:p>
      <w:pPr>
        <w:spacing w:after="120" w:before="0"/>
      </w:pPr>
      <w:r>
        <w:rPr>
          <w:rFonts w:ascii="Inter" w:hAnsi="Inter" w:cs="Inter" w:eastAsia="Inter"/>
          <w:b/>
          <w:i w:val="0"/>
          <w:color w:val="0A1A3A"/>
          <w:sz w:val="19"/>
        </w:rPr>
        <w:t xml:space="preserve">Nota de origen. </w:t>
      </w:r>
      <w:r>
        <w:rPr>
          <w:rFonts w:ascii="Inter" w:hAnsi="Inter" w:cs="Inter" w:eastAsia="Inter"/>
          <w:b w:val="0"/>
          <w:i w:val="0"/>
          <w:color w:val="43506B"/>
          <w:sz w:val="19"/>
        </w:rPr>
        <w:t>SDQ no tiene un logotipo corporativo oficial. «Arco» es una propuesta de producto —hay cuatro direcciones exploradas (Arco · Mira · Índice · Cuadrante) y Arco es la recomendación—. La presentación puede tratarla como identidad del producto SDQ·MIP, no como identidad de SDQ Consulting.</w:t>
      </w:r>
    </w:p>
    <w:p>
      <w:pPr>
        <w:keepNext/>
        <w:spacing w:before="180" w:after="40"/>
      </w:pPr>
      <w:r>
        <w:rPr>
          <w:rFonts w:ascii="Plus Jakarta Sans" w:hAnsi="Plus Jakarta Sans" w:cs="Plus Jakarta Sans" w:eastAsia="Plus Jakarta Sans"/>
          <w:b/>
          <w:i w:val="0"/>
          <w:color w:val="1551C0"/>
          <w:sz w:val="21"/>
        </w:rPr>
        <w:t>Logotipo completo (símbolo + palabra)</w:t>
      </w:r>
    </w:p>
    <w:p>
      <w:pPr>
        <w:spacing w:before="80" w:after="40"/>
        <w:jc w:val="center"/>
      </w:pPr>
      <w:r>
        <w:drawing>
          <wp:inline xmlns:a="http://schemas.openxmlformats.org/drawingml/2006/main" xmlns:pic="http://schemas.openxmlformats.org/drawingml/2006/picture">
            <wp:extent cx="3566160" cy="938463"/>
            <wp:docPr id="5" name="Picture 5"/>
            <wp:cNvGraphicFramePr>
              <a:graphicFrameLocks noChangeAspect="1"/>
            </wp:cNvGraphicFramePr>
            <a:graphic>
              <a:graphicData uri="http://schemas.openxmlformats.org/drawingml/2006/picture">
                <pic:pic>
                  <pic:nvPicPr>
                    <pic:cNvPr id="0" name="lockup_light.png"/>
                    <pic:cNvPicPr/>
                  </pic:nvPicPr>
                  <pic:blipFill>
                    <a:blip r:embed="rId11"/>
                    <a:stretch>
                      <a:fillRect/>
                    </a:stretch>
                  </pic:blipFill>
                  <pic:spPr>
                    <a:xfrm>
                      <a:off x="0" y="0"/>
                      <a:ext cx="3566160" cy="938463"/>
                    </a:xfrm>
                    <a:prstGeom prst="rect"/>
                  </pic:spPr>
                </pic:pic>
              </a:graphicData>
            </a:graphic>
          </wp:inline>
        </w:drawing>
      </w:r>
    </w:p>
    <w:p>
      <w:pPr>
        <w:spacing w:before="80" w:after="40"/>
        <w:jc w:val="center"/>
      </w:pPr>
      <w:r>
        <w:drawing>
          <wp:inline xmlns:a="http://schemas.openxmlformats.org/drawingml/2006/main" xmlns:pic="http://schemas.openxmlformats.org/drawingml/2006/picture">
            <wp:extent cx="3566160" cy="938463"/>
            <wp:docPr id="6" name="Picture 6"/>
            <wp:cNvGraphicFramePr>
              <a:graphicFrameLocks noChangeAspect="1"/>
            </wp:cNvGraphicFramePr>
            <a:graphic>
              <a:graphicData uri="http://schemas.openxmlformats.org/drawingml/2006/picture">
                <pic:pic>
                  <pic:nvPicPr>
                    <pic:cNvPr id="0" name="lockup_dark.png"/>
                    <pic:cNvPicPr/>
                  </pic:nvPicPr>
                  <pic:blipFill>
                    <a:blip r:embed="rId15"/>
                    <a:stretch>
                      <a:fillRect/>
                    </a:stretch>
                  </pic:blipFill>
                  <pic:spPr>
                    <a:xfrm>
                      <a:off x="0" y="0"/>
                      <a:ext cx="3566160" cy="938463"/>
                    </a:xfrm>
                    <a:prstGeom prst="rect"/>
                  </pic:spPr>
                </pic:pic>
              </a:graphicData>
            </a:graphic>
          </wp:inline>
        </w:drawing>
      </w:r>
    </w:p>
    <w:p>
      <w:pPr>
        <w:spacing w:after="200"/>
        <w:jc w:val="center"/>
      </w:pPr>
      <w:r>
        <w:rPr>
          <w:rFonts w:ascii="Inter" w:hAnsi="Inter" w:cs="Inter" w:eastAsia="Inter"/>
          <w:b w:val="0"/>
          <w:i/>
          <w:color w:val="76829C"/>
          <w:sz w:val="15"/>
        </w:rPr>
        <w:t>Figura 3 — Bloque de marca sobre fondo claro y sobre fondo oscuro. «SDQ» en tinta, «·MIP» en apagado. Bajada opcional en monoespaciada, mayúsculas, con interletrado abierto.</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Área de resguardo: </w:t>
      </w:r>
      <w:r>
        <w:rPr>
          <w:rFonts w:ascii="Inter" w:hAnsi="Inter" w:cs="Inter" w:eastAsia="Inter"/>
          <w:b w:val="0"/>
          <w:i w:val="0"/>
          <w:color w:val="43506B"/>
          <w:sz w:val="19"/>
        </w:rPr>
        <w:t>una altura de símbolo por los cuatro lados.</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Tamaño mínimo: </w:t>
      </w:r>
      <w:r>
        <w:rPr>
          <w:rFonts w:ascii="Inter" w:hAnsi="Inter" w:cs="Inter" w:eastAsia="Inter"/>
          <w:b w:val="0"/>
          <w:i w:val="0"/>
          <w:color w:val="43506B"/>
          <w:sz w:val="19"/>
        </w:rPr>
        <w:t>símbolo 20 px / 6 mm; bloque completo 90 px / 25 mm.</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Sobre fotografía o color: </w:t>
      </w:r>
      <w:r>
        <w:rPr>
          <w:rFonts w:ascii="Inter" w:hAnsi="Inter" w:cs="Inter" w:eastAsia="Inter"/>
          <w:b w:val="0"/>
          <w:i w:val="0"/>
          <w:color w:val="43506B"/>
          <w:sz w:val="19"/>
        </w:rPr>
        <w:t>solo el símbolo en blanco sólido, sin caja.</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Prohibido: </w:t>
      </w:r>
      <w:r>
        <w:rPr>
          <w:rFonts w:ascii="Inter" w:hAnsi="Inter" w:cs="Inter" w:eastAsia="Inter"/>
          <w:b w:val="0"/>
          <w:i w:val="0"/>
          <w:color w:val="43506B"/>
          <w:sz w:val="19"/>
        </w:rPr>
        <w:t>estirar, rotar, cambiar el azul del contenedor, poner el arco en degradado o agregarle sombra.</w:t>
      </w:r>
    </w:p>
    <w:p>
      <w:pPr>
        <w:keepNext/>
        <w:spacing w:before="260" w:after="60"/>
      </w:pPr>
      <w:r>
        <w:rPr>
          <w:rFonts w:ascii="Plus Jakarta Sans" w:hAnsi="Plus Jakarta Sans" w:cs="Plus Jakarta Sans" w:eastAsia="Plus Jakarta Sans"/>
          <w:b/>
          <w:i w:val="0"/>
          <w:color w:val="0A1A3A"/>
          <w:spacing w:val="-8"/>
          <w:sz w:val="25"/>
        </w:rPr>
        <w:t>2.2 Color — tema claro (canónico)</w:t>
      </w:r>
    </w:p>
    <w:p>
      <w:pPr>
        <w:spacing w:after="120" w:before="0"/>
      </w:pPr>
      <w:r>
        <w:rPr>
          <w:rFonts w:ascii="Inter" w:hAnsi="Inter" w:cs="Inter" w:eastAsia="Inter"/>
          <w:b w:val="0"/>
          <w:i w:val="0"/>
          <w:color w:val="43506B"/>
          <w:sz w:val="19"/>
        </w:rPr>
        <w:t>Toda la interfaz consume variables CSS; nunca un hex suelto. La presentación debe usar exactamente estos valores. El tema claro es el canónico de la marca: superficies claras, tinta navy solo para texto, azul eléctrico como acento. El color comunica estado; no decora.</w:t>
      </w:r>
    </w:p>
    <w:p>
      <w:pPr>
        <w:keepNext/>
        <w:spacing w:before="180" w:after="40"/>
      </w:pPr>
      <w:r>
        <w:rPr>
          <w:rFonts w:ascii="Plus Jakarta Sans" w:hAnsi="Plus Jakarta Sans" w:cs="Plus Jakarta Sans" w:eastAsia="Plus Jakarta Sans"/>
          <w:b/>
          <w:i w:val="0"/>
          <w:color w:val="1551C0"/>
          <w:sz w:val="21"/>
        </w:rPr>
        <w:t>Superficies y tinta</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3264"/>
        <w:gridCol w:w="3264"/>
        <w:gridCol w:w="3264"/>
      </w:tblGrid>
      <w:tr>
        <w:tc>
          <w:tcPr>
            <w:tcW w:type="dxa" w:w="3264"/>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F5F8FC"/>
              <w:spacing w:after="40"/>
            </w:pPr>
            <w:r>
              <w:rPr>
                <w:rFonts w:ascii="JetBrains Mono" w:hAnsi="JetBrains Mono" w:cs="JetBrains Mono" w:eastAsia="JetBrains Mono"/>
                <w:b w:val="0"/>
                <w:i w:val="0"/>
                <w:color w:val="F5F8FC"/>
                <w:sz w:val="22"/>
              </w:rPr>
              <w:t xml:space="preserve">                                  </w:t>
            </w:r>
          </w:p>
          <w:p>
            <w:pPr>
              <w:spacing w:after="0"/>
            </w:pPr>
            <w:r>
              <w:rPr>
                <w:rFonts w:ascii="JetBrains Mono" w:hAnsi="JetBrains Mono" w:cs="JetBrains Mono" w:eastAsia="JetBrains Mono"/>
                <w:b/>
                <w:i w:val="0"/>
                <w:color w:val="0A1A3A"/>
                <w:sz w:val="15"/>
              </w:rPr>
              <w:t>--canvas</w:t>
            </w:r>
          </w:p>
          <w:p>
            <w:pPr>
              <w:spacing w:after="0"/>
            </w:pPr>
            <w:r>
              <w:rPr>
                <w:rFonts w:ascii="JetBrains Mono" w:hAnsi="JetBrains Mono" w:cs="JetBrains Mono" w:eastAsia="JetBrains Mono"/>
                <w:b w:val="0"/>
                <w:i w:val="0"/>
                <w:color w:val="1551C0"/>
                <w:sz w:val="15"/>
              </w:rPr>
              <w:t>#F5F8FC</w:t>
            </w:r>
          </w:p>
          <w:p>
            <w:pPr>
              <w:spacing w:after="0"/>
            </w:pPr>
            <w:r>
              <w:rPr>
                <w:rFonts w:ascii="Inter" w:hAnsi="Inter" w:cs="Inter" w:eastAsia="Inter"/>
                <w:b w:val="0"/>
                <w:i w:val="0"/>
                <w:color w:val="76829C"/>
                <w:sz w:val="14"/>
              </w:rPr>
              <w:t>Fondo de página</w:t>
            </w:r>
          </w:p>
        </w:tc>
        <w:tc>
          <w:tcPr>
            <w:tcW w:type="dxa" w:w="3264"/>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FFFFFF"/>
              <w:spacing w:after="40"/>
            </w:pPr>
            <w:r>
              <w:rPr>
                <w:rFonts w:ascii="JetBrains Mono" w:hAnsi="JetBrains Mono" w:cs="JetBrains Mono" w:eastAsia="JetBrains Mono"/>
                <w:b w:val="0"/>
                <w:i w:val="0"/>
                <w:color w:val="FFFFFF"/>
                <w:sz w:val="22"/>
              </w:rPr>
              <w:t xml:space="preserve">                                  </w:t>
            </w:r>
          </w:p>
          <w:p>
            <w:pPr>
              <w:spacing w:after="0"/>
            </w:pPr>
            <w:r>
              <w:rPr>
                <w:rFonts w:ascii="JetBrains Mono" w:hAnsi="JetBrains Mono" w:cs="JetBrains Mono" w:eastAsia="JetBrains Mono"/>
                <w:b/>
                <w:i w:val="0"/>
                <w:color w:val="0A1A3A"/>
                <w:sz w:val="15"/>
              </w:rPr>
              <w:t>--surface</w:t>
            </w:r>
          </w:p>
          <w:p>
            <w:pPr>
              <w:spacing w:after="0"/>
            </w:pPr>
            <w:r>
              <w:rPr>
                <w:rFonts w:ascii="JetBrains Mono" w:hAnsi="JetBrains Mono" w:cs="JetBrains Mono" w:eastAsia="JetBrains Mono"/>
                <w:b w:val="0"/>
                <w:i w:val="0"/>
                <w:color w:val="1551C0"/>
                <w:sz w:val="15"/>
              </w:rPr>
              <w:t>#FFFFFF</w:t>
            </w:r>
          </w:p>
          <w:p>
            <w:pPr>
              <w:spacing w:after="0"/>
            </w:pPr>
            <w:r>
              <w:rPr>
                <w:rFonts w:ascii="Inter" w:hAnsi="Inter" w:cs="Inter" w:eastAsia="Inter"/>
                <w:b w:val="0"/>
                <w:i w:val="0"/>
                <w:color w:val="76829C"/>
                <w:sz w:val="14"/>
              </w:rPr>
              <w:t>Tarjetas y paneles</w:t>
            </w:r>
          </w:p>
        </w:tc>
        <w:tc>
          <w:tcPr>
            <w:tcW w:type="dxa" w:w="3264"/>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F1F5FB"/>
              <w:spacing w:after="40"/>
            </w:pPr>
            <w:r>
              <w:rPr>
                <w:rFonts w:ascii="JetBrains Mono" w:hAnsi="JetBrains Mono" w:cs="JetBrains Mono" w:eastAsia="JetBrains Mono"/>
                <w:b w:val="0"/>
                <w:i w:val="0"/>
                <w:color w:val="F1F5FB"/>
                <w:sz w:val="22"/>
              </w:rPr>
              <w:t xml:space="preserve">                                  </w:t>
            </w:r>
          </w:p>
          <w:p>
            <w:pPr>
              <w:spacing w:after="0"/>
            </w:pPr>
            <w:r>
              <w:rPr>
                <w:rFonts w:ascii="JetBrains Mono" w:hAnsi="JetBrains Mono" w:cs="JetBrains Mono" w:eastAsia="JetBrains Mono"/>
                <w:b/>
                <w:i w:val="0"/>
                <w:color w:val="0A1A3A"/>
                <w:sz w:val="15"/>
              </w:rPr>
              <w:t>--surface-2</w:t>
            </w:r>
          </w:p>
          <w:p>
            <w:pPr>
              <w:spacing w:after="0"/>
            </w:pPr>
            <w:r>
              <w:rPr>
                <w:rFonts w:ascii="JetBrains Mono" w:hAnsi="JetBrains Mono" w:cs="JetBrains Mono" w:eastAsia="JetBrains Mono"/>
                <w:b w:val="0"/>
                <w:i w:val="0"/>
                <w:color w:val="1551C0"/>
                <w:sz w:val="15"/>
              </w:rPr>
              <w:t>#F1F5FB</w:t>
            </w:r>
          </w:p>
          <w:p>
            <w:pPr>
              <w:spacing w:after="0"/>
            </w:pPr>
            <w:r>
              <w:rPr>
                <w:rFonts w:ascii="Inter" w:hAnsi="Inter" w:cs="Inter" w:eastAsia="Inter"/>
                <w:b w:val="0"/>
                <w:i w:val="0"/>
                <w:color w:val="76829C"/>
                <w:sz w:val="14"/>
              </w:rPr>
              <w:t>Fondo hundido, código</w:t>
            </w:r>
          </w:p>
        </w:tc>
      </w:tr>
      <w:tr>
        <w:tc>
          <w:tcPr>
            <w:tcW w:type="dxa" w:w="3264"/>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0A1A3A"/>
              <w:spacing w:after="40"/>
            </w:pPr>
            <w:r>
              <w:rPr>
                <w:rFonts w:ascii="JetBrains Mono" w:hAnsi="JetBrains Mono" w:cs="JetBrains Mono" w:eastAsia="JetBrains Mono"/>
                <w:b w:val="0"/>
                <w:i w:val="0"/>
                <w:color w:val="0A1A3A"/>
                <w:sz w:val="22"/>
              </w:rPr>
              <w:t xml:space="preserve">                                  </w:t>
            </w:r>
          </w:p>
          <w:p>
            <w:pPr>
              <w:spacing w:after="0"/>
            </w:pPr>
            <w:r>
              <w:rPr>
                <w:rFonts w:ascii="JetBrains Mono" w:hAnsi="JetBrains Mono" w:cs="JetBrains Mono" w:eastAsia="JetBrains Mono"/>
                <w:b/>
                <w:i w:val="0"/>
                <w:color w:val="0A1A3A"/>
                <w:sz w:val="15"/>
              </w:rPr>
              <w:t>--ink</w:t>
            </w:r>
          </w:p>
          <w:p>
            <w:pPr>
              <w:spacing w:after="0"/>
            </w:pPr>
            <w:r>
              <w:rPr>
                <w:rFonts w:ascii="JetBrains Mono" w:hAnsi="JetBrains Mono" w:cs="JetBrains Mono" w:eastAsia="JetBrains Mono"/>
                <w:b w:val="0"/>
                <w:i w:val="0"/>
                <w:color w:val="1551C0"/>
                <w:sz w:val="15"/>
              </w:rPr>
              <w:t>#0A1A3A</w:t>
            </w:r>
          </w:p>
          <w:p>
            <w:pPr>
              <w:spacing w:after="0"/>
            </w:pPr>
            <w:r>
              <w:rPr>
                <w:rFonts w:ascii="Inter" w:hAnsi="Inter" w:cs="Inter" w:eastAsia="Inter"/>
                <w:b w:val="0"/>
                <w:i w:val="0"/>
                <w:color w:val="76829C"/>
                <w:sz w:val="14"/>
              </w:rPr>
              <w:t>Títulos y cifras</w:t>
            </w:r>
          </w:p>
        </w:tc>
        <w:tc>
          <w:tcPr>
            <w:tcW w:type="dxa" w:w="3264"/>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43506B"/>
              <w:spacing w:after="40"/>
            </w:pPr>
            <w:r>
              <w:rPr>
                <w:rFonts w:ascii="JetBrains Mono" w:hAnsi="JetBrains Mono" w:cs="JetBrains Mono" w:eastAsia="JetBrains Mono"/>
                <w:b w:val="0"/>
                <w:i w:val="0"/>
                <w:color w:val="43506B"/>
                <w:sz w:val="22"/>
              </w:rPr>
              <w:t xml:space="preserve">                                  </w:t>
            </w:r>
          </w:p>
          <w:p>
            <w:pPr>
              <w:spacing w:after="0"/>
            </w:pPr>
            <w:r>
              <w:rPr>
                <w:rFonts w:ascii="JetBrains Mono" w:hAnsi="JetBrains Mono" w:cs="JetBrains Mono" w:eastAsia="JetBrains Mono"/>
                <w:b/>
                <w:i w:val="0"/>
                <w:color w:val="0A1A3A"/>
                <w:sz w:val="15"/>
              </w:rPr>
              <w:t>--body</w:t>
            </w:r>
          </w:p>
          <w:p>
            <w:pPr>
              <w:spacing w:after="0"/>
            </w:pPr>
            <w:r>
              <w:rPr>
                <w:rFonts w:ascii="JetBrains Mono" w:hAnsi="JetBrains Mono" w:cs="JetBrains Mono" w:eastAsia="JetBrains Mono"/>
                <w:b w:val="0"/>
                <w:i w:val="0"/>
                <w:color w:val="1551C0"/>
                <w:sz w:val="15"/>
              </w:rPr>
              <w:t>#43506B</w:t>
            </w:r>
          </w:p>
          <w:p>
            <w:pPr>
              <w:spacing w:after="0"/>
            </w:pPr>
            <w:r>
              <w:rPr>
                <w:rFonts w:ascii="Inter" w:hAnsi="Inter" w:cs="Inter" w:eastAsia="Inter"/>
                <w:b w:val="0"/>
                <w:i w:val="0"/>
                <w:color w:val="76829C"/>
                <w:sz w:val="14"/>
              </w:rPr>
              <w:t>Texto corrido</w:t>
            </w:r>
          </w:p>
        </w:tc>
        <w:tc>
          <w:tcPr>
            <w:tcW w:type="dxa" w:w="3264"/>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76829C"/>
              <w:spacing w:after="40"/>
            </w:pPr>
            <w:r>
              <w:rPr>
                <w:rFonts w:ascii="JetBrains Mono" w:hAnsi="JetBrains Mono" w:cs="JetBrains Mono" w:eastAsia="JetBrains Mono"/>
                <w:b w:val="0"/>
                <w:i w:val="0"/>
                <w:color w:val="76829C"/>
                <w:sz w:val="22"/>
              </w:rPr>
              <w:t xml:space="preserve">                                  </w:t>
            </w:r>
          </w:p>
          <w:p>
            <w:pPr>
              <w:spacing w:after="0"/>
            </w:pPr>
            <w:r>
              <w:rPr>
                <w:rFonts w:ascii="JetBrains Mono" w:hAnsi="JetBrains Mono" w:cs="JetBrains Mono" w:eastAsia="JetBrains Mono"/>
                <w:b/>
                <w:i w:val="0"/>
                <w:color w:val="0A1A3A"/>
                <w:sz w:val="15"/>
              </w:rPr>
              <w:t>--muted</w:t>
            </w:r>
          </w:p>
          <w:p>
            <w:pPr>
              <w:spacing w:after="0"/>
            </w:pPr>
            <w:r>
              <w:rPr>
                <w:rFonts w:ascii="JetBrains Mono" w:hAnsi="JetBrains Mono" w:cs="JetBrains Mono" w:eastAsia="JetBrains Mono"/>
                <w:b w:val="0"/>
                <w:i w:val="0"/>
                <w:color w:val="1551C0"/>
                <w:sz w:val="15"/>
              </w:rPr>
              <w:t>#76829C</w:t>
            </w:r>
          </w:p>
          <w:p>
            <w:pPr>
              <w:spacing w:after="0"/>
            </w:pPr>
            <w:r>
              <w:rPr>
                <w:rFonts w:ascii="Inter" w:hAnsi="Inter" w:cs="Inter" w:eastAsia="Inter"/>
                <w:b w:val="0"/>
                <w:i w:val="0"/>
                <w:color w:val="76829C"/>
                <w:sz w:val="14"/>
              </w:rPr>
              <w:t>Subtítulos, leyendas</w:t>
            </w:r>
          </w:p>
        </w:tc>
      </w:tr>
      <w:tr>
        <w:tc>
          <w:tcPr>
            <w:tcW w:type="dxa" w:w="3264"/>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9AA6BF"/>
              <w:spacing w:after="40"/>
            </w:pPr>
            <w:r>
              <w:rPr>
                <w:rFonts w:ascii="JetBrains Mono" w:hAnsi="JetBrains Mono" w:cs="JetBrains Mono" w:eastAsia="JetBrains Mono"/>
                <w:b w:val="0"/>
                <w:i w:val="0"/>
                <w:color w:val="9AA6BF"/>
                <w:sz w:val="22"/>
              </w:rPr>
              <w:t xml:space="preserve">                                  </w:t>
            </w:r>
          </w:p>
          <w:p>
            <w:pPr>
              <w:spacing w:after="0"/>
            </w:pPr>
            <w:r>
              <w:rPr>
                <w:rFonts w:ascii="JetBrains Mono" w:hAnsi="JetBrains Mono" w:cs="JetBrains Mono" w:eastAsia="JetBrains Mono"/>
                <w:b/>
                <w:i w:val="0"/>
                <w:color w:val="0A1A3A"/>
                <w:sz w:val="15"/>
              </w:rPr>
              <w:t>--faint</w:t>
            </w:r>
          </w:p>
          <w:p>
            <w:pPr>
              <w:spacing w:after="0"/>
            </w:pPr>
            <w:r>
              <w:rPr>
                <w:rFonts w:ascii="JetBrains Mono" w:hAnsi="JetBrains Mono" w:cs="JetBrains Mono" w:eastAsia="JetBrains Mono"/>
                <w:b w:val="0"/>
                <w:i w:val="0"/>
                <w:color w:val="1551C0"/>
                <w:sz w:val="15"/>
              </w:rPr>
              <w:t>#9AA6BF</w:t>
            </w:r>
          </w:p>
          <w:p>
            <w:pPr>
              <w:spacing w:after="0"/>
            </w:pPr>
            <w:r>
              <w:rPr>
                <w:rFonts w:ascii="Inter" w:hAnsi="Inter" w:cs="Inter" w:eastAsia="Inter"/>
                <w:b w:val="0"/>
                <w:i w:val="0"/>
                <w:color w:val="76829C"/>
                <w:sz w:val="14"/>
              </w:rPr>
              <w:t>Metadato terciario</w:t>
            </w:r>
          </w:p>
        </w:tc>
        <w:tc>
          <w:tcPr>
            <w:tcW w:type="dxa" w:w="3264"/>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E7ECF3"/>
              <w:spacing w:after="40"/>
            </w:pPr>
            <w:r>
              <w:rPr>
                <w:rFonts w:ascii="JetBrains Mono" w:hAnsi="JetBrains Mono" w:cs="JetBrains Mono" w:eastAsia="JetBrains Mono"/>
                <w:b w:val="0"/>
                <w:i w:val="0"/>
                <w:color w:val="E7ECF3"/>
                <w:sz w:val="22"/>
              </w:rPr>
              <w:t xml:space="preserve">                                  </w:t>
            </w:r>
          </w:p>
          <w:p>
            <w:pPr>
              <w:spacing w:after="0"/>
            </w:pPr>
            <w:r>
              <w:rPr>
                <w:rFonts w:ascii="JetBrains Mono" w:hAnsi="JetBrains Mono" w:cs="JetBrains Mono" w:eastAsia="JetBrains Mono"/>
                <w:b/>
                <w:i w:val="0"/>
                <w:color w:val="0A1A3A"/>
                <w:sz w:val="15"/>
              </w:rPr>
              <w:t>--border</w:t>
            </w:r>
          </w:p>
          <w:p>
            <w:pPr>
              <w:spacing w:after="0"/>
            </w:pPr>
            <w:r>
              <w:rPr>
                <w:rFonts w:ascii="JetBrains Mono" w:hAnsi="JetBrains Mono" w:cs="JetBrains Mono" w:eastAsia="JetBrains Mono"/>
                <w:b w:val="0"/>
                <w:i w:val="0"/>
                <w:color w:val="1551C0"/>
                <w:sz w:val="15"/>
              </w:rPr>
              <w:t>#E7ECF3</w:t>
            </w:r>
          </w:p>
          <w:p>
            <w:pPr>
              <w:spacing w:after="0"/>
            </w:pPr>
            <w:r>
              <w:rPr>
                <w:rFonts w:ascii="Inter" w:hAnsi="Inter" w:cs="Inter" w:eastAsia="Inter"/>
                <w:b w:val="0"/>
                <w:i w:val="0"/>
                <w:color w:val="76829C"/>
                <w:sz w:val="14"/>
              </w:rPr>
              <w:t>Bordes de tarjeta</w:t>
            </w:r>
          </w:p>
        </w:tc>
        <w:tc>
          <w:tcPr>
            <w:tcW w:type="dxa" w:w="3264"/>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D6DEEC"/>
              <w:spacing w:after="40"/>
            </w:pPr>
            <w:r>
              <w:rPr>
                <w:rFonts w:ascii="JetBrains Mono" w:hAnsi="JetBrains Mono" w:cs="JetBrains Mono" w:eastAsia="JetBrains Mono"/>
                <w:b w:val="0"/>
                <w:i w:val="0"/>
                <w:color w:val="D6DEEC"/>
                <w:sz w:val="22"/>
              </w:rPr>
              <w:t xml:space="preserve">                                  </w:t>
            </w:r>
          </w:p>
          <w:p>
            <w:pPr>
              <w:spacing w:after="0"/>
            </w:pPr>
            <w:r>
              <w:rPr>
                <w:rFonts w:ascii="JetBrains Mono" w:hAnsi="JetBrains Mono" w:cs="JetBrains Mono" w:eastAsia="JetBrains Mono"/>
                <w:b/>
                <w:i w:val="0"/>
                <w:color w:val="0A1A3A"/>
                <w:sz w:val="15"/>
              </w:rPr>
              <w:t>--border-strong</w:t>
            </w:r>
          </w:p>
          <w:p>
            <w:pPr>
              <w:spacing w:after="0"/>
            </w:pPr>
            <w:r>
              <w:rPr>
                <w:rFonts w:ascii="JetBrains Mono" w:hAnsi="JetBrains Mono" w:cs="JetBrains Mono" w:eastAsia="JetBrains Mono"/>
                <w:b w:val="0"/>
                <w:i w:val="0"/>
                <w:color w:val="1551C0"/>
                <w:sz w:val="15"/>
              </w:rPr>
              <w:t>#D6DEEC</w:t>
            </w:r>
          </w:p>
          <w:p>
            <w:pPr>
              <w:spacing w:after="0"/>
            </w:pPr>
            <w:r>
              <w:rPr>
                <w:rFonts w:ascii="Inter" w:hAnsi="Inter" w:cs="Inter" w:eastAsia="Inter"/>
                <w:b w:val="0"/>
                <w:i w:val="0"/>
                <w:color w:val="76829C"/>
                <w:sz w:val="14"/>
              </w:rPr>
              <w:t>Campos, divisores</w:t>
            </w:r>
          </w:p>
        </w:tc>
      </w:tr>
    </w:tbl>
    <w:p>
      <w:pPr>
        <w:spacing w:after="120" w:before="0"/>
      </w:pPr>
    </w:p>
    <w:p>
      <w:pPr>
        <w:keepNext/>
        <w:spacing w:before="180" w:after="40"/>
      </w:pPr>
      <w:r>
        <w:rPr>
          <w:rFonts w:ascii="Plus Jakarta Sans" w:hAnsi="Plus Jakarta Sans" w:cs="Plus Jakarta Sans" w:eastAsia="Plus Jakarta Sans"/>
          <w:b/>
          <w:i w:val="0"/>
          <w:color w:val="1551C0"/>
          <w:sz w:val="21"/>
        </w:rPr>
        <w:t>Acento y estado</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3264"/>
        <w:gridCol w:w="3264"/>
        <w:gridCol w:w="3264"/>
      </w:tblGrid>
      <w:tr>
        <w:tc>
          <w:tcPr>
            <w:tcW w:type="dxa" w:w="3264"/>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1E6FFF"/>
              <w:spacing w:after="40"/>
            </w:pPr>
            <w:r>
              <w:rPr>
                <w:rFonts w:ascii="JetBrains Mono" w:hAnsi="JetBrains Mono" w:cs="JetBrains Mono" w:eastAsia="JetBrains Mono"/>
                <w:b w:val="0"/>
                <w:i w:val="0"/>
                <w:color w:val="1E6FFF"/>
                <w:sz w:val="22"/>
              </w:rPr>
              <w:t xml:space="preserve">                                  </w:t>
            </w:r>
          </w:p>
          <w:p>
            <w:pPr>
              <w:spacing w:after="0"/>
            </w:pPr>
            <w:r>
              <w:rPr>
                <w:rFonts w:ascii="JetBrains Mono" w:hAnsi="JetBrains Mono" w:cs="JetBrains Mono" w:eastAsia="JetBrains Mono"/>
                <w:b/>
                <w:i w:val="0"/>
                <w:color w:val="0A1A3A"/>
                <w:sz w:val="15"/>
              </w:rPr>
              <w:t>--accent</w:t>
            </w:r>
          </w:p>
          <w:p>
            <w:pPr>
              <w:spacing w:after="0"/>
            </w:pPr>
            <w:r>
              <w:rPr>
                <w:rFonts w:ascii="JetBrains Mono" w:hAnsi="JetBrains Mono" w:cs="JetBrains Mono" w:eastAsia="JetBrains Mono"/>
                <w:b w:val="0"/>
                <w:i w:val="0"/>
                <w:color w:val="1551C0"/>
                <w:sz w:val="15"/>
              </w:rPr>
              <w:t>#1E6FFF</w:t>
            </w:r>
          </w:p>
          <w:p>
            <w:pPr>
              <w:spacing w:after="0"/>
            </w:pPr>
            <w:r>
              <w:rPr>
                <w:rFonts w:ascii="Inter" w:hAnsi="Inter" w:cs="Inter" w:eastAsia="Inter"/>
                <w:b w:val="0"/>
                <w:i w:val="0"/>
                <w:color w:val="76829C"/>
                <w:sz w:val="14"/>
              </w:rPr>
              <w:t>Primario, foco, activo</w:t>
            </w:r>
          </w:p>
        </w:tc>
        <w:tc>
          <w:tcPr>
            <w:tcW w:type="dxa" w:w="3264"/>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1A60E0"/>
              <w:spacing w:after="40"/>
            </w:pPr>
            <w:r>
              <w:rPr>
                <w:rFonts w:ascii="JetBrains Mono" w:hAnsi="JetBrains Mono" w:cs="JetBrains Mono" w:eastAsia="JetBrains Mono"/>
                <w:b w:val="0"/>
                <w:i w:val="0"/>
                <w:color w:val="1A60E0"/>
                <w:sz w:val="22"/>
              </w:rPr>
              <w:t xml:space="preserve">                                  </w:t>
            </w:r>
          </w:p>
          <w:p>
            <w:pPr>
              <w:spacing w:after="0"/>
            </w:pPr>
            <w:r>
              <w:rPr>
                <w:rFonts w:ascii="JetBrains Mono" w:hAnsi="JetBrains Mono" w:cs="JetBrains Mono" w:eastAsia="JetBrains Mono"/>
                <w:b/>
                <w:i w:val="0"/>
                <w:color w:val="0A1A3A"/>
                <w:sz w:val="15"/>
              </w:rPr>
              <w:t>--accent-hover</w:t>
            </w:r>
          </w:p>
          <w:p>
            <w:pPr>
              <w:spacing w:after="0"/>
            </w:pPr>
            <w:r>
              <w:rPr>
                <w:rFonts w:ascii="JetBrains Mono" w:hAnsi="JetBrains Mono" w:cs="JetBrains Mono" w:eastAsia="JetBrains Mono"/>
                <w:b w:val="0"/>
                <w:i w:val="0"/>
                <w:color w:val="1551C0"/>
                <w:sz w:val="15"/>
              </w:rPr>
              <w:t>#1A60E0</w:t>
            </w:r>
          </w:p>
          <w:p>
            <w:pPr>
              <w:spacing w:after="0"/>
            </w:pPr>
            <w:r>
              <w:rPr>
                <w:rFonts w:ascii="Inter" w:hAnsi="Inter" w:cs="Inter" w:eastAsia="Inter"/>
                <w:b w:val="0"/>
                <w:i w:val="0"/>
                <w:color w:val="76829C"/>
                <w:sz w:val="14"/>
              </w:rPr>
              <w:t>Estado hover</w:t>
            </w:r>
          </w:p>
        </w:tc>
        <w:tc>
          <w:tcPr>
            <w:tcW w:type="dxa" w:w="3264"/>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EAF1FF"/>
              <w:spacing w:after="40"/>
            </w:pPr>
            <w:r>
              <w:rPr>
                <w:rFonts w:ascii="JetBrains Mono" w:hAnsi="JetBrains Mono" w:cs="JetBrains Mono" w:eastAsia="JetBrains Mono"/>
                <w:b w:val="0"/>
                <w:i w:val="0"/>
                <w:color w:val="EAF1FF"/>
                <w:sz w:val="22"/>
              </w:rPr>
              <w:t xml:space="preserve">                                  </w:t>
            </w:r>
          </w:p>
          <w:p>
            <w:pPr>
              <w:spacing w:after="0"/>
            </w:pPr>
            <w:r>
              <w:rPr>
                <w:rFonts w:ascii="JetBrains Mono" w:hAnsi="JetBrains Mono" w:cs="JetBrains Mono" w:eastAsia="JetBrains Mono"/>
                <w:b/>
                <w:i w:val="0"/>
                <w:color w:val="0A1A3A"/>
                <w:sz w:val="15"/>
              </w:rPr>
              <w:t>--accent-soft</w:t>
            </w:r>
          </w:p>
          <w:p>
            <w:pPr>
              <w:spacing w:after="0"/>
            </w:pPr>
            <w:r>
              <w:rPr>
                <w:rFonts w:ascii="JetBrains Mono" w:hAnsi="JetBrains Mono" w:cs="JetBrains Mono" w:eastAsia="JetBrains Mono"/>
                <w:b w:val="0"/>
                <w:i w:val="0"/>
                <w:color w:val="1551C0"/>
                <w:sz w:val="15"/>
              </w:rPr>
              <w:t>#EAF1FF</w:t>
            </w:r>
          </w:p>
          <w:p>
            <w:pPr>
              <w:spacing w:after="0"/>
            </w:pPr>
            <w:r>
              <w:rPr>
                <w:rFonts w:ascii="Inter" w:hAnsi="Inter" w:cs="Inter" w:eastAsia="Inter"/>
                <w:b w:val="0"/>
                <w:i w:val="0"/>
                <w:color w:val="76829C"/>
                <w:sz w:val="14"/>
              </w:rPr>
              <w:t>Fondo de acento</w:t>
            </w:r>
          </w:p>
        </w:tc>
      </w:tr>
      <w:tr>
        <w:tc>
          <w:tcPr>
            <w:tcW w:type="dxa" w:w="3264"/>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1551C0"/>
              <w:spacing w:after="40"/>
            </w:pPr>
            <w:r>
              <w:rPr>
                <w:rFonts w:ascii="JetBrains Mono" w:hAnsi="JetBrains Mono" w:cs="JetBrains Mono" w:eastAsia="JetBrains Mono"/>
                <w:b w:val="0"/>
                <w:i w:val="0"/>
                <w:color w:val="1551C0"/>
                <w:sz w:val="22"/>
              </w:rPr>
              <w:t xml:space="preserve">                                  </w:t>
            </w:r>
          </w:p>
          <w:p>
            <w:pPr>
              <w:spacing w:after="0"/>
            </w:pPr>
            <w:r>
              <w:rPr>
                <w:rFonts w:ascii="JetBrains Mono" w:hAnsi="JetBrains Mono" w:cs="JetBrains Mono" w:eastAsia="JetBrains Mono"/>
                <w:b/>
                <w:i w:val="0"/>
                <w:color w:val="0A1A3A"/>
                <w:sz w:val="15"/>
              </w:rPr>
              <w:t>--accent-ink</w:t>
            </w:r>
          </w:p>
          <w:p>
            <w:pPr>
              <w:spacing w:after="0"/>
            </w:pPr>
            <w:r>
              <w:rPr>
                <w:rFonts w:ascii="JetBrains Mono" w:hAnsi="JetBrains Mono" w:cs="JetBrains Mono" w:eastAsia="JetBrains Mono"/>
                <w:b w:val="0"/>
                <w:i w:val="0"/>
                <w:color w:val="1551C0"/>
                <w:sz w:val="15"/>
              </w:rPr>
              <w:t>#1551C0</w:t>
            </w:r>
          </w:p>
          <w:p>
            <w:pPr>
              <w:spacing w:after="0"/>
            </w:pPr>
            <w:r>
              <w:rPr>
                <w:rFonts w:ascii="Inter" w:hAnsi="Inter" w:cs="Inter" w:eastAsia="Inter"/>
                <w:b w:val="0"/>
                <w:i w:val="0"/>
                <w:color w:val="76829C"/>
                <w:sz w:val="14"/>
              </w:rPr>
              <w:t>Texto sobre acento suave</w:t>
            </w:r>
          </w:p>
        </w:tc>
        <w:tc>
          <w:tcPr>
            <w:tcW w:type="dxa" w:w="3264"/>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0F7E7E"/>
              <w:spacing w:after="40"/>
            </w:pPr>
            <w:r>
              <w:rPr>
                <w:rFonts w:ascii="JetBrains Mono" w:hAnsi="JetBrains Mono" w:cs="JetBrains Mono" w:eastAsia="JetBrains Mono"/>
                <w:b w:val="0"/>
                <w:i w:val="0"/>
                <w:color w:val="0F7E7E"/>
                <w:sz w:val="22"/>
              </w:rPr>
              <w:t xml:space="preserve">                                  </w:t>
            </w:r>
          </w:p>
          <w:p>
            <w:pPr>
              <w:spacing w:after="0"/>
            </w:pPr>
            <w:r>
              <w:rPr>
                <w:rFonts w:ascii="JetBrains Mono" w:hAnsi="JetBrains Mono" w:cs="JetBrains Mono" w:eastAsia="JetBrains Mono"/>
                <w:b/>
                <w:i w:val="0"/>
                <w:color w:val="0A1A3A"/>
                <w:sz w:val="15"/>
              </w:rPr>
              <w:t>--teal</w:t>
            </w:r>
          </w:p>
          <w:p>
            <w:pPr>
              <w:spacing w:after="0"/>
            </w:pPr>
            <w:r>
              <w:rPr>
                <w:rFonts w:ascii="JetBrains Mono" w:hAnsi="JetBrains Mono" w:cs="JetBrains Mono" w:eastAsia="JetBrains Mono"/>
                <w:b w:val="0"/>
                <w:i w:val="0"/>
                <w:color w:val="1551C0"/>
                <w:sz w:val="15"/>
              </w:rPr>
              <w:t>#0F7E7E</w:t>
            </w:r>
          </w:p>
          <w:p>
            <w:pPr>
              <w:spacing w:after="0"/>
            </w:pPr>
            <w:r>
              <w:rPr>
                <w:rFonts w:ascii="Inter" w:hAnsi="Inter" w:cs="Inter" w:eastAsia="Inter"/>
                <w:b w:val="0"/>
                <w:i w:val="0"/>
                <w:color w:val="76829C"/>
                <w:sz w:val="14"/>
              </w:rPr>
              <w:t>Acento secundario</w:t>
            </w:r>
          </w:p>
        </w:tc>
        <w:tc>
          <w:tcPr>
            <w:tcW w:type="dxa" w:w="3264"/>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E3F2F2"/>
              <w:spacing w:after="40"/>
            </w:pPr>
            <w:r>
              <w:rPr>
                <w:rFonts w:ascii="JetBrains Mono" w:hAnsi="JetBrains Mono" w:cs="JetBrains Mono" w:eastAsia="JetBrains Mono"/>
                <w:b w:val="0"/>
                <w:i w:val="0"/>
                <w:color w:val="E3F2F2"/>
                <w:sz w:val="22"/>
              </w:rPr>
              <w:t xml:space="preserve">                                  </w:t>
            </w:r>
          </w:p>
          <w:p>
            <w:pPr>
              <w:spacing w:after="0"/>
            </w:pPr>
            <w:r>
              <w:rPr>
                <w:rFonts w:ascii="JetBrains Mono" w:hAnsi="JetBrains Mono" w:cs="JetBrains Mono" w:eastAsia="JetBrains Mono"/>
                <w:b/>
                <w:i w:val="0"/>
                <w:color w:val="0A1A3A"/>
                <w:sz w:val="15"/>
              </w:rPr>
              <w:t>--teal-soft</w:t>
            </w:r>
          </w:p>
          <w:p>
            <w:pPr>
              <w:spacing w:after="0"/>
            </w:pPr>
            <w:r>
              <w:rPr>
                <w:rFonts w:ascii="JetBrains Mono" w:hAnsi="JetBrains Mono" w:cs="JetBrains Mono" w:eastAsia="JetBrains Mono"/>
                <w:b w:val="0"/>
                <w:i w:val="0"/>
                <w:color w:val="1551C0"/>
                <w:sz w:val="15"/>
              </w:rPr>
              <w:t>#E3F2F2</w:t>
            </w:r>
          </w:p>
          <w:p>
            <w:pPr>
              <w:spacing w:after="0"/>
            </w:pPr>
            <w:r>
              <w:rPr>
                <w:rFonts w:ascii="Inter" w:hAnsi="Inter" w:cs="Inter" w:eastAsia="Inter"/>
                <w:b w:val="0"/>
                <w:i w:val="0"/>
                <w:color w:val="76829C"/>
                <w:sz w:val="14"/>
              </w:rPr>
              <w:t>Fondo teal</w:t>
            </w:r>
          </w:p>
        </w:tc>
      </w:tr>
      <w:tr>
        <w:tc>
          <w:tcPr>
            <w:tcW w:type="dxa" w:w="3264"/>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15875A"/>
              <w:spacing w:after="40"/>
            </w:pPr>
            <w:r>
              <w:rPr>
                <w:rFonts w:ascii="JetBrains Mono" w:hAnsi="JetBrains Mono" w:cs="JetBrains Mono" w:eastAsia="JetBrains Mono"/>
                <w:b w:val="0"/>
                <w:i w:val="0"/>
                <w:color w:val="15875A"/>
                <w:sz w:val="22"/>
              </w:rPr>
              <w:t xml:space="preserve">                                  </w:t>
            </w:r>
          </w:p>
          <w:p>
            <w:pPr>
              <w:spacing w:after="0"/>
            </w:pPr>
            <w:r>
              <w:rPr>
                <w:rFonts w:ascii="JetBrains Mono" w:hAnsi="JetBrains Mono" w:cs="JetBrains Mono" w:eastAsia="JetBrains Mono"/>
                <w:b/>
                <w:i w:val="0"/>
                <w:color w:val="0A1A3A"/>
                <w:sz w:val="15"/>
              </w:rPr>
              <w:t>--ok</w:t>
            </w:r>
          </w:p>
          <w:p>
            <w:pPr>
              <w:spacing w:after="0"/>
            </w:pPr>
            <w:r>
              <w:rPr>
                <w:rFonts w:ascii="JetBrains Mono" w:hAnsi="JetBrains Mono" w:cs="JetBrains Mono" w:eastAsia="JetBrains Mono"/>
                <w:b w:val="0"/>
                <w:i w:val="0"/>
                <w:color w:val="1551C0"/>
                <w:sz w:val="15"/>
              </w:rPr>
              <w:t>#15875A</w:t>
            </w:r>
          </w:p>
          <w:p>
            <w:pPr>
              <w:spacing w:after="0"/>
            </w:pPr>
            <w:r>
              <w:rPr>
                <w:rFonts w:ascii="Inter" w:hAnsi="Inter" w:cs="Inter" w:eastAsia="Inter"/>
                <w:b w:val="0"/>
                <w:i w:val="0"/>
                <w:color w:val="76829C"/>
                <w:sz w:val="14"/>
              </w:rPr>
              <w:t>Positivo / fuerte</w:t>
            </w:r>
          </w:p>
        </w:tc>
        <w:tc>
          <w:tcPr>
            <w:tcW w:type="dxa" w:w="3264"/>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B7791F"/>
              <w:spacing w:after="40"/>
            </w:pPr>
            <w:r>
              <w:rPr>
                <w:rFonts w:ascii="JetBrains Mono" w:hAnsi="JetBrains Mono" w:cs="JetBrains Mono" w:eastAsia="JetBrains Mono"/>
                <w:b w:val="0"/>
                <w:i w:val="0"/>
                <w:color w:val="B7791F"/>
                <w:sz w:val="22"/>
              </w:rPr>
              <w:t xml:space="preserve">                                  </w:t>
            </w:r>
          </w:p>
          <w:p>
            <w:pPr>
              <w:spacing w:after="0"/>
            </w:pPr>
            <w:r>
              <w:rPr>
                <w:rFonts w:ascii="JetBrains Mono" w:hAnsi="JetBrains Mono" w:cs="JetBrains Mono" w:eastAsia="JetBrains Mono"/>
                <w:b/>
                <w:i w:val="0"/>
                <w:color w:val="0A1A3A"/>
                <w:sz w:val="15"/>
              </w:rPr>
              <w:t>--warn</w:t>
            </w:r>
          </w:p>
          <w:p>
            <w:pPr>
              <w:spacing w:after="0"/>
            </w:pPr>
            <w:r>
              <w:rPr>
                <w:rFonts w:ascii="JetBrains Mono" w:hAnsi="JetBrains Mono" w:cs="JetBrains Mono" w:eastAsia="JetBrains Mono"/>
                <w:b w:val="0"/>
                <w:i w:val="0"/>
                <w:color w:val="1551C0"/>
                <w:sz w:val="15"/>
              </w:rPr>
              <w:t>#B7791F</w:t>
            </w:r>
          </w:p>
          <w:p>
            <w:pPr>
              <w:spacing w:after="0"/>
            </w:pPr>
            <w:r>
              <w:rPr>
                <w:rFonts w:ascii="Inter" w:hAnsi="Inter" w:cs="Inter" w:eastAsia="Inter"/>
                <w:b w:val="0"/>
                <w:i w:val="0"/>
                <w:color w:val="76829C"/>
                <w:sz w:val="14"/>
              </w:rPr>
              <w:t>Vigilar</w:t>
            </w:r>
          </w:p>
        </w:tc>
        <w:tc>
          <w:tcPr>
            <w:tcW w:type="dxa" w:w="3264"/>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C8392E"/>
              <w:spacing w:after="40"/>
            </w:pPr>
            <w:r>
              <w:rPr>
                <w:rFonts w:ascii="JetBrains Mono" w:hAnsi="JetBrains Mono" w:cs="JetBrains Mono" w:eastAsia="JetBrains Mono"/>
                <w:b w:val="0"/>
                <w:i w:val="0"/>
                <w:color w:val="C8392E"/>
                <w:sz w:val="22"/>
              </w:rPr>
              <w:t xml:space="preserve">                                  </w:t>
            </w:r>
          </w:p>
          <w:p>
            <w:pPr>
              <w:spacing w:after="0"/>
            </w:pPr>
            <w:r>
              <w:rPr>
                <w:rFonts w:ascii="JetBrains Mono" w:hAnsi="JetBrains Mono" w:cs="JetBrains Mono" w:eastAsia="JetBrains Mono"/>
                <w:b/>
                <w:i w:val="0"/>
                <w:color w:val="0A1A3A"/>
                <w:sz w:val="15"/>
              </w:rPr>
              <w:t>--alert</w:t>
            </w:r>
          </w:p>
          <w:p>
            <w:pPr>
              <w:spacing w:after="0"/>
            </w:pPr>
            <w:r>
              <w:rPr>
                <w:rFonts w:ascii="JetBrains Mono" w:hAnsi="JetBrains Mono" w:cs="JetBrains Mono" w:eastAsia="JetBrains Mono"/>
                <w:b w:val="0"/>
                <w:i w:val="0"/>
                <w:color w:val="1551C0"/>
                <w:sz w:val="15"/>
              </w:rPr>
              <w:t>#C8392E</w:t>
            </w:r>
          </w:p>
          <w:p>
            <w:pPr>
              <w:spacing w:after="0"/>
            </w:pPr>
            <w:r>
              <w:rPr>
                <w:rFonts w:ascii="Inter" w:hAnsi="Inter" w:cs="Inter" w:eastAsia="Inter"/>
                <w:b w:val="0"/>
                <w:i w:val="0"/>
                <w:color w:val="76829C"/>
                <w:sz w:val="14"/>
              </w:rPr>
              <w:t>Crítico / débil</w:t>
            </w:r>
          </w:p>
        </w:tc>
      </w:tr>
    </w:tbl>
    <w:p>
      <w:pPr>
        <w:spacing w:after="120" w:before="0"/>
      </w:pPr>
    </w:p>
    <w:p>
      <w:pPr>
        <w:keepNext/>
        <w:spacing w:before="180" w:after="40"/>
      </w:pPr>
      <w:r>
        <w:rPr>
          <w:rFonts w:ascii="Plus Jakarta Sans" w:hAnsi="Plus Jakarta Sans" w:cs="Plus Jakarta Sans" w:eastAsia="Plus Jakarta Sans"/>
          <w:b/>
          <w:i w:val="0"/>
          <w:color w:val="1551C0"/>
          <w:sz w:val="21"/>
        </w:rPr>
        <w:t>Paleta de datos (series de gráfico)</w:t>
      </w:r>
    </w:p>
    <w:p>
      <w:pPr>
        <w:spacing w:after="80" w:before="0"/>
      </w:pPr>
      <w:r>
        <w:rPr>
          <w:rFonts w:ascii="Inter" w:hAnsi="Inter" w:cs="Inter" w:eastAsia="Inter"/>
          <w:b w:val="0"/>
          <w:i w:val="0"/>
          <w:color w:val="43506B"/>
          <w:sz w:val="19"/>
        </w:rPr>
        <w:t>Máximo seis series; después se reutilizan en orden. Nunca se colorea por gusto: el orden es fijo para que dos gráficos distintos del mismo informe usen el mismo color para la primera serie.</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632"/>
        <w:gridCol w:w="1632"/>
        <w:gridCol w:w="1632"/>
        <w:gridCol w:w="1632"/>
        <w:gridCol w:w="1632"/>
        <w:gridCol w:w="1632"/>
      </w:tblGrid>
      <w:tr>
        <w:tc>
          <w:tcPr>
            <w:tcW w:type="dxa" w:w="1632"/>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1E6FFF"/>
              <w:spacing w:after="40"/>
            </w:pPr>
            <w:r>
              <w:rPr>
                <w:rFonts w:ascii="JetBrains Mono" w:hAnsi="JetBrains Mono" w:cs="JetBrains Mono" w:eastAsia="JetBrains Mono"/>
                <w:b w:val="0"/>
                <w:i w:val="0"/>
                <w:color w:val="1E6FFF"/>
                <w:sz w:val="22"/>
              </w:rPr>
              <w:t xml:space="preserve">                                  </w:t>
            </w:r>
          </w:p>
          <w:p>
            <w:pPr>
              <w:spacing w:after="0"/>
            </w:pPr>
            <w:r>
              <w:rPr>
                <w:rFonts w:ascii="JetBrains Mono" w:hAnsi="JetBrains Mono" w:cs="JetBrains Mono" w:eastAsia="JetBrains Mono"/>
                <w:b/>
                <w:i w:val="0"/>
                <w:color w:val="0A1A3A"/>
                <w:sz w:val="15"/>
              </w:rPr>
              <w:t>--c1</w:t>
            </w:r>
          </w:p>
          <w:p>
            <w:pPr>
              <w:spacing w:after="0"/>
            </w:pPr>
            <w:r>
              <w:rPr>
                <w:rFonts w:ascii="JetBrains Mono" w:hAnsi="JetBrains Mono" w:cs="JetBrains Mono" w:eastAsia="JetBrains Mono"/>
                <w:b w:val="0"/>
                <w:i w:val="0"/>
                <w:color w:val="1551C0"/>
                <w:sz w:val="15"/>
              </w:rPr>
              <w:t>#1E6FFF</w:t>
            </w:r>
          </w:p>
          <w:p>
            <w:pPr>
              <w:spacing w:after="0"/>
            </w:pPr>
            <w:r>
              <w:rPr>
                <w:rFonts w:ascii="Inter" w:hAnsi="Inter" w:cs="Inter" w:eastAsia="Inter"/>
                <w:b w:val="0"/>
                <w:i w:val="0"/>
                <w:color w:val="76829C"/>
                <w:sz w:val="14"/>
              </w:rPr>
              <w:t>Serie 1</w:t>
            </w:r>
          </w:p>
        </w:tc>
        <w:tc>
          <w:tcPr>
            <w:tcW w:type="dxa" w:w="1632"/>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0F7E7E"/>
              <w:spacing w:after="40"/>
            </w:pPr>
            <w:r>
              <w:rPr>
                <w:rFonts w:ascii="JetBrains Mono" w:hAnsi="JetBrains Mono" w:cs="JetBrains Mono" w:eastAsia="JetBrains Mono"/>
                <w:b w:val="0"/>
                <w:i w:val="0"/>
                <w:color w:val="0F7E7E"/>
                <w:sz w:val="22"/>
              </w:rPr>
              <w:t xml:space="preserve">                                  </w:t>
            </w:r>
          </w:p>
          <w:p>
            <w:pPr>
              <w:spacing w:after="0"/>
            </w:pPr>
            <w:r>
              <w:rPr>
                <w:rFonts w:ascii="JetBrains Mono" w:hAnsi="JetBrains Mono" w:cs="JetBrains Mono" w:eastAsia="JetBrains Mono"/>
                <w:b/>
                <w:i w:val="0"/>
                <w:color w:val="0A1A3A"/>
                <w:sz w:val="15"/>
              </w:rPr>
              <w:t>--c2</w:t>
            </w:r>
          </w:p>
          <w:p>
            <w:pPr>
              <w:spacing w:after="0"/>
            </w:pPr>
            <w:r>
              <w:rPr>
                <w:rFonts w:ascii="JetBrains Mono" w:hAnsi="JetBrains Mono" w:cs="JetBrains Mono" w:eastAsia="JetBrains Mono"/>
                <w:b w:val="0"/>
                <w:i w:val="0"/>
                <w:color w:val="1551C0"/>
                <w:sz w:val="15"/>
              </w:rPr>
              <w:t>#0F7E7E</w:t>
            </w:r>
          </w:p>
          <w:p>
            <w:pPr>
              <w:spacing w:after="0"/>
            </w:pPr>
            <w:r>
              <w:rPr>
                <w:rFonts w:ascii="Inter" w:hAnsi="Inter" w:cs="Inter" w:eastAsia="Inter"/>
                <w:b w:val="0"/>
                <w:i w:val="0"/>
                <w:color w:val="76829C"/>
                <w:sz w:val="14"/>
              </w:rPr>
              <w:t>Serie 2</w:t>
            </w:r>
          </w:p>
        </w:tc>
        <w:tc>
          <w:tcPr>
            <w:tcW w:type="dxa" w:w="1632"/>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7A5AF8"/>
              <w:spacing w:after="40"/>
            </w:pPr>
            <w:r>
              <w:rPr>
                <w:rFonts w:ascii="JetBrains Mono" w:hAnsi="JetBrains Mono" w:cs="JetBrains Mono" w:eastAsia="JetBrains Mono"/>
                <w:b w:val="0"/>
                <w:i w:val="0"/>
                <w:color w:val="7A5AF8"/>
                <w:sz w:val="22"/>
              </w:rPr>
              <w:t xml:space="preserve">                                  </w:t>
            </w:r>
          </w:p>
          <w:p>
            <w:pPr>
              <w:spacing w:after="0"/>
            </w:pPr>
            <w:r>
              <w:rPr>
                <w:rFonts w:ascii="JetBrains Mono" w:hAnsi="JetBrains Mono" w:cs="JetBrains Mono" w:eastAsia="JetBrains Mono"/>
                <w:b/>
                <w:i w:val="0"/>
                <w:color w:val="0A1A3A"/>
                <w:sz w:val="15"/>
              </w:rPr>
              <w:t>--c3</w:t>
            </w:r>
          </w:p>
          <w:p>
            <w:pPr>
              <w:spacing w:after="0"/>
            </w:pPr>
            <w:r>
              <w:rPr>
                <w:rFonts w:ascii="JetBrains Mono" w:hAnsi="JetBrains Mono" w:cs="JetBrains Mono" w:eastAsia="JetBrains Mono"/>
                <w:b w:val="0"/>
                <w:i w:val="0"/>
                <w:color w:val="1551C0"/>
                <w:sz w:val="15"/>
              </w:rPr>
              <w:t>#7A5AF8</w:t>
            </w:r>
          </w:p>
          <w:p>
            <w:pPr>
              <w:spacing w:after="0"/>
            </w:pPr>
            <w:r>
              <w:rPr>
                <w:rFonts w:ascii="Inter" w:hAnsi="Inter" w:cs="Inter" w:eastAsia="Inter"/>
                <w:b w:val="0"/>
                <w:i w:val="0"/>
                <w:color w:val="76829C"/>
                <w:sz w:val="14"/>
              </w:rPr>
              <w:t>Serie 3</w:t>
            </w:r>
          </w:p>
        </w:tc>
        <w:tc>
          <w:tcPr>
            <w:tcW w:type="dxa" w:w="1632"/>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B7791F"/>
              <w:spacing w:after="40"/>
            </w:pPr>
            <w:r>
              <w:rPr>
                <w:rFonts w:ascii="JetBrains Mono" w:hAnsi="JetBrains Mono" w:cs="JetBrains Mono" w:eastAsia="JetBrains Mono"/>
                <w:b w:val="0"/>
                <w:i w:val="0"/>
                <w:color w:val="B7791F"/>
                <w:sz w:val="22"/>
              </w:rPr>
              <w:t xml:space="preserve">                                  </w:t>
            </w:r>
          </w:p>
          <w:p>
            <w:pPr>
              <w:spacing w:after="0"/>
            </w:pPr>
            <w:r>
              <w:rPr>
                <w:rFonts w:ascii="JetBrains Mono" w:hAnsi="JetBrains Mono" w:cs="JetBrains Mono" w:eastAsia="JetBrains Mono"/>
                <w:b/>
                <w:i w:val="0"/>
                <w:color w:val="0A1A3A"/>
                <w:sz w:val="15"/>
              </w:rPr>
              <w:t>--c4</w:t>
            </w:r>
          </w:p>
          <w:p>
            <w:pPr>
              <w:spacing w:after="0"/>
            </w:pPr>
            <w:r>
              <w:rPr>
                <w:rFonts w:ascii="JetBrains Mono" w:hAnsi="JetBrains Mono" w:cs="JetBrains Mono" w:eastAsia="JetBrains Mono"/>
                <w:b w:val="0"/>
                <w:i w:val="0"/>
                <w:color w:val="1551C0"/>
                <w:sz w:val="15"/>
              </w:rPr>
              <w:t>#B7791F</w:t>
            </w:r>
          </w:p>
          <w:p>
            <w:pPr>
              <w:spacing w:after="0"/>
            </w:pPr>
            <w:r>
              <w:rPr>
                <w:rFonts w:ascii="Inter" w:hAnsi="Inter" w:cs="Inter" w:eastAsia="Inter"/>
                <w:b w:val="0"/>
                <w:i w:val="0"/>
                <w:color w:val="76829C"/>
                <w:sz w:val="14"/>
              </w:rPr>
              <w:t>Serie 4</w:t>
            </w:r>
          </w:p>
        </w:tc>
        <w:tc>
          <w:tcPr>
            <w:tcW w:type="dxa" w:w="1632"/>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E0729A"/>
              <w:spacing w:after="40"/>
            </w:pPr>
            <w:r>
              <w:rPr>
                <w:rFonts w:ascii="JetBrains Mono" w:hAnsi="JetBrains Mono" w:cs="JetBrains Mono" w:eastAsia="JetBrains Mono"/>
                <w:b w:val="0"/>
                <w:i w:val="0"/>
                <w:color w:val="E0729A"/>
                <w:sz w:val="22"/>
              </w:rPr>
              <w:t xml:space="preserve">                                  </w:t>
            </w:r>
          </w:p>
          <w:p>
            <w:pPr>
              <w:spacing w:after="0"/>
            </w:pPr>
            <w:r>
              <w:rPr>
                <w:rFonts w:ascii="JetBrains Mono" w:hAnsi="JetBrains Mono" w:cs="JetBrains Mono" w:eastAsia="JetBrains Mono"/>
                <w:b/>
                <w:i w:val="0"/>
                <w:color w:val="0A1A3A"/>
                <w:sz w:val="15"/>
              </w:rPr>
              <w:t>--c5</w:t>
            </w:r>
          </w:p>
          <w:p>
            <w:pPr>
              <w:spacing w:after="0"/>
            </w:pPr>
            <w:r>
              <w:rPr>
                <w:rFonts w:ascii="JetBrains Mono" w:hAnsi="JetBrains Mono" w:cs="JetBrains Mono" w:eastAsia="JetBrains Mono"/>
                <w:b w:val="0"/>
                <w:i w:val="0"/>
                <w:color w:val="1551C0"/>
                <w:sz w:val="15"/>
              </w:rPr>
              <w:t>#E0729A</w:t>
            </w:r>
          </w:p>
          <w:p>
            <w:pPr>
              <w:spacing w:after="0"/>
            </w:pPr>
            <w:r>
              <w:rPr>
                <w:rFonts w:ascii="Inter" w:hAnsi="Inter" w:cs="Inter" w:eastAsia="Inter"/>
                <w:b w:val="0"/>
                <w:i w:val="0"/>
                <w:color w:val="76829C"/>
                <w:sz w:val="14"/>
              </w:rPr>
              <w:t>Serie 5</w:t>
            </w:r>
          </w:p>
        </w:tc>
        <w:tc>
          <w:tcPr>
            <w:tcW w:type="dxa" w:w="1632"/>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2BA8A8"/>
              <w:spacing w:after="40"/>
            </w:pPr>
            <w:r>
              <w:rPr>
                <w:rFonts w:ascii="JetBrains Mono" w:hAnsi="JetBrains Mono" w:cs="JetBrains Mono" w:eastAsia="JetBrains Mono"/>
                <w:b w:val="0"/>
                <w:i w:val="0"/>
                <w:color w:val="2BA8A8"/>
                <w:sz w:val="22"/>
              </w:rPr>
              <w:t xml:space="preserve">                                  </w:t>
            </w:r>
          </w:p>
          <w:p>
            <w:pPr>
              <w:spacing w:after="0"/>
            </w:pPr>
            <w:r>
              <w:rPr>
                <w:rFonts w:ascii="JetBrains Mono" w:hAnsi="JetBrains Mono" w:cs="JetBrains Mono" w:eastAsia="JetBrains Mono"/>
                <w:b/>
                <w:i w:val="0"/>
                <w:color w:val="0A1A3A"/>
                <w:sz w:val="15"/>
              </w:rPr>
              <w:t>--c6</w:t>
            </w:r>
          </w:p>
          <w:p>
            <w:pPr>
              <w:spacing w:after="0"/>
            </w:pPr>
            <w:r>
              <w:rPr>
                <w:rFonts w:ascii="JetBrains Mono" w:hAnsi="JetBrains Mono" w:cs="JetBrains Mono" w:eastAsia="JetBrains Mono"/>
                <w:b w:val="0"/>
                <w:i w:val="0"/>
                <w:color w:val="1551C0"/>
                <w:sz w:val="15"/>
              </w:rPr>
              <w:t>#2BA8A8</w:t>
            </w:r>
          </w:p>
          <w:p>
            <w:pPr>
              <w:spacing w:after="0"/>
            </w:pPr>
            <w:r>
              <w:rPr>
                <w:rFonts w:ascii="Inter" w:hAnsi="Inter" w:cs="Inter" w:eastAsia="Inter"/>
                <w:b w:val="0"/>
                <w:i w:val="0"/>
                <w:color w:val="76829C"/>
                <w:sz w:val="14"/>
              </w:rPr>
              <w:t>Serie 6</w:t>
            </w:r>
          </w:p>
        </w:tc>
      </w:tr>
    </w:tbl>
    <w:p>
      <w:pPr>
        <w:spacing w:after="120" w:before="0"/>
      </w:pPr>
    </w:p>
    <w:p>
      <w:pPr>
        <w:keepNext/>
        <w:spacing w:before="260" w:after="60"/>
      </w:pPr>
      <w:r>
        <w:rPr>
          <w:rFonts w:ascii="Plus Jakarta Sans" w:hAnsi="Plus Jakarta Sans" w:cs="Plus Jakarta Sans" w:eastAsia="Plus Jakarta Sans"/>
          <w:b/>
          <w:i w:val="0"/>
          <w:color w:val="0A1A3A"/>
          <w:spacing w:val="-8"/>
          <w:sz w:val="25"/>
        </w:rPr>
        <w:t>2.3 Color — tema oscuro (ciudadano de primera clase)</w:t>
      </w:r>
    </w:p>
    <w:p>
      <w:pPr>
        <w:spacing w:after="120" w:before="0"/>
      </w:pPr>
      <w:r>
        <w:rPr>
          <w:rFonts w:ascii="Inter" w:hAnsi="Inter" w:cs="Inter" w:eastAsia="Inter"/>
          <w:b w:val="0"/>
          <w:i w:val="0"/>
          <w:color w:val="43506B"/>
          <w:sz w:val="19"/>
        </w:rPr>
        <w:t>El tema oscuro no es una cortesía: es un modo real, persistido por usuario, y la presentación debería mostrarlo. Todo componente y todo gráfico se resuelven por token, así que cambiar de tema no toca el marcado.</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2448"/>
        <w:gridCol w:w="2448"/>
        <w:gridCol w:w="2448"/>
        <w:gridCol w:w="2448"/>
      </w:tblGrid>
      <w:tr>
        <w:tc>
          <w:tcPr>
            <w:tcW w:type="dxa" w:w="2448"/>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0A0F1C"/>
              <w:spacing w:after="40"/>
            </w:pPr>
            <w:r>
              <w:rPr>
                <w:rFonts w:ascii="JetBrains Mono" w:hAnsi="JetBrains Mono" w:cs="JetBrains Mono" w:eastAsia="JetBrains Mono"/>
                <w:b w:val="0"/>
                <w:i w:val="0"/>
                <w:color w:val="0A0F1C"/>
                <w:sz w:val="22"/>
              </w:rPr>
              <w:t xml:space="preserve">                                  </w:t>
            </w:r>
          </w:p>
          <w:p>
            <w:pPr>
              <w:spacing w:after="0"/>
            </w:pPr>
            <w:r>
              <w:rPr>
                <w:rFonts w:ascii="JetBrains Mono" w:hAnsi="JetBrains Mono" w:cs="JetBrains Mono" w:eastAsia="JetBrains Mono"/>
                <w:b/>
                <w:i w:val="0"/>
                <w:color w:val="0A1A3A"/>
                <w:sz w:val="15"/>
              </w:rPr>
              <w:t>--canvas</w:t>
            </w:r>
          </w:p>
          <w:p>
            <w:pPr>
              <w:spacing w:after="0"/>
            </w:pPr>
            <w:r>
              <w:rPr>
                <w:rFonts w:ascii="JetBrains Mono" w:hAnsi="JetBrains Mono" w:cs="JetBrains Mono" w:eastAsia="JetBrains Mono"/>
                <w:b w:val="0"/>
                <w:i w:val="0"/>
                <w:color w:val="1551C0"/>
                <w:sz w:val="15"/>
              </w:rPr>
              <w:t>#0A0F1C</w:t>
            </w:r>
          </w:p>
          <w:p>
            <w:pPr>
              <w:spacing w:after="0"/>
            </w:pPr>
            <w:r>
              <w:rPr>
                <w:rFonts w:ascii="Inter" w:hAnsi="Inter" w:cs="Inter" w:eastAsia="Inter"/>
                <w:b w:val="0"/>
                <w:i w:val="0"/>
                <w:color w:val="76829C"/>
                <w:sz w:val="14"/>
              </w:rPr>
              <w:t>Fondo de página</w:t>
            </w:r>
          </w:p>
        </w:tc>
        <w:tc>
          <w:tcPr>
            <w:tcW w:type="dxa" w:w="2448"/>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121B2E"/>
              <w:spacing w:after="40"/>
            </w:pPr>
            <w:r>
              <w:rPr>
                <w:rFonts w:ascii="JetBrains Mono" w:hAnsi="JetBrains Mono" w:cs="JetBrains Mono" w:eastAsia="JetBrains Mono"/>
                <w:b w:val="0"/>
                <w:i w:val="0"/>
                <w:color w:val="121B2E"/>
                <w:sz w:val="22"/>
              </w:rPr>
              <w:t xml:space="preserve">                                  </w:t>
            </w:r>
          </w:p>
          <w:p>
            <w:pPr>
              <w:spacing w:after="0"/>
            </w:pPr>
            <w:r>
              <w:rPr>
                <w:rFonts w:ascii="JetBrains Mono" w:hAnsi="JetBrains Mono" w:cs="JetBrains Mono" w:eastAsia="JetBrains Mono"/>
                <w:b/>
                <w:i w:val="0"/>
                <w:color w:val="0A1A3A"/>
                <w:sz w:val="15"/>
              </w:rPr>
              <w:t>--surface</w:t>
            </w:r>
          </w:p>
          <w:p>
            <w:pPr>
              <w:spacing w:after="0"/>
            </w:pPr>
            <w:r>
              <w:rPr>
                <w:rFonts w:ascii="JetBrains Mono" w:hAnsi="JetBrains Mono" w:cs="JetBrains Mono" w:eastAsia="JetBrains Mono"/>
                <w:b w:val="0"/>
                <w:i w:val="0"/>
                <w:color w:val="1551C0"/>
                <w:sz w:val="15"/>
              </w:rPr>
              <w:t>#121B2E</w:t>
            </w:r>
          </w:p>
          <w:p>
            <w:pPr>
              <w:spacing w:after="0"/>
            </w:pPr>
            <w:r>
              <w:rPr>
                <w:rFonts w:ascii="Inter" w:hAnsi="Inter" w:cs="Inter" w:eastAsia="Inter"/>
                <w:b w:val="0"/>
                <w:i w:val="0"/>
                <w:color w:val="76829C"/>
                <w:sz w:val="14"/>
              </w:rPr>
              <w:t>Tarjetas</w:t>
            </w:r>
          </w:p>
        </w:tc>
        <w:tc>
          <w:tcPr>
            <w:tcW w:type="dxa" w:w="2448"/>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182238"/>
              <w:spacing w:after="40"/>
            </w:pPr>
            <w:r>
              <w:rPr>
                <w:rFonts w:ascii="JetBrains Mono" w:hAnsi="JetBrains Mono" w:cs="JetBrains Mono" w:eastAsia="JetBrains Mono"/>
                <w:b w:val="0"/>
                <w:i w:val="0"/>
                <w:color w:val="182238"/>
                <w:sz w:val="22"/>
              </w:rPr>
              <w:t xml:space="preserve">                                  </w:t>
            </w:r>
          </w:p>
          <w:p>
            <w:pPr>
              <w:spacing w:after="0"/>
            </w:pPr>
            <w:r>
              <w:rPr>
                <w:rFonts w:ascii="JetBrains Mono" w:hAnsi="JetBrains Mono" w:cs="JetBrains Mono" w:eastAsia="JetBrains Mono"/>
                <w:b/>
                <w:i w:val="0"/>
                <w:color w:val="0A1A3A"/>
                <w:sz w:val="15"/>
              </w:rPr>
              <w:t>--surface-2</w:t>
            </w:r>
          </w:p>
          <w:p>
            <w:pPr>
              <w:spacing w:after="0"/>
            </w:pPr>
            <w:r>
              <w:rPr>
                <w:rFonts w:ascii="JetBrains Mono" w:hAnsi="JetBrains Mono" w:cs="JetBrains Mono" w:eastAsia="JetBrains Mono"/>
                <w:b w:val="0"/>
                <w:i w:val="0"/>
                <w:color w:val="1551C0"/>
                <w:sz w:val="15"/>
              </w:rPr>
              <w:t>#182238</w:t>
            </w:r>
          </w:p>
          <w:p>
            <w:pPr>
              <w:spacing w:after="0"/>
            </w:pPr>
            <w:r>
              <w:rPr>
                <w:rFonts w:ascii="Inter" w:hAnsi="Inter" w:cs="Inter" w:eastAsia="Inter"/>
                <w:b w:val="0"/>
                <w:i w:val="0"/>
                <w:color w:val="76829C"/>
                <w:sz w:val="14"/>
              </w:rPr>
              <w:t>Fondo hundido</w:t>
            </w:r>
          </w:p>
        </w:tc>
        <w:tc>
          <w:tcPr>
            <w:tcW w:type="dxa" w:w="2448"/>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EAF0FB"/>
              <w:spacing w:after="40"/>
            </w:pPr>
            <w:r>
              <w:rPr>
                <w:rFonts w:ascii="JetBrains Mono" w:hAnsi="JetBrains Mono" w:cs="JetBrains Mono" w:eastAsia="JetBrains Mono"/>
                <w:b w:val="0"/>
                <w:i w:val="0"/>
                <w:color w:val="EAF0FB"/>
                <w:sz w:val="22"/>
              </w:rPr>
              <w:t xml:space="preserve">                                  </w:t>
            </w:r>
          </w:p>
          <w:p>
            <w:pPr>
              <w:spacing w:after="0"/>
            </w:pPr>
            <w:r>
              <w:rPr>
                <w:rFonts w:ascii="JetBrains Mono" w:hAnsi="JetBrains Mono" w:cs="JetBrains Mono" w:eastAsia="JetBrains Mono"/>
                <w:b/>
                <w:i w:val="0"/>
                <w:color w:val="0A1A3A"/>
                <w:sz w:val="15"/>
              </w:rPr>
              <w:t>--ink</w:t>
            </w:r>
          </w:p>
          <w:p>
            <w:pPr>
              <w:spacing w:after="0"/>
            </w:pPr>
            <w:r>
              <w:rPr>
                <w:rFonts w:ascii="JetBrains Mono" w:hAnsi="JetBrains Mono" w:cs="JetBrains Mono" w:eastAsia="JetBrains Mono"/>
                <w:b w:val="0"/>
                <w:i w:val="0"/>
                <w:color w:val="1551C0"/>
                <w:sz w:val="15"/>
              </w:rPr>
              <w:t>#EAF0FB</w:t>
            </w:r>
          </w:p>
          <w:p>
            <w:pPr>
              <w:spacing w:after="0"/>
            </w:pPr>
            <w:r>
              <w:rPr>
                <w:rFonts w:ascii="Inter" w:hAnsi="Inter" w:cs="Inter" w:eastAsia="Inter"/>
                <w:b w:val="0"/>
                <w:i w:val="0"/>
                <w:color w:val="76829C"/>
                <w:sz w:val="14"/>
              </w:rPr>
              <w:t>Títulos y cifras</w:t>
            </w:r>
          </w:p>
        </w:tc>
      </w:tr>
      <w:tr>
        <w:tc>
          <w:tcPr>
            <w:tcW w:type="dxa" w:w="2448"/>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AEB9D2"/>
              <w:spacing w:after="40"/>
            </w:pPr>
            <w:r>
              <w:rPr>
                <w:rFonts w:ascii="JetBrains Mono" w:hAnsi="JetBrains Mono" w:cs="JetBrains Mono" w:eastAsia="JetBrains Mono"/>
                <w:b w:val="0"/>
                <w:i w:val="0"/>
                <w:color w:val="AEB9D2"/>
                <w:sz w:val="22"/>
              </w:rPr>
              <w:t xml:space="preserve">                                  </w:t>
            </w:r>
          </w:p>
          <w:p>
            <w:pPr>
              <w:spacing w:after="0"/>
            </w:pPr>
            <w:r>
              <w:rPr>
                <w:rFonts w:ascii="JetBrains Mono" w:hAnsi="JetBrains Mono" w:cs="JetBrains Mono" w:eastAsia="JetBrains Mono"/>
                <w:b/>
                <w:i w:val="0"/>
                <w:color w:val="0A1A3A"/>
                <w:sz w:val="15"/>
              </w:rPr>
              <w:t>--body</w:t>
            </w:r>
          </w:p>
          <w:p>
            <w:pPr>
              <w:spacing w:after="0"/>
            </w:pPr>
            <w:r>
              <w:rPr>
                <w:rFonts w:ascii="JetBrains Mono" w:hAnsi="JetBrains Mono" w:cs="JetBrains Mono" w:eastAsia="JetBrains Mono"/>
                <w:b w:val="0"/>
                <w:i w:val="0"/>
                <w:color w:val="1551C0"/>
                <w:sz w:val="15"/>
              </w:rPr>
              <w:t>#AEB9D2</w:t>
            </w:r>
          </w:p>
          <w:p>
            <w:pPr>
              <w:spacing w:after="0"/>
            </w:pPr>
            <w:r>
              <w:rPr>
                <w:rFonts w:ascii="Inter" w:hAnsi="Inter" w:cs="Inter" w:eastAsia="Inter"/>
                <w:b w:val="0"/>
                <w:i w:val="0"/>
                <w:color w:val="76829C"/>
                <w:sz w:val="14"/>
              </w:rPr>
              <w:t>Texto corrido</w:t>
            </w:r>
          </w:p>
        </w:tc>
        <w:tc>
          <w:tcPr>
            <w:tcW w:type="dxa" w:w="2448"/>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6E7C9B"/>
              <w:spacing w:after="40"/>
            </w:pPr>
            <w:r>
              <w:rPr>
                <w:rFonts w:ascii="JetBrains Mono" w:hAnsi="JetBrains Mono" w:cs="JetBrains Mono" w:eastAsia="JetBrains Mono"/>
                <w:b w:val="0"/>
                <w:i w:val="0"/>
                <w:color w:val="6E7C9B"/>
                <w:sz w:val="22"/>
              </w:rPr>
              <w:t xml:space="preserve">                                  </w:t>
            </w:r>
          </w:p>
          <w:p>
            <w:pPr>
              <w:spacing w:after="0"/>
            </w:pPr>
            <w:r>
              <w:rPr>
                <w:rFonts w:ascii="JetBrains Mono" w:hAnsi="JetBrains Mono" w:cs="JetBrains Mono" w:eastAsia="JetBrains Mono"/>
                <w:b/>
                <w:i w:val="0"/>
                <w:color w:val="0A1A3A"/>
                <w:sz w:val="15"/>
              </w:rPr>
              <w:t>--muted</w:t>
            </w:r>
          </w:p>
          <w:p>
            <w:pPr>
              <w:spacing w:after="0"/>
            </w:pPr>
            <w:r>
              <w:rPr>
                <w:rFonts w:ascii="JetBrains Mono" w:hAnsi="JetBrains Mono" w:cs="JetBrains Mono" w:eastAsia="JetBrains Mono"/>
                <w:b w:val="0"/>
                <w:i w:val="0"/>
                <w:color w:val="1551C0"/>
                <w:sz w:val="15"/>
              </w:rPr>
              <w:t>#6E7C9B</w:t>
            </w:r>
          </w:p>
          <w:p>
            <w:pPr>
              <w:spacing w:after="0"/>
            </w:pPr>
            <w:r>
              <w:rPr>
                <w:rFonts w:ascii="Inter" w:hAnsi="Inter" w:cs="Inter" w:eastAsia="Inter"/>
                <w:b w:val="0"/>
                <w:i w:val="0"/>
                <w:color w:val="76829C"/>
                <w:sz w:val="14"/>
              </w:rPr>
              <w:t>Subtítulos</w:t>
            </w:r>
          </w:p>
        </w:tc>
        <w:tc>
          <w:tcPr>
            <w:tcW w:type="dxa" w:w="2448"/>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232F49"/>
              <w:spacing w:after="40"/>
            </w:pPr>
            <w:r>
              <w:rPr>
                <w:rFonts w:ascii="JetBrains Mono" w:hAnsi="JetBrains Mono" w:cs="JetBrains Mono" w:eastAsia="JetBrains Mono"/>
                <w:b w:val="0"/>
                <w:i w:val="0"/>
                <w:color w:val="232F49"/>
                <w:sz w:val="22"/>
              </w:rPr>
              <w:t xml:space="preserve">                                  </w:t>
            </w:r>
          </w:p>
          <w:p>
            <w:pPr>
              <w:spacing w:after="0"/>
            </w:pPr>
            <w:r>
              <w:rPr>
                <w:rFonts w:ascii="JetBrains Mono" w:hAnsi="JetBrains Mono" w:cs="JetBrains Mono" w:eastAsia="JetBrains Mono"/>
                <w:b/>
                <w:i w:val="0"/>
                <w:color w:val="0A1A3A"/>
                <w:sz w:val="15"/>
              </w:rPr>
              <w:t>--border</w:t>
            </w:r>
          </w:p>
          <w:p>
            <w:pPr>
              <w:spacing w:after="0"/>
            </w:pPr>
            <w:r>
              <w:rPr>
                <w:rFonts w:ascii="JetBrains Mono" w:hAnsi="JetBrains Mono" w:cs="JetBrains Mono" w:eastAsia="JetBrains Mono"/>
                <w:b w:val="0"/>
                <w:i w:val="0"/>
                <w:color w:val="1551C0"/>
                <w:sz w:val="15"/>
              </w:rPr>
              <w:t>#232F49</w:t>
            </w:r>
          </w:p>
          <w:p>
            <w:pPr>
              <w:spacing w:after="0"/>
            </w:pPr>
            <w:r>
              <w:rPr>
                <w:rFonts w:ascii="Inter" w:hAnsi="Inter" w:cs="Inter" w:eastAsia="Inter"/>
                <w:b w:val="0"/>
                <w:i w:val="0"/>
                <w:color w:val="76829C"/>
                <w:sz w:val="14"/>
              </w:rPr>
              <w:t>Bordes</w:t>
            </w:r>
          </w:p>
        </w:tc>
        <w:tc>
          <w:tcPr>
            <w:tcW w:type="dxa" w:w="2448"/>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3B82F6"/>
              <w:spacing w:after="40"/>
            </w:pPr>
            <w:r>
              <w:rPr>
                <w:rFonts w:ascii="JetBrains Mono" w:hAnsi="JetBrains Mono" w:cs="JetBrains Mono" w:eastAsia="JetBrains Mono"/>
                <w:b w:val="0"/>
                <w:i w:val="0"/>
                <w:color w:val="3B82F6"/>
                <w:sz w:val="22"/>
              </w:rPr>
              <w:t xml:space="preserve">                                  </w:t>
            </w:r>
          </w:p>
          <w:p>
            <w:pPr>
              <w:spacing w:after="0"/>
            </w:pPr>
            <w:r>
              <w:rPr>
                <w:rFonts w:ascii="JetBrains Mono" w:hAnsi="JetBrains Mono" w:cs="JetBrains Mono" w:eastAsia="JetBrains Mono"/>
                <w:b/>
                <w:i w:val="0"/>
                <w:color w:val="0A1A3A"/>
                <w:sz w:val="15"/>
              </w:rPr>
              <w:t>--accent</w:t>
            </w:r>
          </w:p>
          <w:p>
            <w:pPr>
              <w:spacing w:after="0"/>
            </w:pPr>
            <w:r>
              <w:rPr>
                <w:rFonts w:ascii="JetBrains Mono" w:hAnsi="JetBrains Mono" w:cs="JetBrains Mono" w:eastAsia="JetBrains Mono"/>
                <w:b w:val="0"/>
                <w:i w:val="0"/>
                <w:color w:val="1551C0"/>
                <w:sz w:val="15"/>
              </w:rPr>
              <w:t>#3B82F6</w:t>
            </w:r>
          </w:p>
          <w:p>
            <w:pPr>
              <w:spacing w:after="0"/>
            </w:pPr>
            <w:r>
              <w:rPr>
                <w:rFonts w:ascii="Inter" w:hAnsi="Inter" w:cs="Inter" w:eastAsia="Inter"/>
                <w:b w:val="0"/>
                <w:i w:val="0"/>
                <w:color w:val="76829C"/>
                <w:sz w:val="14"/>
              </w:rPr>
              <w:t>Primario</w:t>
            </w:r>
          </w:p>
        </w:tc>
      </w:tr>
      <w:tr>
        <w:tc>
          <w:tcPr>
            <w:tcW w:type="dxa" w:w="2448"/>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93BBFB"/>
              <w:spacing w:after="40"/>
            </w:pPr>
            <w:r>
              <w:rPr>
                <w:rFonts w:ascii="JetBrains Mono" w:hAnsi="JetBrains Mono" w:cs="JetBrains Mono" w:eastAsia="JetBrains Mono"/>
                <w:b w:val="0"/>
                <w:i w:val="0"/>
                <w:color w:val="93BBFB"/>
                <w:sz w:val="22"/>
              </w:rPr>
              <w:t xml:space="preserve">                                  </w:t>
            </w:r>
          </w:p>
          <w:p>
            <w:pPr>
              <w:spacing w:after="0"/>
            </w:pPr>
            <w:r>
              <w:rPr>
                <w:rFonts w:ascii="JetBrains Mono" w:hAnsi="JetBrains Mono" w:cs="JetBrains Mono" w:eastAsia="JetBrains Mono"/>
                <w:b/>
                <w:i w:val="0"/>
                <w:color w:val="0A1A3A"/>
                <w:sz w:val="15"/>
              </w:rPr>
              <w:t>--accent-ink</w:t>
            </w:r>
          </w:p>
          <w:p>
            <w:pPr>
              <w:spacing w:after="0"/>
            </w:pPr>
            <w:r>
              <w:rPr>
                <w:rFonts w:ascii="JetBrains Mono" w:hAnsi="JetBrains Mono" w:cs="JetBrains Mono" w:eastAsia="JetBrains Mono"/>
                <w:b w:val="0"/>
                <w:i w:val="0"/>
                <w:color w:val="1551C0"/>
                <w:sz w:val="15"/>
              </w:rPr>
              <w:t>#93BBFB</w:t>
            </w:r>
          </w:p>
          <w:p>
            <w:pPr>
              <w:spacing w:after="0"/>
            </w:pPr>
            <w:r>
              <w:rPr>
                <w:rFonts w:ascii="Inter" w:hAnsi="Inter" w:cs="Inter" w:eastAsia="Inter"/>
                <w:b w:val="0"/>
                <w:i w:val="0"/>
                <w:color w:val="76829C"/>
                <w:sz w:val="14"/>
              </w:rPr>
              <w:t>Texto sobre acento</w:t>
            </w:r>
          </w:p>
        </w:tc>
        <w:tc>
          <w:tcPr>
            <w:tcW w:type="dxa" w:w="2448"/>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34D399"/>
              <w:spacing w:after="40"/>
            </w:pPr>
            <w:r>
              <w:rPr>
                <w:rFonts w:ascii="JetBrains Mono" w:hAnsi="JetBrains Mono" w:cs="JetBrains Mono" w:eastAsia="JetBrains Mono"/>
                <w:b w:val="0"/>
                <w:i w:val="0"/>
                <w:color w:val="34D399"/>
                <w:sz w:val="22"/>
              </w:rPr>
              <w:t xml:space="preserve">                                  </w:t>
            </w:r>
          </w:p>
          <w:p>
            <w:pPr>
              <w:spacing w:after="0"/>
            </w:pPr>
            <w:r>
              <w:rPr>
                <w:rFonts w:ascii="JetBrains Mono" w:hAnsi="JetBrains Mono" w:cs="JetBrains Mono" w:eastAsia="JetBrains Mono"/>
                <w:b/>
                <w:i w:val="0"/>
                <w:color w:val="0A1A3A"/>
                <w:sz w:val="15"/>
              </w:rPr>
              <w:t>--ok</w:t>
            </w:r>
          </w:p>
          <w:p>
            <w:pPr>
              <w:spacing w:after="0"/>
            </w:pPr>
            <w:r>
              <w:rPr>
                <w:rFonts w:ascii="JetBrains Mono" w:hAnsi="JetBrains Mono" w:cs="JetBrains Mono" w:eastAsia="JetBrains Mono"/>
                <w:b w:val="0"/>
                <w:i w:val="0"/>
                <w:color w:val="1551C0"/>
                <w:sz w:val="15"/>
              </w:rPr>
              <w:t>#34D399</w:t>
            </w:r>
          </w:p>
          <w:p>
            <w:pPr>
              <w:spacing w:after="0"/>
            </w:pPr>
            <w:r>
              <w:rPr>
                <w:rFonts w:ascii="Inter" w:hAnsi="Inter" w:cs="Inter" w:eastAsia="Inter"/>
                <w:b w:val="0"/>
                <w:i w:val="0"/>
                <w:color w:val="76829C"/>
                <w:sz w:val="14"/>
              </w:rPr>
              <w:t>Positivo</w:t>
            </w:r>
          </w:p>
        </w:tc>
        <w:tc>
          <w:tcPr>
            <w:tcW w:type="dxa" w:w="2448"/>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FBBF24"/>
              <w:spacing w:after="40"/>
            </w:pPr>
            <w:r>
              <w:rPr>
                <w:rFonts w:ascii="JetBrains Mono" w:hAnsi="JetBrains Mono" w:cs="JetBrains Mono" w:eastAsia="JetBrains Mono"/>
                <w:b w:val="0"/>
                <w:i w:val="0"/>
                <w:color w:val="FBBF24"/>
                <w:sz w:val="22"/>
              </w:rPr>
              <w:t xml:space="preserve">                                  </w:t>
            </w:r>
          </w:p>
          <w:p>
            <w:pPr>
              <w:spacing w:after="0"/>
            </w:pPr>
            <w:r>
              <w:rPr>
                <w:rFonts w:ascii="JetBrains Mono" w:hAnsi="JetBrains Mono" w:cs="JetBrains Mono" w:eastAsia="JetBrains Mono"/>
                <w:b/>
                <w:i w:val="0"/>
                <w:color w:val="0A1A3A"/>
                <w:sz w:val="15"/>
              </w:rPr>
              <w:t>--warn</w:t>
            </w:r>
          </w:p>
          <w:p>
            <w:pPr>
              <w:spacing w:after="0"/>
            </w:pPr>
            <w:r>
              <w:rPr>
                <w:rFonts w:ascii="JetBrains Mono" w:hAnsi="JetBrains Mono" w:cs="JetBrains Mono" w:eastAsia="JetBrains Mono"/>
                <w:b w:val="0"/>
                <w:i w:val="0"/>
                <w:color w:val="1551C0"/>
                <w:sz w:val="15"/>
              </w:rPr>
              <w:t>#FBBF24</w:t>
            </w:r>
          </w:p>
          <w:p>
            <w:pPr>
              <w:spacing w:after="0"/>
            </w:pPr>
            <w:r>
              <w:rPr>
                <w:rFonts w:ascii="Inter" w:hAnsi="Inter" w:cs="Inter" w:eastAsia="Inter"/>
                <w:b w:val="0"/>
                <w:i w:val="0"/>
                <w:color w:val="76829C"/>
                <w:sz w:val="14"/>
              </w:rPr>
              <w:t>Vigilar</w:t>
            </w:r>
          </w:p>
        </w:tc>
        <w:tc>
          <w:tcPr>
            <w:tcW w:type="dxa" w:w="2448"/>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F2645A"/>
              <w:spacing w:after="40"/>
            </w:pPr>
            <w:r>
              <w:rPr>
                <w:rFonts w:ascii="JetBrains Mono" w:hAnsi="JetBrains Mono" w:cs="JetBrains Mono" w:eastAsia="JetBrains Mono"/>
                <w:b w:val="0"/>
                <w:i w:val="0"/>
                <w:color w:val="F2645A"/>
                <w:sz w:val="22"/>
              </w:rPr>
              <w:t xml:space="preserve">                                  </w:t>
            </w:r>
          </w:p>
          <w:p>
            <w:pPr>
              <w:spacing w:after="0"/>
            </w:pPr>
            <w:r>
              <w:rPr>
                <w:rFonts w:ascii="JetBrains Mono" w:hAnsi="JetBrains Mono" w:cs="JetBrains Mono" w:eastAsia="JetBrains Mono"/>
                <w:b/>
                <w:i w:val="0"/>
                <w:color w:val="0A1A3A"/>
                <w:sz w:val="15"/>
              </w:rPr>
              <w:t>--alert</w:t>
            </w:r>
          </w:p>
          <w:p>
            <w:pPr>
              <w:spacing w:after="0"/>
            </w:pPr>
            <w:r>
              <w:rPr>
                <w:rFonts w:ascii="JetBrains Mono" w:hAnsi="JetBrains Mono" w:cs="JetBrains Mono" w:eastAsia="JetBrains Mono"/>
                <w:b w:val="0"/>
                <w:i w:val="0"/>
                <w:color w:val="1551C0"/>
                <w:sz w:val="15"/>
              </w:rPr>
              <w:t>#F2645A</w:t>
            </w:r>
          </w:p>
          <w:p>
            <w:pPr>
              <w:spacing w:after="0"/>
            </w:pPr>
            <w:r>
              <w:rPr>
                <w:rFonts w:ascii="Inter" w:hAnsi="Inter" w:cs="Inter" w:eastAsia="Inter"/>
                <w:b w:val="0"/>
                <w:i w:val="0"/>
                <w:color w:val="76829C"/>
                <w:sz w:val="14"/>
              </w:rPr>
              <w:t>Crítico</w:t>
            </w:r>
          </w:p>
        </w:tc>
      </w:tr>
    </w:tbl>
    <w:p>
      <w:pPr>
        <w:spacing w:after="120" w:before="0"/>
      </w:pPr>
    </w:p>
    <w:p>
      <w:pPr>
        <w:spacing w:after="40" w:before="0"/>
      </w:pPr>
      <w:r>
        <w:rPr>
          <w:rFonts w:ascii="Inter" w:hAnsi="Inter" w:cs="Inter" w:eastAsia="Inter"/>
          <w:b w:val="0"/>
          <w:i w:val="0"/>
          <w:color w:val="43506B"/>
          <w:sz w:val="19"/>
        </w:rPr>
        <w:t xml:space="preserve">Series de datos en oscuro: </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632"/>
        <w:gridCol w:w="1632"/>
        <w:gridCol w:w="1632"/>
        <w:gridCol w:w="1632"/>
        <w:gridCol w:w="1632"/>
        <w:gridCol w:w="1632"/>
      </w:tblGrid>
      <w:tr>
        <w:tc>
          <w:tcPr>
            <w:tcW w:type="dxa" w:w="1632"/>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3B82F6"/>
              <w:spacing w:after="40"/>
            </w:pPr>
            <w:r>
              <w:rPr>
                <w:rFonts w:ascii="JetBrains Mono" w:hAnsi="JetBrains Mono" w:cs="JetBrains Mono" w:eastAsia="JetBrains Mono"/>
                <w:b w:val="0"/>
                <w:i w:val="0"/>
                <w:color w:val="3B82F6"/>
                <w:sz w:val="22"/>
              </w:rPr>
              <w:t xml:space="preserve">                                  </w:t>
            </w:r>
          </w:p>
          <w:p>
            <w:pPr>
              <w:spacing w:after="0"/>
            </w:pPr>
            <w:r>
              <w:rPr>
                <w:rFonts w:ascii="JetBrains Mono" w:hAnsi="JetBrains Mono" w:cs="JetBrains Mono" w:eastAsia="JetBrains Mono"/>
                <w:b/>
                <w:i w:val="0"/>
                <w:color w:val="0A1A3A"/>
                <w:sz w:val="15"/>
              </w:rPr>
              <w:t>--c1</w:t>
            </w:r>
          </w:p>
          <w:p>
            <w:pPr>
              <w:spacing w:after="0"/>
            </w:pPr>
            <w:r>
              <w:rPr>
                <w:rFonts w:ascii="JetBrains Mono" w:hAnsi="JetBrains Mono" w:cs="JetBrains Mono" w:eastAsia="JetBrains Mono"/>
                <w:b w:val="0"/>
                <w:i w:val="0"/>
                <w:color w:val="1551C0"/>
                <w:sz w:val="15"/>
              </w:rPr>
              <w:t>#3B82F6</w:t>
            </w:r>
          </w:p>
          <w:p>
            <w:pPr>
              <w:spacing w:after="0"/>
            </w:pPr>
            <w:r>
              <w:rPr>
                <w:rFonts w:ascii="Inter" w:hAnsi="Inter" w:cs="Inter" w:eastAsia="Inter"/>
                <w:b w:val="0"/>
                <w:i w:val="0"/>
                <w:color w:val="76829C"/>
                <w:sz w:val="14"/>
              </w:rPr>
            </w:r>
          </w:p>
        </w:tc>
        <w:tc>
          <w:tcPr>
            <w:tcW w:type="dxa" w:w="1632"/>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2DD4BF"/>
              <w:spacing w:after="40"/>
            </w:pPr>
            <w:r>
              <w:rPr>
                <w:rFonts w:ascii="JetBrains Mono" w:hAnsi="JetBrains Mono" w:cs="JetBrains Mono" w:eastAsia="JetBrains Mono"/>
                <w:b w:val="0"/>
                <w:i w:val="0"/>
                <w:color w:val="2DD4BF"/>
                <w:sz w:val="22"/>
              </w:rPr>
              <w:t xml:space="preserve">                                  </w:t>
            </w:r>
          </w:p>
          <w:p>
            <w:pPr>
              <w:spacing w:after="0"/>
            </w:pPr>
            <w:r>
              <w:rPr>
                <w:rFonts w:ascii="JetBrains Mono" w:hAnsi="JetBrains Mono" w:cs="JetBrains Mono" w:eastAsia="JetBrains Mono"/>
                <w:b/>
                <w:i w:val="0"/>
                <w:color w:val="0A1A3A"/>
                <w:sz w:val="15"/>
              </w:rPr>
              <w:t>--c2</w:t>
            </w:r>
          </w:p>
          <w:p>
            <w:pPr>
              <w:spacing w:after="0"/>
            </w:pPr>
            <w:r>
              <w:rPr>
                <w:rFonts w:ascii="JetBrains Mono" w:hAnsi="JetBrains Mono" w:cs="JetBrains Mono" w:eastAsia="JetBrains Mono"/>
                <w:b w:val="0"/>
                <w:i w:val="0"/>
                <w:color w:val="1551C0"/>
                <w:sz w:val="15"/>
              </w:rPr>
              <w:t>#2DD4BF</w:t>
            </w:r>
          </w:p>
          <w:p>
            <w:pPr>
              <w:spacing w:after="0"/>
            </w:pPr>
            <w:r>
              <w:rPr>
                <w:rFonts w:ascii="Inter" w:hAnsi="Inter" w:cs="Inter" w:eastAsia="Inter"/>
                <w:b w:val="0"/>
                <w:i w:val="0"/>
                <w:color w:val="76829C"/>
                <w:sz w:val="14"/>
              </w:rPr>
            </w:r>
          </w:p>
        </w:tc>
        <w:tc>
          <w:tcPr>
            <w:tcW w:type="dxa" w:w="1632"/>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A78BFA"/>
              <w:spacing w:after="40"/>
            </w:pPr>
            <w:r>
              <w:rPr>
                <w:rFonts w:ascii="JetBrains Mono" w:hAnsi="JetBrains Mono" w:cs="JetBrains Mono" w:eastAsia="JetBrains Mono"/>
                <w:b w:val="0"/>
                <w:i w:val="0"/>
                <w:color w:val="A78BFA"/>
                <w:sz w:val="22"/>
              </w:rPr>
              <w:t xml:space="preserve">                                  </w:t>
            </w:r>
          </w:p>
          <w:p>
            <w:pPr>
              <w:spacing w:after="0"/>
            </w:pPr>
            <w:r>
              <w:rPr>
                <w:rFonts w:ascii="JetBrains Mono" w:hAnsi="JetBrains Mono" w:cs="JetBrains Mono" w:eastAsia="JetBrains Mono"/>
                <w:b/>
                <w:i w:val="0"/>
                <w:color w:val="0A1A3A"/>
                <w:sz w:val="15"/>
              </w:rPr>
              <w:t>--c3</w:t>
            </w:r>
          </w:p>
          <w:p>
            <w:pPr>
              <w:spacing w:after="0"/>
            </w:pPr>
            <w:r>
              <w:rPr>
                <w:rFonts w:ascii="JetBrains Mono" w:hAnsi="JetBrains Mono" w:cs="JetBrains Mono" w:eastAsia="JetBrains Mono"/>
                <w:b w:val="0"/>
                <w:i w:val="0"/>
                <w:color w:val="1551C0"/>
                <w:sz w:val="15"/>
              </w:rPr>
              <w:t>#A78BFA</w:t>
            </w:r>
          </w:p>
          <w:p>
            <w:pPr>
              <w:spacing w:after="0"/>
            </w:pPr>
            <w:r>
              <w:rPr>
                <w:rFonts w:ascii="Inter" w:hAnsi="Inter" w:cs="Inter" w:eastAsia="Inter"/>
                <w:b w:val="0"/>
                <w:i w:val="0"/>
                <w:color w:val="76829C"/>
                <w:sz w:val="14"/>
              </w:rPr>
            </w:r>
          </w:p>
        </w:tc>
        <w:tc>
          <w:tcPr>
            <w:tcW w:type="dxa" w:w="1632"/>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FBBF24"/>
              <w:spacing w:after="40"/>
            </w:pPr>
            <w:r>
              <w:rPr>
                <w:rFonts w:ascii="JetBrains Mono" w:hAnsi="JetBrains Mono" w:cs="JetBrains Mono" w:eastAsia="JetBrains Mono"/>
                <w:b w:val="0"/>
                <w:i w:val="0"/>
                <w:color w:val="FBBF24"/>
                <w:sz w:val="22"/>
              </w:rPr>
              <w:t xml:space="preserve">                                  </w:t>
            </w:r>
          </w:p>
          <w:p>
            <w:pPr>
              <w:spacing w:after="0"/>
            </w:pPr>
            <w:r>
              <w:rPr>
                <w:rFonts w:ascii="JetBrains Mono" w:hAnsi="JetBrains Mono" w:cs="JetBrains Mono" w:eastAsia="JetBrains Mono"/>
                <w:b/>
                <w:i w:val="0"/>
                <w:color w:val="0A1A3A"/>
                <w:sz w:val="15"/>
              </w:rPr>
              <w:t>--c4</w:t>
            </w:r>
          </w:p>
          <w:p>
            <w:pPr>
              <w:spacing w:after="0"/>
            </w:pPr>
            <w:r>
              <w:rPr>
                <w:rFonts w:ascii="JetBrains Mono" w:hAnsi="JetBrains Mono" w:cs="JetBrains Mono" w:eastAsia="JetBrains Mono"/>
                <w:b w:val="0"/>
                <w:i w:val="0"/>
                <w:color w:val="1551C0"/>
                <w:sz w:val="15"/>
              </w:rPr>
              <w:t>#FBBF24</w:t>
            </w:r>
          </w:p>
          <w:p>
            <w:pPr>
              <w:spacing w:after="0"/>
            </w:pPr>
            <w:r>
              <w:rPr>
                <w:rFonts w:ascii="Inter" w:hAnsi="Inter" w:cs="Inter" w:eastAsia="Inter"/>
                <w:b w:val="0"/>
                <w:i w:val="0"/>
                <w:color w:val="76829C"/>
                <w:sz w:val="14"/>
              </w:rPr>
            </w:r>
          </w:p>
        </w:tc>
        <w:tc>
          <w:tcPr>
            <w:tcW w:type="dxa" w:w="1632"/>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F472B6"/>
              <w:spacing w:after="40"/>
            </w:pPr>
            <w:r>
              <w:rPr>
                <w:rFonts w:ascii="JetBrains Mono" w:hAnsi="JetBrains Mono" w:cs="JetBrains Mono" w:eastAsia="JetBrains Mono"/>
                <w:b w:val="0"/>
                <w:i w:val="0"/>
                <w:color w:val="F472B6"/>
                <w:sz w:val="22"/>
              </w:rPr>
              <w:t xml:space="preserve">                                  </w:t>
            </w:r>
          </w:p>
          <w:p>
            <w:pPr>
              <w:spacing w:after="0"/>
            </w:pPr>
            <w:r>
              <w:rPr>
                <w:rFonts w:ascii="JetBrains Mono" w:hAnsi="JetBrains Mono" w:cs="JetBrains Mono" w:eastAsia="JetBrains Mono"/>
                <w:b/>
                <w:i w:val="0"/>
                <w:color w:val="0A1A3A"/>
                <w:sz w:val="15"/>
              </w:rPr>
              <w:t>--c5</w:t>
            </w:r>
          </w:p>
          <w:p>
            <w:pPr>
              <w:spacing w:after="0"/>
            </w:pPr>
            <w:r>
              <w:rPr>
                <w:rFonts w:ascii="JetBrains Mono" w:hAnsi="JetBrains Mono" w:cs="JetBrains Mono" w:eastAsia="JetBrains Mono"/>
                <w:b w:val="0"/>
                <w:i w:val="0"/>
                <w:color w:val="1551C0"/>
                <w:sz w:val="15"/>
              </w:rPr>
              <w:t>#F472B6</w:t>
            </w:r>
          </w:p>
          <w:p>
            <w:pPr>
              <w:spacing w:after="0"/>
            </w:pPr>
            <w:r>
              <w:rPr>
                <w:rFonts w:ascii="Inter" w:hAnsi="Inter" w:cs="Inter" w:eastAsia="Inter"/>
                <w:b w:val="0"/>
                <w:i w:val="0"/>
                <w:color w:val="76829C"/>
                <w:sz w:val="14"/>
              </w:rPr>
            </w:r>
          </w:p>
        </w:tc>
        <w:tc>
          <w:tcPr>
            <w:tcW w:type="dxa" w:w="1632"/>
            <w:tcMar>
              <w:top w:w="40" w:type="dxa"/>
              <w:start w:w="40" w:type="dxa"/>
              <w:bottom w:w="110" w:type="dxa"/>
              <w:end w:w="90" w:type="dxa"/>
            </w:tcMar>
          </w:tcPr>
          <w:p>
            <w:pPr>
              <w:pBdr>
                <w:top w:val="single" w:sz="2" w:space="0" w:color="D6DEEC"/>
                <w:left w:val="single" w:sz="2" w:space="0" w:color="D6DEEC"/>
                <w:bottom w:val="single" w:sz="2" w:space="0" w:color="D6DEEC"/>
                <w:right w:val="single" w:sz="2" w:space="0" w:color="D6DEEC"/>
              </w:pBdr>
              <w:shd w:val="clear" w:color="auto" w:fill="22D3EE"/>
              <w:spacing w:after="40"/>
            </w:pPr>
            <w:r>
              <w:rPr>
                <w:rFonts w:ascii="JetBrains Mono" w:hAnsi="JetBrains Mono" w:cs="JetBrains Mono" w:eastAsia="JetBrains Mono"/>
                <w:b w:val="0"/>
                <w:i w:val="0"/>
                <w:color w:val="22D3EE"/>
                <w:sz w:val="22"/>
              </w:rPr>
              <w:t xml:space="preserve">                                  </w:t>
            </w:r>
          </w:p>
          <w:p>
            <w:pPr>
              <w:spacing w:after="0"/>
            </w:pPr>
            <w:r>
              <w:rPr>
                <w:rFonts w:ascii="JetBrains Mono" w:hAnsi="JetBrains Mono" w:cs="JetBrains Mono" w:eastAsia="JetBrains Mono"/>
                <w:b/>
                <w:i w:val="0"/>
                <w:color w:val="0A1A3A"/>
                <w:sz w:val="15"/>
              </w:rPr>
              <w:t>--c6</w:t>
            </w:r>
          </w:p>
          <w:p>
            <w:pPr>
              <w:spacing w:after="0"/>
            </w:pPr>
            <w:r>
              <w:rPr>
                <w:rFonts w:ascii="JetBrains Mono" w:hAnsi="JetBrains Mono" w:cs="JetBrains Mono" w:eastAsia="JetBrains Mono"/>
                <w:b w:val="0"/>
                <w:i w:val="0"/>
                <w:color w:val="1551C0"/>
                <w:sz w:val="15"/>
              </w:rPr>
              <w:t>#22D3EE</w:t>
            </w:r>
          </w:p>
          <w:p>
            <w:pPr>
              <w:spacing w:after="0"/>
            </w:pPr>
            <w:r>
              <w:rPr>
                <w:rFonts w:ascii="Inter" w:hAnsi="Inter" w:cs="Inter" w:eastAsia="Inter"/>
                <w:b w:val="0"/>
                <w:i w:val="0"/>
                <w:color w:val="76829C"/>
                <w:sz w:val="14"/>
              </w:rPr>
            </w:r>
          </w:p>
        </w:tc>
      </w:tr>
    </w:tbl>
    <w:p>
      <w:pPr>
        <w:spacing w:after="120" w:before="0"/>
      </w:pPr>
    </w:p>
    <w:p>
      <w:pPr>
        <w:keepNext/>
        <w:spacing w:before="260" w:after="60"/>
      </w:pPr>
      <w:r>
        <w:rPr>
          <w:rFonts w:ascii="Plus Jakarta Sans" w:hAnsi="Plus Jakarta Sans" w:cs="Plus Jakarta Sans" w:eastAsia="Plus Jakarta Sans"/>
          <w:b/>
          <w:i w:val="0"/>
          <w:color w:val="0A1A3A"/>
          <w:spacing w:val="-8"/>
          <w:sz w:val="25"/>
        </w:rPr>
        <w:t>2.4 La divergencia que hay que resolver: informes vs. aplicación</w:t>
      </w:r>
    </w:p>
    <w:p>
      <w:pPr>
        <w:spacing w:after="120" w:before="0"/>
      </w:pPr>
      <w:r>
        <w:rPr>
          <w:rFonts w:ascii="Inter" w:hAnsi="Inter" w:cs="Inter" w:eastAsia="Inter"/>
          <w:b w:val="0"/>
          <w:i w:val="0"/>
          <w:color w:val="43506B"/>
          <w:sz w:val="19"/>
        </w:rPr>
        <w:t>El motor que genera los informes PDF y Word usa una paleta anterior, distinta de la de la aplicación. Las dos están en producción hoy.</w:t>
      </w:r>
    </w:p>
    <w:tbl>
      <w:tblPr>
        <w:tblW w:type="auto" w:w="0"/>
        <w:jc w:val="left"/>
        <w:tblBorders>
          <w:top w:val="single" w:sz="4" w:space="0" w:color="E7ECF3"/>
          <w:left w:val="single" w:sz="4" w:space="0" w:color="E7ECF3"/>
          <w:bottom w:val="single" w:sz="4" w:space="0" w:color="E7ECF3"/>
          <w:right w:val="single" w:sz="4" w:space="0" w:color="E7ECF3"/>
          <w:insideH w:val="single" w:sz="4" w:space="0" w:color="E7ECF3"/>
          <w:insideV w:val="single" w:sz="4" w:space="0" w:color="E7ECF3"/>
        </w:tblBorders>
        <w:tblLayout w:type="fixed"/>
        <w:tblLook w:firstColumn="1" w:firstRow="1" w:lastColumn="0" w:lastRow="0" w:noHBand="0" w:noVBand="1" w:val="04A0"/>
      </w:tblPr>
      <w:tblGrid>
        <w:gridCol w:w="2086"/>
        <w:gridCol w:w="2568"/>
        <w:gridCol w:w="2407"/>
        <w:gridCol w:w="2728"/>
      </w:tblGrid>
      <w:tr>
        <w:trPr>
          <w:tblHeader/>
        </w:trPr>
        <w:tc>
          <w:tcPr>
            <w:tcW w:type="dxa" w:w="2087"/>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SUPERFICIE</w:t>
            </w:r>
          </w:p>
        </w:tc>
        <w:tc>
          <w:tcPr>
            <w:tcW w:type="dxa" w:w="2568"/>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TINTA / PRIMARIO</w:t>
            </w:r>
          </w:p>
        </w:tc>
        <w:tc>
          <w:tcPr>
            <w:tcW w:type="dxa" w:w="2408"/>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ACENTO</w:t>
            </w:r>
          </w:p>
        </w:tc>
        <w:tc>
          <w:tcPr>
            <w:tcW w:type="dxa" w:w="2729"/>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DÓNDE VIVE</w:t>
            </w:r>
          </w:p>
        </w:tc>
      </w:tr>
      <w:tr>
        <w:trPr>
          <w:cantSplit/>
        </w:trPr>
        <w:tc>
          <w:tcPr>
            <w:tcW w:type="dxa" w:w="2087"/>
            <w:tcMar>
              <w:top w:w="60" w:type="dxa"/>
              <w:start w:w="100" w:type="dxa"/>
              <w:bottom w:w="60" w:type="dxa"/>
              <w:end w:w="100" w:type="dxa"/>
            </w:tcMar>
          </w:tcPr>
          <w:p>
            <w:pPr>
              <w:spacing w:after="0" w:line="276" w:lineRule="auto"/>
            </w:pPr>
            <w:r>
              <w:rPr>
                <w:rFonts w:ascii="Inter" w:hAnsi="Inter" w:cs="Inter" w:eastAsia="Inter"/>
                <w:b/>
                <w:i w:val="0"/>
                <w:color w:val="0A1A3A"/>
                <w:sz w:val="16"/>
              </w:rPr>
              <w:t>Aplicación web</w:t>
            </w:r>
          </w:p>
        </w:tc>
        <w:tc>
          <w:tcPr>
            <w:tcW w:type="dxa" w:w="2568"/>
            <w:tcMar>
              <w:top w:w="60" w:type="dxa"/>
              <w:start w:w="100" w:type="dxa"/>
              <w:bottom w:w="60" w:type="dxa"/>
              <w:end w:w="100" w:type="dxa"/>
            </w:tcMar>
          </w:tcPr>
          <w:p>
            <w:pPr>
              <w:spacing w:after="0" w:line="276" w:lineRule="auto"/>
            </w:pPr>
            <w:r>
              <w:rPr>
                <w:rFonts w:ascii="Inter" w:hAnsi="Inter" w:cs="Inter" w:eastAsia="Inter"/>
                <w:b w:val="0"/>
                <w:i w:val="0"/>
                <w:color w:val="43506B"/>
                <w:sz w:val="16"/>
              </w:rPr>
              <w:t>#0A1A3A navy</w:t>
            </w:r>
          </w:p>
        </w:tc>
        <w:tc>
          <w:tcPr>
            <w:tcW w:type="dxa" w:w="2408"/>
            <w:tcMar>
              <w:top w:w="60" w:type="dxa"/>
              <w:start w:w="100" w:type="dxa"/>
              <w:bottom w:w="60" w:type="dxa"/>
              <w:end w:w="100" w:type="dxa"/>
            </w:tcMar>
          </w:tcPr>
          <w:p>
            <w:pPr>
              <w:spacing w:after="0" w:line="276" w:lineRule="auto"/>
            </w:pPr>
            <w:r>
              <w:rPr>
                <w:rFonts w:ascii="Inter" w:hAnsi="Inter" w:cs="Inter" w:eastAsia="Inter"/>
                <w:b w:val="0"/>
                <w:i w:val="0"/>
                <w:color w:val="43506B"/>
                <w:sz w:val="16"/>
              </w:rPr>
              <w:t>#1E6FFF azul eléctrico</w:t>
            </w:r>
          </w:p>
        </w:tc>
        <w:tc>
          <w:tcPr>
            <w:tcW w:type="dxa" w:w="2729"/>
            <w:tcMar>
              <w:top w:w="60" w:type="dxa"/>
              <w:start w:w="100" w:type="dxa"/>
              <w:bottom w:w="60" w:type="dxa"/>
              <w:end w:w="100" w:type="dxa"/>
            </w:tcMar>
          </w:tcPr>
          <w:p>
            <w:pPr>
              <w:spacing w:after="0" w:line="276" w:lineRule="auto"/>
            </w:pPr>
            <w:r>
              <w:rPr>
                <w:rFonts w:ascii="JetBrains Mono" w:hAnsi="JetBrains Mono" w:cs="JetBrains Mono" w:eastAsia="JetBrains Mono"/>
                <w:b w:val="0"/>
                <w:i w:val="0"/>
                <w:color w:val="43506B"/>
                <w:sz w:val="16"/>
              </w:rPr>
              <w:t>frontend/src/index.css</w:t>
            </w:r>
          </w:p>
        </w:tc>
      </w:tr>
      <w:tr>
        <w:trPr>
          <w:cantSplit/>
        </w:trPr>
        <w:tc>
          <w:tcPr>
            <w:tcW w:type="dxa" w:w="2087"/>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Informe PDF</w:t>
            </w:r>
          </w:p>
        </w:tc>
        <w:tc>
          <w:tcPr>
            <w:tcW w:type="dxa" w:w="256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#1A365D navy · #2B6CB0 azul</w:t>
            </w:r>
          </w:p>
        </w:tc>
        <w:tc>
          <w:tcPr>
            <w:tcW w:type="dxa" w:w="240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#E11D48 signal red</w:t>
            </w:r>
          </w:p>
        </w:tc>
        <w:tc>
          <w:tcPr>
            <w:tcW w:type="dxa" w:w="2729"/>
            <w:shd w:val="clear" w:color="auto" w:fill="F5F8FC"/>
            <w:tcMar>
              <w:top w:w="60" w:type="dxa"/>
              <w:start w:w="100" w:type="dxa"/>
              <w:bottom w:w="60" w:type="dxa"/>
              <w:end w:w="100" w:type="dxa"/>
            </w:tcMar>
          </w:tcPr>
          <w:p>
            <w:pPr>
              <w:spacing w:after="0" w:line="276" w:lineRule="auto"/>
            </w:pPr>
            <w:r>
              <w:rPr>
                <w:rFonts w:ascii="JetBrains Mono" w:hAnsi="JetBrains Mono" w:cs="JetBrains Mono" w:eastAsia="JetBrains Mono"/>
                <w:b w:val="0"/>
                <w:i w:val="0"/>
                <w:color w:val="43506B"/>
                <w:sz w:val="16"/>
              </w:rPr>
              <w:t>shared/products/render.py</w:t>
            </w:r>
          </w:p>
        </w:tc>
      </w:tr>
      <w:tr>
        <w:trPr>
          <w:cantSplit/>
        </w:trPr>
        <w:tc>
          <w:tcPr>
            <w:tcW w:type="dxa" w:w="2087"/>
            <w:tcMar>
              <w:top w:w="60" w:type="dxa"/>
              <w:start w:w="100" w:type="dxa"/>
              <w:bottom w:w="60" w:type="dxa"/>
              <w:end w:w="100" w:type="dxa"/>
            </w:tcMar>
          </w:tcPr>
          <w:p>
            <w:pPr>
              <w:spacing w:after="0" w:line="276" w:lineRule="auto"/>
            </w:pPr>
            <w:r>
              <w:rPr>
                <w:rFonts w:ascii="Inter" w:hAnsi="Inter" w:cs="Inter" w:eastAsia="Inter"/>
                <w:b/>
                <w:i w:val="0"/>
                <w:color w:val="0A1A3A"/>
                <w:sz w:val="16"/>
              </w:rPr>
              <w:t>Informe Word</w:t>
            </w:r>
          </w:p>
        </w:tc>
        <w:tc>
          <w:tcPr>
            <w:tcW w:type="dxa" w:w="2568"/>
            <w:tcMar>
              <w:top w:w="60" w:type="dxa"/>
              <w:start w:w="100" w:type="dxa"/>
              <w:bottom w:w="60" w:type="dxa"/>
              <w:end w:w="100" w:type="dxa"/>
            </w:tcMar>
          </w:tcPr>
          <w:p>
            <w:pPr>
              <w:spacing w:after="0" w:line="276" w:lineRule="auto"/>
            </w:pPr>
            <w:r>
              <w:rPr>
                <w:rFonts w:ascii="Inter" w:hAnsi="Inter" w:cs="Inter" w:eastAsia="Inter"/>
                <w:b w:val="0"/>
                <w:i w:val="0"/>
                <w:color w:val="43506B"/>
                <w:sz w:val="16"/>
              </w:rPr>
              <w:t>#1A365D navy · #2B6CB0 azul</w:t>
            </w:r>
          </w:p>
        </w:tc>
        <w:tc>
          <w:tcPr>
            <w:tcW w:type="dxa" w:w="2408"/>
            <w:tcMar>
              <w:top w:w="60" w:type="dxa"/>
              <w:start w:w="100" w:type="dxa"/>
              <w:bottom w:w="60" w:type="dxa"/>
              <w:end w:w="100" w:type="dxa"/>
            </w:tcMar>
          </w:tcPr>
          <w:p>
            <w:pPr>
              <w:spacing w:after="0" w:line="276" w:lineRule="auto"/>
            </w:pPr>
            <w:r>
              <w:rPr>
                <w:rFonts w:ascii="Inter" w:hAnsi="Inter" w:cs="Inter" w:eastAsia="Inter"/>
                <w:b w:val="0"/>
                <w:i w:val="0"/>
                <w:color w:val="43506B"/>
                <w:sz w:val="16"/>
              </w:rPr>
              <w:t>— (sin acento rojo)</w:t>
            </w:r>
          </w:p>
        </w:tc>
        <w:tc>
          <w:tcPr>
            <w:tcW w:type="dxa" w:w="2729"/>
            <w:tcMar>
              <w:top w:w="60" w:type="dxa"/>
              <w:start w:w="100" w:type="dxa"/>
              <w:bottom w:w="60" w:type="dxa"/>
              <w:end w:w="100" w:type="dxa"/>
            </w:tcMar>
          </w:tcPr>
          <w:p>
            <w:pPr>
              <w:spacing w:after="0" w:line="276" w:lineRule="auto"/>
            </w:pPr>
            <w:r>
              <w:rPr>
                <w:rFonts w:ascii="JetBrains Mono" w:hAnsi="JetBrains Mono" w:cs="JetBrains Mono" w:eastAsia="JetBrains Mono"/>
                <w:b w:val="0"/>
                <w:i w:val="0"/>
                <w:color w:val="43506B"/>
                <w:sz w:val="16"/>
              </w:rPr>
              <w:t>shared/products/render_docx.py</w:t>
            </w:r>
          </w:p>
        </w:tc>
      </w:tr>
      <w:tr>
        <w:trPr>
          <w:cantSplit/>
        </w:trPr>
        <w:tc>
          <w:tcPr>
            <w:tcW w:type="dxa" w:w="2087"/>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Logotipo de producción</w:t>
            </w:r>
          </w:p>
        </w:tc>
        <w:tc>
          <w:tcPr>
            <w:tcW w:type="dxa" w:w="256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#2B6CB0 azul</w:t>
            </w:r>
          </w:p>
        </w:tc>
        <w:tc>
          <w:tcPr>
            <w:tcW w:type="dxa" w:w="240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blanco</w:t>
            </w:r>
          </w:p>
        </w:tc>
        <w:tc>
          <w:tcPr>
            <w:tcW w:type="dxa" w:w="2729"/>
            <w:shd w:val="clear" w:color="auto" w:fill="F5F8FC"/>
            <w:tcMar>
              <w:top w:w="60" w:type="dxa"/>
              <w:start w:w="100" w:type="dxa"/>
              <w:bottom w:w="60" w:type="dxa"/>
              <w:end w:w="100" w:type="dxa"/>
            </w:tcMar>
          </w:tcPr>
          <w:p>
            <w:pPr>
              <w:spacing w:after="0" w:line="276" w:lineRule="auto"/>
            </w:pPr>
            <w:r>
              <w:rPr>
                <w:rFonts w:ascii="JetBrains Mono" w:hAnsi="JetBrains Mono" w:cs="JetBrains Mono" w:eastAsia="JetBrains Mono"/>
                <w:b w:val="0"/>
                <w:i w:val="0"/>
                <w:color w:val="43506B"/>
                <w:sz w:val="16"/>
              </w:rPr>
              <w:t>shared/products/assets/sdq_mip_logo.png</w:t>
            </w:r>
          </w:p>
        </w:tc>
      </w:tr>
    </w:tbl>
    <w:p>
      <w:pPr>
        <w:spacing w:after="120" w:before="0"/>
      </w:pPr>
    </w:p>
    <w:tbl>
      <w:tblPr>
        <w:tblW w:type="auto" w:w="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72"/>
        <w:gridCol w:w="9720"/>
      </w:tblGrid>
      <w:tr>
        <w:trPr>
          <w:cantSplit/>
        </w:trPr>
        <w:tc>
          <w:tcPr>
            <w:tcW w:type="dxa" w:w="72"/>
            <w:shd w:val="clear" w:color="auto" w:fill="B7791F"/>
            <w:tcMar>
              <w:top w:w="0" w:type="dxa"/>
              <w:start w:w="0" w:type="dxa"/>
              <w:bottom w:w="0" w:type="dxa"/>
              <w:end w:w="0" w:type="dxa"/>
            </w:tcMar>
          </w:tcPr>
          <w:p>
            <w:pPr>
              <w:spacing w:after="0"/>
            </w:pPr>
          </w:p>
        </w:tc>
        <w:tc>
          <w:tcPr>
            <w:tcW w:type="dxa" w:w="9720"/>
            <w:shd w:val="clear" w:color="auto" w:fill="FBF1DD"/>
            <w:tcMar>
              <w:top w:w="120" w:type="dxa"/>
              <w:start w:w="160" w:type="dxa"/>
              <w:bottom w:w="120" w:type="dxa"/>
              <w:end w:w="160" w:type="dxa"/>
            </w:tcMar>
          </w:tcPr>
          <w:p>
            <w:pPr>
              <w:spacing w:after="40"/>
            </w:pPr>
            <w:r>
              <w:rPr>
                <w:rFonts w:ascii="JetBrains Mono" w:hAnsi="JetBrains Mono" w:cs="JetBrains Mono" w:eastAsia="JetBrains Mono"/>
                <w:b/>
                <w:i w:val="0"/>
                <w:color w:val="B7791F"/>
                <w:spacing w:val="24"/>
                <w:sz w:val="15"/>
              </w:rPr>
              <w:t>RECOMENDACIÓN</w:t>
            </w:r>
          </w:p>
          <w:p>
            <w:pPr>
              <w:spacing w:after="0"/>
            </w:pPr>
            <w:r>
              <w:rPr>
                <w:rFonts w:ascii="Inter" w:hAnsi="Inter" w:cs="Inter" w:eastAsia="Inter"/>
                <w:b w:val="0"/>
                <w:i w:val="0"/>
                <w:color w:val="0A1A3A"/>
                <w:sz w:val="19"/>
              </w:rPr>
              <w:t>Unificar sobre «Claro &amp; Vivo»: navy #0A1A3A para tinta y #1E6FFF como acento en las tres superficies, y retirar el signal red #E11D48 —que hoy solo aparece en citas destacadas del PDF— o degradarlo a un uso puntual de énfasis crítico. Para la presentación comercial, use «Claro &amp; Vivo» sin excepción: es la superficie que el cliente ve primero y la que está mejor resuelta.</w:t>
            </w:r>
          </w:p>
        </w:tc>
      </w:tr>
    </w:tbl>
    <w:p>
      <w:pPr>
        <w:spacing w:after="80" w:before="0"/>
      </w:pPr>
    </w:p>
    <w:p>
      <w:pPr>
        <w:keepNext/>
        <w:spacing w:before="260" w:after="60"/>
      </w:pPr>
      <w:r>
        <w:rPr>
          <w:rFonts w:ascii="Plus Jakarta Sans" w:hAnsi="Plus Jakarta Sans" w:cs="Plus Jakarta Sans" w:eastAsia="Plus Jakarta Sans"/>
          <w:b/>
          <w:i w:val="0"/>
          <w:color w:val="0A1A3A"/>
          <w:spacing w:val="-8"/>
          <w:sz w:val="25"/>
        </w:rPr>
        <w:t>2.5 Tipografía</w:t>
      </w:r>
    </w:p>
    <w:tbl>
      <w:tblPr>
        <w:tblW w:type="auto" w:w="0"/>
        <w:jc w:val="left"/>
        <w:tblBorders>
          <w:top w:val="single" w:sz="4" w:space="0" w:color="E7ECF3"/>
          <w:left w:val="single" w:sz="4" w:space="0" w:color="E7ECF3"/>
          <w:bottom w:val="single" w:sz="4" w:space="0" w:color="E7ECF3"/>
          <w:right w:val="single" w:sz="4" w:space="0" w:color="E7ECF3"/>
          <w:insideH w:val="single" w:sz="4" w:space="0" w:color="E7ECF3"/>
          <w:insideV w:val="single" w:sz="4" w:space="0" w:color="E7ECF3"/>
        </w:tblBorders>
        <w:tblLayout w:type="fixed"/>
        <w:tblLook w:firstColumn="1" w:firstRow="1" w:lastColumn="0" w:lastRow="0" w:noHBand="0" w:noVBand="1" w:val="04A0"/>
      </w:tblPr>
      <w:tblGrid>
        <w:gridCol w:w="2247"/>
        <w:gridCol w:w="2407"/>
        <w:gridCol w:w="2407"/>
        <w:gridCol w:w="2728"/>
      </w:tblGrid>
      <w:tr>
        <w:trPr>
          <w:tblHeader/>
        </w:trPr>
        <w:tc>
          <w:tcPr>
            <w:tcW w:type="dxa" w:w="2247"/>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ROL</w:t>
            </w:r>
          </w:p>
        </w:tc>
        <w:tc>
          <w:tcPr>
            <w:tcW w:type="dxa" w:w="2408"/>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FAMILIA</w:t>
            </w:r>
          </w:p>
        </w:tc>
        <w:tc>
          <w:tcPr>
            <w:tcW w:type="dxa" w:w="2408"/>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PESO / TAMAÑO</w:t>
            </w:r>
          </w:p>
        </w:tc>
        <w:tc>
          <w:tcPr>
            <w:tcW w:type="dxa" w:w="2729"/>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DETALLE</w:t>
            </w:r>
          </w:p>
        </w:tc>
      </w:tr>
      <w:tr>
        <w:trPr>
          <w:cantSplit/>
        </w:trPr>
        <w:tc>
          <w:tcPr>
            <w:tcW w:type="dxa" w:w="2247"/>
            <w:tcMar>
              <w:top w:w="60" w:type="dxa"/>
              <w:start w:w="100" w:type="dxa"/>
              <w:bottom w:w="60" w:type="dxa"/>
              <w:end w:w="100" w:type="dxa"/>
            </w:tcMar>
          </w:tcPr>
          <w:p>
            <w:pPr>
              <w:spacing w:after="0" w:line="276" w:lineRule="auto"/>
            </w:pPr>
            <w:r>
              <w:rPr>
                <w:rFonts w:ascii="Inter" w:hAnsi="Inter" w:cs="Inter" w:eastAsia="Inter"/>
                <w:b/>
                <w:i w:val="0"/>
                <w:color w:val="0A1A3A"/>
                <w:sz w:val="16"/>
              </w:rPr>
              <w:t>Display y títulos</w:t>
            </w:r>
          </w:p>
        </w:tc>
        <w:tc>
          <w:tcPr>
            <w:tcW w:type="dxa" w:w="2408"/>
            <w:tcMar>
              <w:top w:w="60" w:type="dxa"/>
              <w:start w:w="100" w:type="dxa"/>
              <w:bottom w:w="60" w:type="dxa"/>
              <w:end w:w="100" w:type="dxa"/>
            </w:tcMar>
          </w:tcPr>
          <w:p>
            <w:pPr>
              <w:spacing w:after="0" w:line="276" w:lineRule="auto"/>
            </w:pPr>
            <w:r>
              <w:rPr>
                <w:rFonts w:ascii="Inter" w:hAnsi="Inter" w:cs="Inter" w:eastAsia="Inter"/>
                <w:b w:val="0"/>
                <w:i w:val="0"/>
                <w:color w:val="43506B"/>
                <w:sz w:val="16"/>
              </w:rPr>
              <w:t>Plus Jakarta Sans</w:t>
            </w:r>
          </w:p>
        </w:tc>
        <w:tc>
          <w:tcPr>
            <w:tcW w:type="dxa" w:w="2408"/>
            <w:tcMar>
              <w:top w:w="60" w:type="dxa"/>
              <w:start w:w="100" w:type="dxa"/>
              <w:bottom w:w="60" w:type="dxa"/>
              <w:end w:w="100" w:type="dxa"/>
            </w:tcMar>
          </w:tcPr>
          <w:p>
            <w:pPr>
              <w:spacing w:after="0" w:line="276" w:lineRule="auto"/>
            </w:pPr>
            <w:r>
              <w:rPr>
                <w:rFonts w:ascii="Inter" w:hAnsi="Inter" w:cs="Inter" w:eastAsia="Inter"/>
                <w:b w:val="0"/>
                <w:i w:val="0"/>
                <w:color w:val="43506B"/>
                <w:sz w:val="16"/>
              </w:rPr>
              <w:t>700 / 800</w:t>
            </w:r>
          </w:p>
        </w:tc>
        <w:tc>
          <w:tcPr>
            <w:tcW w:type="dxa" w:w="2729"/>
            <w:tcMar>
              <w:top w:w="60" w:type="dxa"/>
              <w:start w:w="100" w:type="dxa"/>
              <w:bottom w:w="60" w:type="dxa"/>
              <w:end w:w="100" w:type="dxa"/>
            </w:tcMar>
          </w:tcPr>
          <w:p>
            <w:pPr>
              <w:spacing w:after="0" w:line="276" w:lineRule="auto"/>
            </w:pPr>
            <w:r>
              <w:rPr>
                <w:rFonts w:ascii="Inter" w:hAnsi="Inter" w:cs="Inter" w:eastAsia="Inter"/>
                <w:b w:val="0"/>
                <w:i w:val="0"/>
                <w:color w:val="43506B"/>
                <w:sz w:val="16"/>
              </w:rPr>
              <w:t>Interletrado −0.02em</w:t>
            </w:r>
          </w:p>
        </w:tc>
      </w:tr>
      <w:tr>
        <w:trPr>
          <w:cantSplit/>
        </w:trPr>
        <w:tc>
          <w:tcPr>
            <w:tcW w:type="dxa" w:w="2247"/>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Cuerpo e interfaz</w:t>
            </w:r>
          </w:p>
        </w:tc>
        <w:tc>
          <w:tcPr>
            <w:tcW w:type="dxa" w:w="240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Inter</w:t>
            </w:r>
          </w:p>
        </w:tc>
        <w:tc>
          <w:tcPr>
            <w:tcW w:type="dxa" w:w="240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400 / 500 / 600</w:t>
            </w:r>
          </w:p>
        </w:tc>
        <w:tc>
          <w:tcPr>
            <w:tcW w:type="dxa" w:w="2729"/>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Interlínea 1.5</w:t>
            </w:r>
          </w:p>
        </w:tc>
      </w:tr>
      <w:tr>
        <w:trPr>
          <w:cantSplit/>
        </w:trPr>
        <w:tc>
          <w:tcPr>
            <w:tcW w:type="dxa" w:w="2247"/>
            <w:tcMar>
              <w:top w:w="60" w:type="dxa"/>
              <w:start w:w="100" w:type="dxa"/>
              <w:bottom w:w="60" w:type="dxa"/>
              <w:end w:w="100" w:type="dxa"/>
            </w:tcMar>
          </w:tcPr>
          <w:p>
            <w:pPr>
              <w:spacing w:after="0" w:line="276" w:lineRule="auto"/>
            </w:pPr>
            <w:r>
              <w:rPr>
                <w:rFonts w:ascii="Inter" w:hAnsi="Inter" w:cs="Inter" w:eastAsia="Inter"/>
                <w:b/>
                <w:i w:val="0"/>
                <w:color w:val="0A1A3A"/>
                <w:sz w:val="16"/>
              </w:rPr>
              <w:t>Cifras, códigos, etiquetas</w:t>
            </w:r>
          </w:p>
        </w:tc>
        <w:tc>
          <w:tcPr>
            <w:tcW w:type="dxa" w:w="2408"/>
            <w:tcMar>
              <w:top w:w="60" w:type="dxa"/>
              <w:start w:w="100" w:type="dxa"/>
              <w:bottom w:w="60" w:type="dxa"/>
              <w:end w:w="100" w:type="dxa"/>
            </w:tcMar>
          </w:tcPr>
          <w:p>
            <w:pPr>
              <w:spacing w:after="0" w:line="276" w:lineRule="auto"/>
            </w:pPr>
            <w:r>
              <w:rPr>
                <w:rFonts w:ascii="Inter" w:hAnsi="Inter" w:cs="Inter" w:eastAsia="Inter"/>
                <w:b w:val="0"/>
                <w:i w:val="0"/>
                <w:color w:val="43506B"/>
                <w:sz w:val="16"/>
              </w:rPr>
              <w:t>JetBrains Mono</w:t>
            </w:r>
          </w:p>
        </w:tc>
        <w:tc>
          <w:tcPr>
            <w:tcW w:type="dxa" w:w="2408"/>
            <w:tcMar>
              <w:top w:w="60" w:type="dxa"/>
              <w:start w:w="100" w:type="dxa"/>
              <w:bottom w:w="60" w:type="dxa"/>
              <w:end w:w="100" w:type="dxa"/>
            </w:tcMar>
          </w:tcPr>
          <w:p>
            <w:pPr>
              <w:spacing w:after="0" w:line="276" w:lineRule="auto"/>
            </w:pPr>
            <w:r>
              <w:rPr>
                <w:rFonts w:ascii="Inter" w:hAnsi="Inter" w:cs="Inter" w:eastAsia="Inter"/>
                <w:b w:val="0"/>
                <w:i w:val="0"/>
                <w:color w:val="43506B"/>
                <w:sz w:val="16"/>
              </w:rPr>
              <w:t>400 / 500 / 600</w:t>
            </w:r>
          </w:p>
        </w:tc>
        <w:tc>
          <w:tcPr>
            <w:tcW w:type="dxa" w:w="2729"/>
            <w:tcMar>
              <w:top w:w="60" w:type="dxa"/>
              <w:start w:w="100" w:type="dxa"/>
              <w:bottom w:w="60" w:type="dxa"/>
              <w:end w:w="100" w:type="dxa"/>
            </w:tcMar>
          </w:tcPr>
          <w:p>
            <w:pPr>
              <w:spacing w:after="0" w:line="276" w:lineRule="auto"/>
            </w:pPr>
            <w:r>
              <w:rPr>
                <w:rFonts w:ascii="Inter" w:hAnsi="Inter" w:cs="Inter" w:eastAsia="Inter"/>
                <w:b w:val="0"/>
                <w:i w:val="0"/>
                <w:color w:val="43506B"/>
                <w:sz w:val="16"/>
              </w:rPr>
              <w:t>tabular-nums obligatorio</w:t>
            </w:r>
          </w:p>
        </w:tc>
      </w:tr>
      <w:tr>
        <w:trPr>
          <w:cantSplit/>
        </w:trPr>
        <w:tc>
          <w:tcPr>
            <w:tcW w:type="dxa" w:w="2247"/>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Antetítulo (kicker)</w:t>
            </w:r>
          </w:p>
        </w:tc>
        <w:tc>
          <w:tcPr>
            <w:tcW w:type="dxa" w:w="240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JetBrains Mono</w:t>
            </w:r>
          </w:p>
        </w:tc>
        <w:tc>
          <w:tcPr>
            <w:tcW w:type="dxa" w:w="240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600 · 10–11 px</w:t>
            </w:r>
          </w:p>
        </w:tc>
        <w:tc>
          <w:tcPr>
            <w:tcW w:type="dxa" w:w="2729"/>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Mayúsculas, interletrado .12–.2em, en acento</w:t>
            </w:r>
          </w:p>
        </w:tc>
      </w:tr>
      <w:tr>
        <w:trPr>
          <w:cantSplit/>
        </w:trPr>
        <w:tc>
          <w:tcPr>
            <w:tcW w:type="dxa" w:w="2247"/>
            <w:tcMar>
              <w:top w:w="60" w:type="dxa"/>
              <w:start w:w="100" w:type="dxa"/>
              <w:bottom w:w="60" w:type="dxa"/>
              <w:end w:w="100" w:type="dxa"/>
            </w:tcMar>
          </w:tcPr>
          <w:p>
            <w:pPr>
              <w:spacing w:after="0" w:line="276" w:lineRule="auto"/>
            </w:pPr>
            <w:r>
              <w:rPr>
                <w:rFonts w:ascii="Inter" w:hAnsi="Inter" w:cs="Inter" w:eastAsia="Inter"/>
                <w:b/>
                <w:i w:val="0"/>
                <w:color w:val="0A1A3A"/>
                <w:sz w:val="16"/>
              </w:rPr>
              <w:t>Métrica grande</w:t>
            </w:r>
          </w:p>
        </w:tc>
        <w:tc>
          <w:tcPr>
            <w:tcW w:type="dxa" w:w="2408"/>
            <w:tcMar>
              <w:top w:w="60" w:type="dxa"/>
              <w:start w:w="100" w:type="dxa"/>
              <w:bottom w:w="60" w:type="dxa"/>
              <w:end w:w="100" w:type="dxa"/>
            </w:tcMar>
          </w:tcPr>
          <w:p>
            <w:pPr>
              <w:spacing w:after="0" w:line="276" w:lineRule="auto"/>
            </w:pPr>
            <w:r>
              <w:rPr>
                <w:rFonts w:ascii="Inter" w:hAnsi="Inter" w:cs="Inter" w:eastAsia="Inter"/>
                <w:b w:val="0"/>
                <w:i w:val="0"/>
                <w:color w:val="43506B"/>
                <w:sz w:val="16"/>
              </w:rPr>
              <w:t>Plus Jakarta Sans o Mono</w:t>
            </w:r>
          </w:p>
        </w:tc>
        <w:tc>
          <w:tcPr>
            <w:tcW w:type="dxa" w:w="2408"/>
            <w:tcMar>
              <w:top w:w="60" w:type="dxa"/>
              <w:start w:w="100" w:type="dxa"/>
              <w:bottom w:w="60" w:type="dxa"/>
              <w:end w:w="100" w:type="dxa"/>
            </w:tcMar>
          </w:tcPr>
          <w:p>
            <w:pPr>
              <w:spacing w:after="0" w:line="276" w:lineRule="auto"/>
            </w:pPr>
            <w:r>
              <w:rPr>
                <w:rFonts w:ascii="Inter" w:hAnsi="Inter" w:cs="Inter" w:eastAsia="Inter"/>
                <w:b w:val="0"/>
                <w:i w:val="0"/>
                <w:color w:val="43506B"/>
                <w:sz w:val="16"/>
              </w:rPr>
              <w:t>700 / 800 · 24–34 px</w:t>
            </w:r>
          </w:p>
        </w:tc>
        <w:tc>
          <w:tcPr>
            <w:tcW w:type="dxa" w:w="2729"/>
            <w:tcMar>
              <w:top w:w="60" w:type="dxa"/>
              <w:start w:w="100" w:type="dxa"/>
              <w:bottom w:w="60" w:type="dxa"/>
              <w:end w:w="100" w:type="dxa"/>
            </w:tcMar>
          </w:tcPr>
          <w:p>
            <w:pPr>
              <w:spacing w:after="0" w:line="276" w:lineRule="auto"/>
            </w:pPr>
            <w:r>
              <w:rPr>
                <w:rFonts w:ascii="Inter" w:hAnsi="Inter" w:cs="Inter" w:eastAsia="Inter"/>
                <w:b w:val="0"/>
                <w:i w:val="0"/>
                <w:color w:val="43506B"/>
                <w:sz w:val="16"/>
              </w:rPr>
              <w:t>Siempre tabular</w:t>
            </w:r>
          </w:p>
        </w:tc>
      </w:tr>
      <w:tr>
        <w:trPr>
          <w:cantSplit/>
        </w:trPr>
        <w:tc>
          <w:tcPr>
            <w:tcW w:type="dxa" w:w="2247"/>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Título de página</w:t>
            </w:r>
          </w:p>
        </w:tc>
        <w:tc>
          <w:tcPr>
            <w:tcW w:type="dxa" w:w="240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Plus Jakarta Sans</w:t>
            </w:r>
          </w:p>
        </w:tc>
        <w:tc>
          <w:tcPr>
            <w:tcW w:type="dxa" w:w="240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800 · 26 px</w:t>
            </w:r>
          </w:p>
        </w:tc>
        <w:tc>
          <w:tcPr>
            <w:tcW w:type="dxa" w:w="2729"/>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Interlínea cerrada</w:t>
            </w:r>
          </w:p>
        </w:tc>
      </w:tr>
      <w:tr>
        <w:trPr>
          <w:cantSplit/>
        </w:trPr>
        <w:tc>
          <w:tcPr>
            <w:tcW w:type="dxa" w:w="2247"/>
            <w:tcMar>
              <w:top w:w="60" w:type="dxa"/>
              <w:start w:w="100" w:type="dxa"/>
              <w:bottom w:w="60" w:type="dxa"/>
              <w:end w:w="100" w:type="dxa"/>
            </w:tcMar>
          </w:tcPr>
          <w:p>
            <w:pPr>
              <w:spacing w:after="0" w:line="276" w:lineRule="auto"/>
            </w:pPr>
            <w:r>
              <w:rPr>
                <w:rFonts w:ascii="Inter" w:hAnsi="Inter" w:cs="Inter" w:eastAsia="Inter"/>
                <w:b/>
                <w:i w:val="0"/>
                <w:color w:val="0A1A3A"/>
                <w:sz w:val="16"/>
              </w:rPr>
              <w:t>Título de tarjeta</w:t>
            </w:r>
          </w:p>
        </w:tc>
        <w:tc>
          <w:tcPr>
            <w:tcW w:type="dxa" w:w="2408"/>
            <w:tcMar>
              <w:top w:w="60" w:type="dxa"/>
              <w:start w:w="100" w:type="dxa"/>
              <w:bottom w:w="60" w:type="dxa"/>
              <w:end w:w="100" w:type="dxa"/>
            </w:tcMar>
          </w:tcPr>
          <w:p>
            <w:pPr>
              <w:spacing w:after="0" w:line="276" w:lineRule="auto"/>
            </w:pPr>
            <w:r>
              <w:rPr>
                <w:rFonts w:ascii="Inter" w:hAnsi="Inter" w:cs="Inter" w:eastAsia="Inter"/>
                <w:b w:val="0"/>
                <w:i w:val="0"/>
                <w:color w:val="43506B"/>
                <w:sz w:val="16"/>
              </w:rPr>
              <w:t>Plus Jakarta Sans</w:t>
            </w:r>
          </w:p>
        </w:tc>
        <w:tc>
          <w:tcPr>
            <w:tcW w:type="dxa" w:w="2408"/>
            <w:tcMar>
              <w:top w:w="60" w:type="dxa"/>
              <w:start w:w="100" w:type="dxa"/>
              <w:bottom w:w="60" w:type="dxa"/>
              <w:end w:w="100" w:type="dxa"/>
            </w:tcMar>
          </w:tcPr>
          <w:p>
            <w:pPr>
              <w:spacing w:after="0" w:line="276" w:lineRule="auto"/>
            </w:pPr>
            <w:r>
              <w:rPr>
                <w:rFonts w:ascii="Inter" w:hAnsi="Inter" w:cs="Inter" w:eastAsia="Inter"/>
                <w:b w:val="0"/>
                <w:i w:val="0"/>
                <w:color w:val="43506B"/>
                <w:sz w:val="16"/>
              </w:rPr>
              <w:t>700 · 15 px</w:t>
            </w:r>
          </w:p>
        </w:tc>
        <w:tc>
          <w:tcPr>
            <w:tcW w:type="dxa" w:w="2729"/>
            <w:tcMar>
              <w:top w:w="60" w:type="dxa"/>
              <w:start w:w="100" w:type="dxa"/>
              <w:bottom w:w="60" w:type="dxa"/>
              <w:end w:w="100" w:type="dxa"/>
            </w:tcMar>
          </w:tcPr>
          <w:p>
            <w:pPr>
              <w:spacing w:after="0" w:line="276" w:lineRule="auto"/>
            </w:pPr>
            <w:r>
              <w:rPr>
                <w:rFonts w:ascii="Inter" w:hAnsi="Inter" w:cs="Inter" w:eastAsia="Inter"/>
                <w:b w:val="0"/>
                <w:i w:val="0"/>
                <w:color w:val="43506B"/>
                <w:sz w:val="16"/>
              </w:rPr>
              <w:t>Una sola línea</w:t>
            </w:r>
          </w:p>
        </w:tc>
      </w:tr>
      <w:tr>
        <w:trPr>
          <w:cantSplit/>
        </w:trPr>
        <w:tc>
          <w:tcPr>
            <w:tcW w:type="dxa" w:w="2247"/>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Cuerpo</w:t>
            </w:r>
          </w:p>
        </w:tc>
        <w:tc>
          <w:tcPr>
            <w:tcW w:type="dxa" w:w="240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Inter</w:t>
            </w:r>
          </w:p>
        </w:tc>
        <w:tc>
          <w:tcPr>
            <w:tcW w:type="dxa" w:w="240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400–500 · 13–14 px</w:t>
            </w:r>
          </w:p>
        </w:tc>
        <w:tc>
          <w:tcPr>
            <w:tcW w:type="dxa" w:w="2729"/>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w:t>
            </w:r>
          </w:p>
        </w:tc>
      </w:tr>
      <w:tr>
        <w:trPr>
          <w:cantSplit/>
        </w:trPr>
        <w:tc>
          <w:tcPr>
            <w:tcW w:type="dxa" w:w="2247"/>
            <w:tcMar>
              <w:top w:w="60" w:type="dxa"/>
              <w:start w:w="100" w:type="dxa"/>
              <w:bottom w:w="60" w:type="dxa"/>
              <w:end w:w="100" w:type="dxa"/>
            </w:tcMar>
          </w:tcPr>
          <w:p>
            <w:pPr>
              <w:spacing w:after="0" w:line="276" w:lineRule="auto"/>
            </w:pPr>
            <w:r>
              <w:rPr>
                <w:rFonts w:ascii="Inter" w:hAnsi="Inter" w:cs="Inter" w:eastAsia="Inter"/>
                <w:b/>
                <w:i w:val="0"/>
                <w:color w:val="0A1A3A"/>
                <w:sz w:val="16"/>
              </w:rPr>
              <w:t>Leyenda</w:t>
            </w:r>
          </w:p>
        </w:tc>
        <w:tc>
          <w:tcPr>
            <w:tcW w:type="dxa" w:w="2408"/>
            <w:tcMar>
              <w:top w:w="60" w:type="dxa"/>
              <w:start w:w="100" w:type="dxa"/>
              <w:bottom w:w="60" w:type="dxa"/>
              <w:end w:w="100" w:type="dxa"/>
            </w:tcMar>
          </w:tcPr>
          <w:p>
            <w:pPr>
              <w:spacing w:after="0" w:line="276" w:lineRule="auto"/>
            </w:pPr>
            <w:r>
              <w:rPr>
                <w:rFonts w:ascii="Inter" w:hAnsi="Inter" w:cs="Inter" w:eastAsia="Inter"/>
                <w:b w:val="0"/>
                <w:i w:val="0"/>
                <w:color w:val="43506B"/>
                <w:sz w:val="16"/>
              </w:rPr>
              <w:t>Inter</w:t>
            </w:r>
          </w:p>
        </w:tc>
        <w:tc>
          <w:tcPr>
            <w:tcW w:type="dxa" w:w="2408"/>
            <w:tcMar>
              <w:top w:w="60" w:type="dxa"/>
              <w:start w:w="100" w:type="dxa"/>
              <w:bottom w:w="60" w:type="dxa"/>
              <w:end w:w="100" w:type="dxa"/>
            </w:tcMar>
          </w:tcPr>
          <w:p>
            <w:pPr>
              <w:spacing w:after="0" w:line="276" w:lineRule="auto"/>
            </w:pPr>
            <w:r>
              <w:rPr>
                <w:rFonts w:ascii="Inter" w:hAnsi="Inter" w:cs="Inter" w:eastAsia="Inter"/>
                <w:b w:val="0"/>
                <w:i w:val="0"/>
                <w:color w:val="43506B"/>
                <w:sz w:val="16"/>
              </w:rPr>
              <w:t>400 · 12 px</w:t>
            </w:r>
          </w:p>
        </w:tc>
        <w:tc>
          <w:tcPr>
            <w:tcW w:type="dxa" w:w="2729"/>
            <w:tcMar>
              <w:top w:w="60" w:type="dxa"/>
              <w:start w:w="100" w:type="dxa"/>
              <w:bottom w:w="60" w:type="dxa"/>
              <w:end w:w="100" w:type="dxa"/>
            </w:tcMar>
          </w:tcPr>
          <w:p>
            <w:pPr>
              <w:spacing w:after="0" w:line="276" w:lineRule="auto"/>
            </w:pPr>
            <w:r>
              <w:rPr>
                <w:rFonts w:ascii="Inter" w:hAnsi="Inter" w:cs="Inter" w:eastAsia="Inter"/>
                <w:b w:val="0"/>
                <w:i w:val="0"/>
                <w:color w:val="43506B"/>
                <w:sz w:val="16"/>
              </w:rPr>
              <w:t>En --muted</w:t>
            </w:r>
          </w:p>
        </w:tc>
      </w:tr>
    </w:tbl>
    <w:p>
      <w:pPr>
        <w:spacing w:after="120" w:before="0"/>
      </w:pP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Mínimos: </w:t>
      </w:r>
      <w:r>
        <w:rPr>
          <w:rFonts w:ascii="Inter" w:hAnsi="Inter" w:cs="Inter" w:eastAsia="Inter"/>
          <w:b w:val="0"/>
          <w:i w:val="0"/>
          <w:color w:val="43506B"/>
          <w:sz w:val="19"/>
        </w:rPr>
        <w:t>nunca por debajo de 12 px en interfaz; las cifras clave nunca por debajo de 24 px.</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Cifras tabulares en todo dato numérico. </w:t>
      </w:r>
      <w:r>
        <w:rPr>
          <w:rFonts w:ascii="Inter" w:hAnsi="Inter" w:cs="Inter" w:eastAsia="Inter"/>
          <w:b w:val="0"/>
          <w:i w:val="0"/>
          <w:color w:val="43506B"/>
          <w:sz w:val="19"/>
        </w:rPr>
        <w:t>Una columna de números que baila al cambiar de fila delata amateurismo en un producto financiero.</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Las tres familias son de Google Fonts y de licencia abierta </w:t>
      </w:r>
      <w:r>
        <w:rPr>
          <w:rFonts w:ascii="Inter" w:hAnsi="Inter" w:cs="Inter" w:eastAsia="Inter"/>
          <w:b w:val="0"/>
          <w:i w:val="0"/>
          <w:color w:val="43506B"/>
          <w:sz w:val="19"/>
        </w:rPr>
        <w:t>(SIL Open Font License), así que se pueden incrustar en el archivo de presentación sin restricción.</w:t>
      </w:r>
    </w:p>
    <w:p>
      <w:pPr>
        <w:keepNext/>
        <w:spacing w:before="260" w:after="60"/>
      </w:pPr>
      <w:r>
        <w:rPr>
          <w:rFonts w:ascii="Plus Jakarta Sans" w:hAnsi="Plus Jakarta Sans" w:cs="Plus Jakarta Sans" w:eastAsia="Plus Jakarta Sans"/>
          <w:b/>
          <w:i w:val="0"/>
          <w:color w:val="0A1A3A"/>
          <w:spacing w:val="-8"/>
          <w:sz w:val="25"/>
        </w:rPr>
        <w:t>2.6 Componentes y gramática de pantalla</w:t>
      </w:r>
    </w:p>
    <w:p>
      <w:pPr>
        <w:spacing w:before="80" w:after="40"/>
        <w:jc w:val="center"/>
      </w:pPr>
      <w:r>
        <w:drawing>
          <wp:inline xmlns:a="http://schemas.openxmlformats.org/drawingml/2006/main" xmlns:pic="http://schemas.openxmlformats.org/drawingml/2006/picture">
            <wp:extent cx="6126480" cy="2124505"/>
            <wp:docPr id="7" name="Picture 7"/>
            <wp:cNvGraphicFramePr>
              <a:graphicFrameLocks noChangeAspect="1"/>
            </wp:cNvGraphicFramePr>
            <a:graphic>
              <a:graphicData uri="http://schemas.openxmlformats.org/drawingml/2006/picture">
                <pic:pic>
                  <pic:nvPicPr>
                    <pic:cNvPr id="0" name="ui_light.png"/>
                    <pic:cNvPicPr/>
                  </pic:nvPicPr>
                  <pic:blipFill>
                    <a:blip r:embed="rId16"/>
                    <a:stretch>
                      <a:fillRect/>
                    </a:stretch>
                  </pic:blipFill>
                  <pic:spPr>
                    <a:xfrm>
                      <a:off x="0" y="0"/>
                      <a:ext cx="6126480" cy="2124505"/>
                    </a:xfrm>
                    <a:prstGeom prst="rect"/>
                  </pic:spPr>
                </pic:pic>
              </a:graphicData>
            </a:graphic>
          </wp:inline>
        </w:drawing>
      </w:r>
    </w:p>
    <w:p>
      <w:pPr>
        <w:spacing w:before="80" w:after="40"/>
        <w:jc w:val="center"/>
      </w:pPr>
      <w:r>
        <w:drawing>
          <wp:inline xmlns:a="http://schemas.openxmlformats.org/drawingml/2006/main" xmlns:pic="http://schemas.openxmlformats.org/drawingml/2006/picture">
            <wp:extent cx="6126480" cy="2124505"/>
            <wp:docPr id="8" name="Picture 8"/>
            <wp:cNvGraphicFramePr>
              <a:graphicFrameLocks noChangeAspect="1"/>
            </wp:cNvGraphicFramePr>
            <a:graphic>
              <a:graphicData uri="http://schemas.openxmlformats.org/drawingml/2006/picture">
                <pic:pic>
                  <pic:nvPicPr>
                    <pic:cNvPr id="0" name="ui_dark.png"/>
                    <pic:cNvPicPr/>
                  </pic:nvPicPr>
                  <pic:blipFill>
                    <a:blip r:embed="rId17"/>
                    <a:stretch>
                      <a:fillRect/>
                    </a:stretch>
                  </pic:blipFill>
                  <pic:spPr>
                    <a:xfrm>
                      <a:off x="0" y="0"/>
                      <a:ext cx="6126480" cy="2124505"/>
                    </a:xfrm>
                    <a:prstGeom prst="rect"/>
                  </pic:spPr>
                </pic:pic>
              </a:graphicData>
            </a:graphic>
          </wp:inline>
        </w:drawing>
      </w:r>
    </w:p>
    <w:p>
      <w:pPr>
        <w:spacing w:after="200"/>
        <w:jc w:val="center"/>
      </w:pPr>
      <w:r>
        <w:rPr>
          <w:rFonts w:ascii="Inter" w:hAnsi="Inter" w:cs="Inter" w:eastAsia="Inter"/>
          <w:b w:val="0"/>
          <w:i/>
          <w:color w:val="76829C"/>
          <w:sz w:val="15"/>
        </w:rPr>
        <w:t>Figura 4 — Muestra de componentes en ambos temas: medidor de arco, tarjeta de métrica con delta y sellos de procedencia, vocabulario de bandas, botones y tabla de ranking con cifras tabulares.</w:t>
      </w:r>
    </w:p>
    <w:tbl>
      <w:tblPr>
        <w:tblW w:type="auto" w:w="0"/>
        <w:jc w:val="left"/>
        <w:tblBorders>
          <w:top w:val="single" w:sz="4" w:space="0" w:color="E7ECF3"/>
          <w:left w:val="single" w:sz="4" w:space="0" w:color="E7ECF3"/>
          <w:bottom w:val="single" w:sz="4" w:space="0" w:color="E7ECF3"/>
          <w:right w:val="single" w:sz="4" w:space="0" w:color="E7ECF3"/>
          <w:insideH w:val="single" w:sz="4" w:space="0" w:color="E7ECF3"/>
          <w:insideV w:val="single" w:sz="4" w:space="0" w:color="E7ECF3"/>
        </w:tblBorders>
        <w:tblLayout w:type="fixed"/>
        <w:tblLook w:firstColumn="1" w:firstRow="1" w:lastColumn="0" w:lastRow="0" w:noHBand="0" w:noVBand="1" w:val="04A0"/>
      </w:tblPr>
      <w:tblGrid>
        <w:gridCol w:w="2025"/>
        <w:gridCol w:w="7766"/>
      </w:tblGrid>
      <w:tr>
        <w:trPr>
          <w:tblHeader/>
        </w:trPr>
        <w:tc>
          <w:tcPr>
            <w:tcW w:type="dxa" w:w="2026"/>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COMPONENTE</w:t>
            </w:r>
          </w:p>
        </w:tc>
        <w:tc>
          <w:tcPr>
            <w:tcW w:type="dxa" w:w="7766"/>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DEFINICIÓN</w:t>
            </w:r>
          </w:p>
        </w:tc>
      </w:tr>
      <w:tr>
        <w:trPr>
          <w:cantSplit/>
        </w:trPr>
        <w:tc>
          <w:tcPr>
            <w:tcW w:type="dxa" w:w="2026"/>
            <w:tcMar>
              <w:top w:w="60" w:type="dxa"/>
              <w:start w:w="100" w:type="dxa"/>
              <w:bottom w:w="60" w:type="dxa"/>
              <w:end w:w="100" w:type="dxa"/>
            </w:tcMar>
          </w:tcPr>
          <w:p>
            <w:pPr>
              <w:spacing w:after="0" w:line="276" w:lineRule="auto"/>
            </w:pPr>
            <w:r>
              <w:rPr>
                <w:rFonts w:ascii="Inter" w:hAnsi="Inter" w:cs="Inter" w:eastAsia="Inter"/>
                <w:b/>
                <w:i w:val="0"/>
                <w:color w:val="0A1A3A"/>
                <w:sz w:val="16"/>
              </w:rPr>
              <w:t>Card</w:t>
            </w:r>
          </w:p>
        </w:tc>
        <w:tc>
          <w:tcPr>
            <w:tcW w:type="dxa" w:w="7766"/>
            <w:tcMar>
              <w:top w:w="60" w:type="dxa"/>
              <w:start w:w="100" w:type="dxa"/>
              <w:bottom w:w="60" w:type="dxa"/>
              <w:end w:w="100" w:type="dxa"/>
            </w:tcMar>
          </w:tcPr>
          <w:p>
            <w:pPr>
              <w:spacing w:after="0" w:line="276" w:lineRule="auto"/>
            </w:pPr>
            <w:r>
              <w:rPr>
                <w:rFonts w:ascii="Inter" w:hAnsi="Inter" w:cs="Inter" w:eastAsia="Inter"/>
                <w:b w:val="0"/>
                <w:i w:val="0"/>
                <w:color w:val="43506B"/>
                <w:sz w:val="16"/>
              </w:rPr>
              <w:t>Superficie, borde de 1 px, radio 16 px, sombra suave de tarjeta.</w:t>
            </w:r>
          </w:p>
        </w:tc>
      </w:tr>
      <w:tr>
        <w:trPr>
          <w:cantSplit/>
        </w:trPr>
        <w:tc>
          <w:tcPr>
            <w:tcW w:type="dxa" w:w="2026"/>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CardHead</w:t>
            </w:r>
          </w:p>
        </w:tc>
        <w:tc>
          <w:tcPr>
            <w:tcW w:type="dxa" w:w="7766"/>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Icono de 30 px sobre acento suave + título en UNA línea + subtítulo.</w:t>
            </w:r>
          </w:p>
        </w:tc>
      </w:tr>
      <w:tr>
        <w:trPr>
          <w:cantSplit/>
        </w:trPr>
        <w:tc>
          <w:tcPr>
            <w:tcW w:type="dxa" w:w="2026"/>
            <w:tcMar>
              <w:top w:w="60" w:type="dxa"/>
              <w:start w:w="100" w:type="dxa"/>
              <w:bottom w:w="60" w:type="dxa"/>
              <w:end w:w="100" w:type="dxa"/>
            </w:tcMar>
          </w:tcPr>
          <w:p>
            <w:pPr>
              <w:spacing w:after="0" w:line="276" w:lineRule="auto"/>
            </w:pPr>
            <w:r>
              <w:rPr>
                <w:rFonts w:ascii="Inter" w:hAnsi="Inter" w:cs="Inter" w:eastAsia="Inter"/>
                <w:b/>
                <w:i w:val="0"/>
                <w:color w:val="0A1A3A"/>
                <w:sz w:val="16"/>
              </w:rPr>
              <w:t>PageHead</w:t>
            </w:r>
          </w:p>
        </w:tc>
        <w:tc>
          <w:tcPr>
            <w:tcW w:type="dxa" w:w="7766"/>
            <w:tcMar>
              <w:top w:w="60" w:type="dxa"/>
              <w:start w:w="100" w:type="dxa"/>
              <w:bottom w:w="60" w:type="dxa"/>
              <w:end w:w="100" w:type="dxa"/>
            </w:tcMar>
          </w:tcPr>
          <w:p>
            <w:pPr>
              <w:spacing w:after="0" w:line="276" w:lineRule="auto"/>
            </w:pPr>
            <w:r>
              <w:rPr>
                <w:rFonts w:ascii="Inter" w:hAnsi="Inter" w:cs="Inter" w:eastAsia="Inter"/>
                <w:b w:val="0"/>
                <w:i w:val="0"/>
                <w:color w:val="43506B"/>
                <w:sz w:val="16"/>
              </w:rPr>
              <w:t>Antetítulo + título + bajada de ancho máximo + ranura de acciones.</w:t>
            </w:r>
          </w:p>
        </w:tc>
      </w:tr>
      <w:tr>
        <w:trPr>
          <w:cantSplit/>
        </w:trPr>
        <w:tc>
          <w:tcPr>
            <w:tcW w:type="dxa" w:w="2026"/>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Button</w:t>
            </w:r>
          </w:p>
        </w:tc>
        <w:tc>
          <w:tcPr>
            <w:tcW w:type="dxa" w:w="7766"/>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Tres variantes: primario (acento), fantasma (borde), suave (acento suave). Alto 36–38 px, radio 10 px, peso 600.</w:t>
            </w:r>
          </w:p>
        </w:tc>
      </w:tr>
      <w:tr>
        <w:trPr>
          <w:cantSplit/>
        </w:trPr>
        <w:tc>
          <w:tcPr>
            <w:tcW w:type="dxa" w:w="2026"/>
            <w:tcMar>
              <w:top w:w="60" w:type="dxa"/>
              <w:start w:w="100" w:type="dxa"/>
              <w:bottom w:w="60" w:type="dxa"/>
              <w:end w:w="100" w:type="dxa"/>
            </w:tcMar>
          </w:tcPr>
          <w:p>
            <w:pPr>
              <w:spacing w:after="0" w:line="276" w:lineRule="auto"/>
            </w:pPr>
            <w:r>
              <w:rPr>
                <w:rFonts w:ascii="Inter" w:hAnsi="Inter" w:cs="Inter" w:eastAsia="Inter"/>
                <w:b/>
                <w:i w:val="0"/>
                <w:color w:val="0A1A3A"/>
                <w:sz w:val="16"/>
              </w:rPr>
              <w:t>StatTile</w:t>
            </w:r>
          </w:p>
        </w:tc>
        <w:tc>
          <w:tcPr>
            <w:tcW w:type="dxa" w:w="7766"/>
            <w:tcMar>
              <w:top w:w="60" w:type="dxa"/>
              <w:start w:w="100" w:type="dxa"/>
              <w:bottom w:w="60" w:type="dxa"/>
              <w:end w:w="100" w:type="dxa"/>
            </w:tcMar>
          </w:tcPr>
          <w:p>
            <w:pPr>
              <w:spacing w:after="0" w:line="276" w:lineRule="auto"/>
            </w:pPr>
            <w:r>
              <w:rPr>
                <w:rFonts w:ascii="Inter" w:hAnsi="Inter" w:cs="Inter" w:eastAsia="Inter"/>
                <w:b w:val="0"/>
                <w:i w:val="0"/>
                <w:color w:val="43506B"/>
                <w:sz w:val="16"/>
              </w:rPr>
              <w:t>Etiqueta + métrica grande tabular + delta con flecha y color de signo.</w:t>
            </w:r>
          </w:p>
        </w:tc>
      </w:tr>
      <w:tr>
        <w:trPr>
          <w:cantSplit/>
        </w:trPr>
        <w:tc>
          <w:tcPr>
            <w:tcW w:type="dxa" w:w="2026"/>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Gauge</w:t>
            </w:r>
          </w:p>
        </w:tc>
        <w:tc>
          <w:tcPr>
            <w:tcW w:type="dxa" w:w="7766"/>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Arco 0–100 en SVG propio, color por banda. Es el motivo del logotipo.</w:t>
            </w:r>
          </w:p>
        </w:tc>
      </w:tr>
      <w:tr>
        <w:trPr>
          <w:cantSplit/>
        </w:trPr>
        <w:tc>
          <w:tcPr>
            <w:tcW w:type="dxa" w:w="2026"/>
            <w:tcMar>
              <w:top w:w="60" w:type="dxa"/>
              <w:start w:w="100" w:type="dxa"/>
              <w:bottom w:w="60" w:type="dxa"/>
              <w:end w:w="100" w:type="dxa"/>
            </w:tcMar>
          </w:tcPr>
          <w:p>
            <w:pPr>
              <w:spacing w:after="0" w:line="276" w:lineRule="auto"/>
            </w:pPr>
            <w:r>
              <w:rPr>
                <w:rFonts w:ascii="Inter" w:hAnsi="Inter" w:cs="Inter" w:eastAsia="Inter"/>
                <w:b/>
                <w:i w:val="0"/>
                <w:color w:val="0A1A3A"/>
                <w:sz w:val="16"/>
              </w:rPr>
              <w:t>BandBadge</w:t>
            </w:r>
          </w:p>
        </w:tc>
        <w:tc>
          <w:tcPr>
            <w:tcW w:type="dxa" w:w="7766"/>
            <w:tcMar>
              <w:top w:w="60" w:type="dxa"/>
              <w:start w:w="100" w:type="dxa"/>
              <w:bottom w:w="60" w:type="dxa"/>
              <w:end w:w="100" w:type="dxa"/>
            </w:tcMar>
          </w:tcPr>
          <w:p>
            <w:pPr>
              <w:spacing w:after="0" w:line="276" w:lineRule="auto"/>
            </w:pPr>
            <w:r>
              <w:rPr>
                <w:rFonts w:ascii="Inter" w:hAnsi="Inter" w:cs="Inter" w:eastAsia="Inter"/>
                <w:b w:val="0"/>
                <w:i w:val="0"/>
                <w:color w:val="43506B"/>
                <w:sz w:val="16"/>
              </w:rPr>
              <w:t>Píldora con la banda del índice; color por banda.</w:t>
            </w:r>
          </w:p>
        </w:tc>
      </w:tr>
      <w:tr>
        <w:trPr>
          <w:cantSplit/>
        </w:trPr>
        <w:tc>
          <w:tcPr>
            <w:tcW w:type="dxa" w:w="2026"/>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Delta</w:t>
            </w:r>
          </w:p>
        </w:tc>
        <w:tc>
          <w:tcPr>
            <w:tcW w:type="dxa" w:w="7766"/>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Signo + flecha; verde sube, rojo baja, gris neutro. Tabular.</w:t>
            </w:r>
          </w:p>
        </w:tc>
      </w:tr>
      <w:tr>
        <w:trPr>
          <w:cantSplit/>
        </w:trPr>
        <w:tc>
          <w:tcPr>
            <w:tcW w:type="dxa" w:w="2026"/>
            <w:tcMar>
              <w:top w:w="60" w:type="dxa"/>
              <w:start w:w="100" w:type="dxa"/>
              <w:bottom w:w="60" w:type="dxa"/>
              <w:end w:w="100" w:type="dxa"/>
            </w:tcMar>
          </w:tcPr>
          <w:p>
            <w:pPr>
              <w:spacing w:after="0" w:line="276" w:lineRule="auto"/>
            </w:pPr>
            <w:r>
              <w:rPr>
                <w:rFonts w:ascii="Inter" w:hAnsi="Inter" w:cs="Inter" w:eastAsia="Inter"/>
                <w:b/>
                <w:i w:val="0"/>
                <w:color w:val="0A1A3A"/>
                <w:sz w:val="16"/>
              </w:rPr>
              <w:t>Chip / Tag</w:t>
            </w:r>
          </w:p>
        </w:tc>
        <w:tc>
          <w:tcPr>
            <w:tcW w:type="dxa" w:w="7766"/>
            <w:tcMar>
              <w:top w:w="60" w:type="dxa"/>
              <w:start w:w="100" w:type="dxa"/>
              <w:bottom w:w="60" w:type="dxa"/>
              <w:end w:w="100" w:type="dxa"/>
            </w:tcMar>
          </w:tcPr>
          <w:p>
            <w:pPr>
              <w:spacing w:after="0" w:line="276" w:lineRule="auto"/>
            </w:pPr>
            <w:r>
              <w:rPr>
                <w:rFonts w:ascii="Inter" w:hAnsi="Inter" w:cs="Inter" w:eastAsia="Inter"/>
                <w:b w:val="0"/>
                <w:i w:val="0"/>
                <w:color w:val="43506B"/>
                <w:sz w:val="16"/>
              </w:rPr>
              <w:t>Píldora de 12 px con borde suave; variante con punto de estado.</w:t>
            </w:r>
          </w:p>
        </w:tc>
      </w:tr>
      <w:tr>
        <w:trPr>
          <w:cantSplit/>
        </w:trPr>
        <w:tc>
          <w:tcPr>
            <w:tcW w:type="dxa" w:w="2026"/>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Tabs</w:t>
            </w:r>
          </w:p>
        </w:tc>
        <w:tc>
          <w:tcPr>
            <w:tcW w:type="dxa" w:w="7766"/>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Subrayado activo en acento.</w:t>
            </w:r>
          </w:p>
        </w:tc>
      </w:tr>
      <w:tr>
        <w:trPr>
          <w:cantSplit/>
        </w:trPr>
        <w:tc>
          <w:tcPr>
            <w:tcW w:type="dxa" w:w="2026"/>
            <w:tcMar>
              <w:top w:w="60" w:type="dxa"/>
              <w:start w:w="100" w:type="dxa"/>
              <w:bottom w:w="60" w:type="dxa"/>
              <w:end w:w="100" w:type="dxa"/>
            </w:tcMar>
          </w:tcPr>
          <w:p>
            <w:pPr>
              <w:spacing w:after="0" w:line="276" w:lineRule="auto"/>
            </w:pPr>
            <w:r>
              <w:rPr>
                <w:rFonts w:ascii="Inter" w:hAnsi="Inter" w:cs="Inter" w:eastAsia="Inter"/>
                <w:b/>
                <w:i w:val="0"/>
                <w:color w:val="0A1A3A"/>
                <w:sz w:val="16"/>
              </w:rPr>
              <w:t>Segmented</w:t>
            </w:r>
          </w:p>
        </w:tc>
        <w:tc>
          <w:tcPr>
            <w:tcW w:type="dxa" w:w="7766"/>
            <w:tcMar>
              <w:top w:w="60" w:type="dxa"/>
              <w:start w:w="100" w:type="dxa"/>
              <w:bottom w:w="60" w:type="dxa"/>
              <w:end w:w="100" w:type="dxa"/>
            </w:tcMar>
          </w:tcPr>
          <w:p>
            <w:pPr>
              <w:spacing w:after="0" w:line="276" w:lineRule="auto"/>
            </w:pPr>
            <w:r>
              <w:rPr>
                <w:rFonts w:ascii="Inter" w:hAnsi="Inter" w:cs="Inter" w:eastAsia="Inter"/>
                <w:b w:val="0"/>
                <w:i w:val="0"/>
                <w:color w:val="43506B"/>
                <w:sz w:val="16"/>
              </w:rPr>
              <w:t>Control de 2–3 opciones (p. ej. Base 100 / Valor).</w:t>
            </w:r>
          </w:p>
        </w:tc>
      </w:tr>
      <w:tr>
        <w:trPr>
          <w:cantSplit/>
        </w:trPr>
        <w:tc>
          <w:tcPr>
            <w:tcW w:type="dxa" w:w="2026"/>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StateBlock</w:t>
            </w:r>
          </w:p>
        </w:tc>
        <w:tc>
          <w:tcPr>
            <w:tcW w:type="dxa" w:w="7766"/>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Los cuatro estados obligatorios de pantalla.</w:t>
            </w:r>
          </w:p>
        </w:tc>
      </w:tr>
      <w:tr>
        <w:trPr>
          <w:cantSplit/>
        </w:trPr>
        <w:tc>
          <w:tcPr>
            <w:tcW w:type="dxa" w:w="2026"/>
            <w:tcMar>
              <w:top w:w="60" w:type="dxa"/>
              <w:start w:w="100" w:type="dxa"/>
              <w:bottom w:w="60" w:type="dxa"/>
              <w:end w:w="100" w:type="dxa"/>
            </w:tcMar>
          </w:tcPr>
          <w:p>
            <w:pPr>
              <w:spacing w:after="0" w:line="276" w:lineRule="auto"/>
            </w:pPr>
            <w:r>
              <w:rPr>
                <w:rFonts w:ascii="Inter" w:hAnsi="Inter" w:cs="Inter" w:eastAsia="Inter"/>
                <w:b/>
                <w:i w:val="0"/>
                <w:color w:val="0A1A3A"/>
                <w:sz w:val="16"/>
              </w:rPr>
              <w:t>Skeleton</w:t>
            </w:r>
          </w:p>
        </w:tc>
        <w:tc>
          <w:tcPr>
            <w:tcW w:type="dxa" w:w="7766"/>
            <w:tcMar>
              <w:top w:w="60" w:type="dxa"/>
              <w:start w:w="100" w:type="dxa"/>
              <w:bottom w:w="60" w:type="dxa"/>
              <w:end w:w="100" w:type="dxa"/>
            </w:tcMar>
          </w:tcPr>
          <w:p>
            <w:pPr>
              <w:spacing w:after="0" w:line="276" w:lineRule="auto"/>
            </w:pPr>
            <w:r>
              <w:rPr>
                <w:rFonts w:ascii="Inter" w:hAnsi="Inter" w:cs="Inter" w:eastAsia="Inter"/>
                <w:b w:val="0"/>
                <w:i w:val="0"/>
                <w:color w:val="43506B"/>
                <w:sz w:val="16"/>
              </w:rPr>
              <w:t>Destello sobre superficie hundida durante la carga.</w:t>
            </w:r>
          </w:p>
        </w:tc>
      </w:tr>
      <w:tr>
        <w:trPr>
          <w:cantSplit/>
        </w:trPr>
        <w:tc>
          <w:tcPr>
            <w:tcW w:type="dxa" w:w="2026"/>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Toast</w:t>
            </w:r>
          </w:p>
        </w:tc>
        <w:tc>
          <w:tcPr>
            <w:tcW w:type="dxa" w:w="7766"/>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Inferior centrado, fondo tinta.</w:t>
            </w:r>
          </w:p>
        </w:tc>
      </w:tr>
    </w:tbl>
    <w:p>
      <w:pPr>
        <w:spacing w:after="120" w:before="0"/>
      </w:pPr>
    </w:p>
    <w:p>
      <w:pPr>
        <w:keepNext/>
        <w:spacing w:before="180" w:after="40"/>
      </w:pPr>
      <w:r>
        <w:rPr>
          <w:rFonts w:ascii="Plus Jakarta Sans" w:hAnsi="Plus Jakarta Sans" w:cs="Plus Jakarta Sans" w:eastAsia="Plus Jakarta Sans"/>
          <w:b/>
          <w:i w:val="0"/>
          <w:color w:val="1551C0"/>
          <w:sz w:val="21"/>
        </w:rPr>
        <w:t>Bandas de índice — el vocabulario de estado</w:t>
      </w:r>
    </w:p>
    <w:p>
      <w:pPr>
        <w:spacing w:after="80" w:before="0"/>
      </w:pPr>
      <w:r>
        <w:rPr>
          <w:rFonts w:ascii="Inter" w:hAnsi="Inter" w:cs="Inter" w:eastAsia="Inter"/>
          <w:b w:val="0"/>
          <w:i w:val="0"/>
          <w:color w:val="43506B"/>
          <w:sz w:val="19"/>
        </w:rPr>
        <w:t>Los índices de 0 a 100 se leen por banda, y el vocabulario cambia según lo que el eje mide. Nunca se mezclan dos escalas en la misma lectura.</w:t>
      </w:r>
    </w:p>
    <w:tbl>
      <w:tblPr>
        <w:tblW w:type="auto" w:w="0"/>
        <w:jc w:val="left"/>
        <w:tblBorders>
          <w:top w:val="single" w:sz="4" w:space="0" w:color="E7ECF3"/>
          <w:left w:val="single" w:sz="4" w:space="0" w:color="E7ECF3"/>
          <w:bottom w:val="single" w:sz="4" w:space="0" w:color="E7ECF3"/>
          <w:right w:val="single" w:sz="4" w:space="0" w:color="E7ECF3"/>
          <w:insideH w:val="single" w:sz="4" w:space="0" w:color="E7ECF3"/>
          <w:insideV w:val="single" w:sz="4" w:space="0" w:color="E7ECF3"/>
        </w:tblBorders>
        <w:tblLayout w:type="fixed"/>
        <w:tblLook w:firstColumn="1" w:firstRow="1" w:lastColumn="0" w:lastRow="0" w:noHBand="0" w:noVBand="1" w:val="04A0"/>
      </w:tblPr>
      <w:tblGrid>
        <w:gridCol w:w="2194"/>
        <w:gridCol w:w="4558"/>
        <w:gridCol w:w="3038"/>
      </w:tblGrid>
      <w:tr>
        <w:trPr>
          <w:tblHeader/>
        </w:trPr>
        <w:tc>
          <w:tcPr>
            <w:tcW w:type="dxa" w:w="2195"/>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ESCALA</w:t>
            </w:r>
          </w:p>
        </w:tc>
        <w:tc>
          <w:tcPr>
            <w:tcW w:type="dxa" w:w="4558"/>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BANDAS, DE MEJOR A PEOR</w:t>
            </w:r>
          </w:p>
        </w:tc>
        <w:tc>
          <w:tcPr>
            <w:tcW w:type="dxa" w:w="3039"/>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NATURALEZA</w:t>
            </w:r>
          </w:p>
        </w:tc>
      </w:tr>
      <w:tr>
        <w:trPr>
          <w:cantSplit/>
        </w:trPr>
        <w:tc>
          <w:tcPr>
            <w:tcW w:type="dxa" w:w="2195"/>
            <w:tcMar>
              <w:top w:w="60" w:type="dxa"/>
              <w:start w:w="100" w:type="dxa"/>
              <w:bottom w:w="60" w:type="dxa"/>
              <w:end w:w="100" w:type="dxa"/>
            </w:tcMar>
          </w:tcPr>
          <w:p>
            <w:pPr>
              <w:spacing w:after="0" w:line="276" w:lineRule="auto"/>
            </w:pPr>
            <w:r>
              <w:rPr>
                <w:rFonts w:ascii="Inter" w:hAnsi="Inter" w:cs="Inter" w:eastAsia="Inter"/>
                <w:b/>
                <w:i w:val="0"/>
                <w:color w:val="0A1A3A"/>
                <w:sz w:val="16"/>
              </w:rPr>
              <w:t>Índice general</w:t>
            </w:r>
          </w:p>
        </w:tc>
        <w:tc>
          <w:tcPr>
            <w:tcW w:type="dxa" w:w="4558"/>
            <w:tcMar>
              <w:top w:w="60" w:type="dxa"/>
              <w:start w:w="100" w:type="dxa"/>
              <w:bottom w:w="60" w:type="dxa"/>
              <w:end w:w="100" w:type="dxa"/>
            </w:tcMar>
          </w:tcPr>
          <w:p>
            <w:pPr>
              <w:spacing w:after="0" w:line="276" w:lineRule="auto"/>
            </w:pPr>
            <w:r>
              <w:rPr>
                <w:rFonts w:ascii="Inter" w:hAnsi="Inter" w:cs="Inter" w:eastAsia="Inter"/>
                <w:b w:val="0"/>
                <w:i w:val="0"/>
                <w:color w:val="43506B"/>
                <w:sz w:val="16"/>
              </w:rPr>
              <w:t>Fuerte ≥85 · Sólido 70–84 · Vigilar 55–69 · Débil &lt;55</w:t>
            </w:r>
          </w:p>
        </w:tc>
        <w:tc>
          <w:tcPr>
            <w:tcW w:type="dxa" w:w="3039"/>
            <w:tcMar>
              <w:top w:w="60" w:type="dxa"/>
              <w:start w:w="100" w:type="dxa"/>
              <w:bottom w:w="60" w:type="dxa"/>
              <w:end w:w="100" w:type="dxa"/>
            </w:tcMar>
          </w:tcPr>
          <w:p>
            <w:pPr>
              <w:spacing w:after="0" w:line="276" w:lineRule="auto"/>
            </w:pPr>
            <w:r>
              <w:rPr>
                <w:rFonts w:ascii="Inter" w:hAnsi="Inter" w:cs="Inter" w:eastAsia="Inter"/>
                <w:b w:val="0"/>
                <w:i w:val="0"/>
                <w:color w:val="43506B"/>
                <w:sz w:val="16"/>
              </w:rPr>
              <w:t>Absoluta</w:t>
            </w:r>
          </w:p>
        </w:tc>
      </w:tr>
      <w:tr>
        <w:trPr>
          <w:cantSplit/>
        </w:trPr>
        <w:tc>
          <w:tcPr>
            <w:tcW w:type="dxa" w:w="2195"/>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Resiliencia (financiero)</w:t>
            </w:r>
          </w:p>
        </w:tc>
        <w:tc>
          <w:tcPr>
            <w:tcW w:type="dxa" w:w="455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Sólida ≥75 · Adecuada 60–74 · En vigilancia 45–59 · Frágil &lt;45</w:t>
            </w:r>
          </w:p>
        </w:tc>
        <w:tc>
          <w:tcPr>
            <w:tcW w:type="dxa" w:w="3039"/>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ABSOLUTA — cortes fijos, iguales en los cuatro sectores financieros</w:t>
            </w:r>
          </w:p>
        </w:tc>
      </w:tr>
      <w:tr>
        <w:trPr>
          <w:cantSplit/>
        </w:trPr>
        <w:tc>
          <w:tcPr>
            <w:tcW w:type="dxa" w:w="2195"/>
            <w:tcMar>
              <w:top w:w="60" w:type="dxa"/>
              <w:start w:w="100" w:type="dxa"/>
              <w:bottom w:w="60" w:type="dxa"/>
              <w:end w:w="100" w:type="dxa"/>
            </w:tcMar>
          </w:tcPr>
          <w:p>
            <w:pPr>
              <w:spacing w:after="0" w:line="276" w:lineRule="auto"/>
            </w:pPr>
            <w:r>
              <w:rPr>
                <w:rFonts w:ascii="Inter" w:hAnsi="Inter" w:cs="Inter" w:eastAsia="Inter"/>
                <w:b/>
                <w:i w:val="0"/>
                <w:color w:val="0A1A3A"/>
                <w:sz w:val="16"/>
              </w:rPr>
              <w:t>Ejecución (financiero)</w:t>
            </w:r>
          </w:p>
        </w:tc>
        <w:tc>
          <w:tcPr>
            <w:tcW w:type="dxa" w:w="4558"/>
            <w:tcMar>
              <w:top w:w="60" w:type="dxa"/>
              <w:start w:w="100" w:type="dxa"/>
              <w:bottom w:w="60" w:type="dxa"/>
              <w:end w:w="100" w:type="dxa"/>
            </w:tcMar>
          </w:tcPr>
          <w:p>
            <w:pPr>
              <w:spacing w:after="0" w:line="276" w:lineRule="auto"/>
            </w:pPr>
            <w:r>
              <w:rPr>
                <w:rFonts w:ascii="Inter" w:hAnsi="Inter" w:cs="Inter" w:eastAsia="Inter"/>
                <w:b w:val="0"/>
                <w:i w:val="0"/>
                <w:color w:val="43506B"/>
                <w:sz w:val="16"/>
              </w:rPr>
              <w:t>Sobresaliente · Competitiva · Rezagada · Deficiente</w:t>
            </w:r>
          </w:p>
        </w:tc>
        <w:tc>
          <w:tcPr>
            <w:tcW w:type="dxa" w:w="3039"/>
            <w:tcMar>
              <w:top w:w="60" w:type="dxa"/>
              <w:start w:w="100" w:type="dxa"/>
              <w:bottom w:w="60" w:type="dxa"/>
              <w:end w:w="100" w:type="dxa"/>
            </w:tcMar>
          </w:tcPr>
          <w:p>
            <w:pPr>
              <w:spacing w:after="0" w:line="276" w:lineRule="auto"/>
            </w:pPr>
            <w:r>
              <w:rPr>
                <w:rFonts w:ascii="Inter" w:hAnsi="Inter" w:cs="Inter" w:eastAsia="Inter"/>
                <w:b w:val="0"/>
                <w:i w:val="0"/>
                <w:color w:val="43506B"/>
                <w:sz w:val="16"/>
              </w:rPr>
              <w:t>RELATIVA al panel comparable — cuartiles, expuestos para ser auditables</w:t>
            </w:r>
          </w:p>
        </w:tc>
      </w:tr>
      <w:tr>
        <w:trPr>
          <w:cantSplit/>
        </w:trPr>
        <w:tc>
          <w:tcPr>
            <w:tcW w:type="dxa" w:w="2195"/>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Ejes de riesgo (IRMP, IRC)</w:t>
            </w:r>
          </w:p>
        </w:tc>
        <w:tc>
          <w:tcPr>
            <w:tcW w:type="dxa" w:w="455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Mayor score = menor riesgo; banda «Riesgo moderado», etc.</w:t>
            </w:r>
          </w:p>
        </w:tc>
        <w:tc>
          <w:tcPr>
            <w:tcW w:type="dxa" w:w="3039"/>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Semánticamente invertida</w:t>
            </w:r>
          </w:p>
        </w:tc>
      </w:tr>
      <w:tr>
        <w:trPr>
          <w:cantSplit/>
        </w:trPr>
        <w:tc>
          <w:tcPr>
            <w:tcW w:type="dxa" w:w="2195"/>
            <w:tcMar>
              <w:top w:w="60" w:type="dxa"/>
              <w:start w:w="100" w:type="dxa"/>
              <w:bottom w:w="60" w:type="dxa"/>
              <w:end w:w="100" w:type="dxa"/>
            </w:tcMar>
          </w:tcPr>
          <w:p>
            <w:pPr>
              <w:spacing w:after="0" w:line="276" w:lineRule="auto"/>
            </w:pPr>
            <w:r>
              <w:rPr>
                <w:rFonts w:ascii="Inter" w:hAnsi="Inter" w:cs="Inter" w:eastAsia="Inter"/>
                <w:b/>
                <w:i w:val="0"/>
                <w:color w:val="0A1A3A"/>
                <w:sz w:val="16"/>
              </w:rPr>
              <w:t>Grado sectorial (SGPS)</w:t>
            </w:r>
          </w:p>
        </w:tc>
        <w:tc>
          <w:tcPr>
            <w:tcW w:type="dxa" w:w="4558"/>
            <w:tcMar>
              <w:top w:w="60" w:type="dxa"/>
              <w:start w:w="100" w:type="dxa"/>
              <w:bottom w:w="60" w:type="dxa"/>
              <w:end w:w="100" w:type="dxa"/>
            </w:tcMar>
          </w:tcPr>
          <w:p>
            <w:pPr>
              <w:spacing w:after="0" w:line="276" w:lineRule="auto"/>
            </w:pPr>
            <w:r>
              <w:rPr>
                <w:rFonts w:ascii="Inter" w:hAnsi="Inter" w:cs="Inter" w:eastAsia="Inter"/>
                <w:b w:val="0"/>
                <w:i w:val="0"/>
                <w:color w:val="43506B"/>
                <w:sz w:val="16"/>
              </w:rPr>
              <w:t>A · B · C · D</w:t>
            </w:r>
          </w:p>
        </w:tc>
        <w:tc>
          <w:tcPr>
            <w:tcW w:type="dxa" w:w="3039"/>
            <w:tcMar>
              <w:top w:w="60" w:type="dxa"/>
              <w:start w:w="100" w:type="dxa"/>
              <w:bottom w:w="60" w:type="dxa"/>
              <w:end w:w="100" w:type="dxa"/>
            </w:tcMar>
          </w:tcPr>
          <w:p>
            <w:pPr>
              <w:spacing w:after="0" w:line="276" w:lineRule="auto"/>
            </w:pPr>
            <w:r>
              <w:rPr>
                <w:rFonts w:ascii="Inter" w:hAnsi="Inter" w:cs="Inter" w:eastAsia="Inter"/>
                <w:b w:val="0"/>
                <w:i w:val="0"/>
                <w:color w:val="43506B"/>
                <w:sz w:val="16"/>
              </w:rPr>
              <w:t>Grado por letra</w:t>
            </w:r>
          </w:p>
        </w:tc>
      </w:tr>
    </w:tbl>
    <w:p>
      <w:pPr>
        <w:spacing w:after="120" w:before="0"/>
      </w:pPr>
    </w:p>
    <w:tbl>
      <w:tblPr>
        <w:tblW w:type="auto" w:w="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72"/>
        <w:gridCol w:w="9720"/>
      </w:tblGrid>
      <w:tr>
        <w:trPr>
          <w:cantSplit/>
        </w:trPr>
        <w:tc>
          <w:tcPr>
            <w:tcW w:type="dxa" w:w="72"/>
            <w:shd w:val="clear" w:color="auto" w:fill="C8392E"/>
            <w:tcMar>
              <w:top w:w="0" w:type="dxa"/>
              <w:start w:w="0" w:type="dxa"/>
              <w:bottom w:w="0" w:type="dxa"/>
              <w:end w:w="0" w:type="dxa"/>
            </w:tcMar>
          </w:tcPr>
          <w:p>
            <w:pPr>
              <w:spacing w:after="0"/>
            </w:pPr>
          </w:p>
        </w:tc>
        <w:tc>
          <w:tcPr>
            <w:tcW w:type="dxa" w:w="9720"/>
            <w:shd w:val="clear" w:color="auto" w:fill="FBEAE8"/>
            <w:tcMar>
              <w:top w:w="120" w:type="dxa"/>
              <w:start w:w="160" w:type="dxa"/>
              <w:bottom w:w="120" w:type="dxa"/>
              <w:end w:w="160" w:type="dxa"/>
            </w:tcMar>
          </w:tcPr>
          <w:p>
            <w:pPr>
              <w:spacing w:after="40"/>
            </w:pPr>
            <w:r>
              <w:rPr>
                <w:rFonts w:ascii="JetBrains Mono" w:hAnsi="JetBrains Mono" w:cs="JetBrains Mono" w:eastAsia="JetBrains Mono"/>
                <w:b/>
                <w:i w:val="0"/>
                <w:color w:val="C8392E"/>
                <w:spacing w:val="24"/>
                <w:sz w:val="15"/>
              </w:rPr>
              <w:t>CAMBIO DE MARCA IMPORTANTE Y RECIENTE</w:t>
            </w:r>
          </w:p>
          <w:p>
            <w:pPr>
              <w:spacing w:after="0"/>
            </w:pPr>
            <w:r>
              <w:rPr>
                <w:rFonts w:ascii="Inter" w:hAnsi="Inter" w:cs="Inter" w:eastAsia="Inter"/>
                <w:b w:val="0"/>
                <w:i w:val="0"/>
                <w:color w:val="0A1A3A"/>
                <w:sz w:val="19"/>
              </w:rPr>
              <w:t>La notación por letras SDQ-AAA … SDQ-D fue RETIRADA y no se publica más. Usaba la gramática de una calificadora de riesgo regulada sin serlo, y «SDQ-D» —la etiqueta más grave del vocabulario de agencia— cubría 45 puntos de rango, alcanzando a entidades que operan con normalidad. La reemplaza el «Perfil SDQ»: dos ejes independientes, Ejecución y Resiliencia, cada uno de 0 a 100 con su propia banda, que NO se resumen en un símbolo único. Si encuentra material con SDQ-AA+ o similar, está desactualizado.</w:t>
            </w:r>
          </w:p>
        </w:tc>
      </w:tr>
    </w:tbl>
    <w:p>
      <w:pPr>
        <w:spacing w:after="80" w:before="0"/>
      </w:pPr>
    </w:p>
    <w:p>
      <w:pPr>
        <w:keepNext/>
        <w:spacing w:before="260" w:after="60"/>
      </w:pPr>
      <w:r>
        <w:rPr>
          <w:rFonts w:ascii="Plus Jakarta Sans" w:hAnsi="Plus Jakarta Sans" w:cs="Plus Jakarta Sans" w:eastAsia="Plus Jakarta Sans"/>
          <w:b/>
          <w:i w:val="0"/>
          <w:color w:val="0A1A3A"/>
          <w:spacing w:val="-8"/>
          <w:sz w:val="25"/>
        </w:rPr>
        <w:t>2.7 Visualización de datos</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Densidad de terminal financiera, </w:t>
      </w:r>
      <w:r>
        <w:rPr>
          <w:rFonts w:ascii="Inter" w:hAnsi="Inter" w:cs="Inter" w:eastAsia="Inter"/>
          <w:b w:val="0"/>
          <w:i w:val="0"/>
          <w:color w:val="43506B"/>
          <w:sz w:val="19"/>
        </w:rPr>
        <w:t>no de tablero genérico. La referencia es Koyfin, Linear y Trading Economics: jerarquía tipográfica fuerte, cifras tabulares, cromo mínimo.</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Piezas estándar: </w:t>
      </w:r>
      <w:r>
        <w:rPr>
          <w:rFonts w:ascii="Inter" w:hAnsi="Inter" w:cs="Inter" w:eastAsia="Inter"/>
          <w:b w:val="0"/>
          <w:i w:val="0"/>
          <w:color w:val="43506B"/>
          <w:sz w:val="19"/>
        </w:rPr>
        <w:t>área y línea, barras, multi-serie base 100, dispersión de burbujas, radar.</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Piezas a medida (SVG propio): </w:t>
      </w:r>
      <w:r>
        <w:rPr>
          <w:rFonts w:ascii="Inter" w:hAnsi="Inter" w:cs="Inter" w:eastAsia="Inter"/>
          <w:b w:val="0"/>
          <w:i w:val="0"/>
          <w:color w:val="43506B"/>
          <w:sz w:val="19"/>
        </w:rPr>
        <w:t>medidor de arco, mapa de calor indicador×trimestre, treemap, cartograma de mosaicos, distribución por tramos, abanico de escenarios, barras de driver ±, medidores de sub-componente, barras de ranking, sparkline.</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Sin geografía falsa. </w:t>
      </w:r>
      <w:r>
        <w:rPr>
          <w:rFonts w:ascii="Inter" w:hAnsi="Inter" w:cs="Inter" w:eastAsia="Inter"/>
          <w:b w:val="0"/>
          <w:i w:val="0"/>
          <w:color w:val="43506B"/>
          <w:sz w:val="19"/>
        </w:rPr>
        <w:t>Nunca un mapa geográfico real: cartograma de mosaicos etiquetados. Un mapa sugiere una precisión territorial que el dato no tiene.</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Ejes y tooltips sobrios, </w:t>
      </w:r>
      <w:r>
        <w:rPr>
          <w:rFonts w:ascii="Inter" w:hAnsi="Inter" w:cs="Inter" w:eastAsia="Inter"/>
          <w:b w:val="0"/>
          <w:i w:val="0"/>
          <w:color w:val="43506B"/>
          <w:sz w:val="19"/>
        </w:rPr>
        <w:t>rejilla tenue, sin sombras pesadas.</w:t>
      </w:r>
    </w:p>
    <w:p>
      <w:pPr>
        <w:keepNext/>
        <w:spacing w:before="260" w:after="60"/>
      </w:pPr>
      <w:r>
        <w:rPr>
          <w:rFonts w:ascii="Plus Jakarta Sans" w:hAnsi="Plus Jakarta Sans" w:cs="Plus Jakarta Sans" w:eastAsia="Plus Jakarta Sans"/>
          <w:b/>
          <w:i w:val="0"/>
          <w:color w:val="0A1A3A"/>
          <w:spacing w:val="-8"/>
          <w:sz w:val="25"/>
        </w:rPr>
        <w:t>2.8 Reglas duras (no negociables)</w:t>
      </w:r>
    </w:p>
    <w:tbl>
      <w:tblPr>
        <w:tblW w:type="auto" w:w="0"/>
        <w:jc w:val="left"/>
        <w:tblBorders>
          <w:top w:val="single" w:sz="4" w:space="0" w:color="E7ECF3"/>
          <w:left w:val="single" w:sz="4" w:space="0" w:color="E7ECF3"/>
          <w:bottom w:val="single" w:sz="4" w:space="0" w:color="E7ECF3"/>
          <w:right w:val="single" w:sz="4" w:space="0" w:color="E7ECF3"/>
          <w:insideH w:val="single" w:sz="4" w:space="0" w:color="E7ECF3"/>
          <w:insideV w:val="single" w:sz="4" w:space="0" w:color="E7ECF3"/>
        </w:tblBorders>
        <w:tblLayout w:type="fixed"/>
        <w:tblLook w:firstColumn="1" w:firstRow="1" w:lastColumn="0" w:lastRow="0" w:noHBand="0" w:noVBand="1" w:val="04A0"/>
      </w:tblPr>
      <w:tblGrid>
        <w:gridCol w:w="506"/>
        <w:gridCol w:w="4727"/>
        <w:gridCol w:w="4558"/>
      </w:tblGrid>
      <w:tr>
        <w:trPr>
          <w:tblHeader/>
        </w:trPr>
        <w:tc>
          <w:tcPr>
            <w:tcW w:type="dxa" w:w="506"/>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w:t>
            </w:r>
          </w:p>
        </w:tc>
        <w:tc>
          <w:tcPr>
            <w:tcW w:type="dxa" w:w="4727"/>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REGLA</w:t>
            </w:r>
          </w:p>
        </w:tc>
        <w:tc>
          <w:tcPr>
            <w:tcW w:type="dxa" w:w="4558"/>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POR QUÉ</w:t>
            </w:r>
          </w:p>
        </w:tc>
      </w:tr>
      <w:tr>
        <w:trPr>
          <w:cantSplit/>
        </w:trPr>
        <w:tc>
          <w:tcPr>
            <w:tcW w:type="dxa" w:w="506"/>
            <w:tcMar>
              <w:top w:w="60" w:type="dxa"/>
              <w:start w:w="100" w:type="dxa"/>
              <w:bottom w:w="60" w:type="dxa"/>
              <w:end w:w="100" w:type="dxa"/>
            </w:tcMar>
          </w:tcPr>
          <w:p>
            <w:pPr>
              <w:spacing w:after="0" w:line="276" w:lineRule="auto"/>
            </w:pPr>
            <w:r>
              <w:rPr>
                <w:rFonts w:ascii="Inter" w:hAnsi="Inter" w:cs="Inter" w:eastAsia="Inter"/>
                <w:b/>
                <w:i w:val="0"/>
                <w:color w:val="0A1A3A"/>
                <w:sz w:val="16"/>
              </w:rPr>
              <w:t>1</w:t>
            </w:r>
          </w:p>
        </w:tc>
        <w:tc>
          <w:tcPr>
            <w:tcW w:type="dxa" w:w="4727"/>
            <w:tcMar>
              <w:top w:w="60" w:type="dxa"/>
              <w:start w:w="100" w:type="dxa"/>
              <w:bottom w:w="60" w:type="dxa"/>
              <w:end w:w="100" w:type="dxa"/>
            </w:tcMar>
          </w:tcPr>
          <w:p>
            <w:pPr>
              <w:spacing w:after="0" w:line="276" w:lineRule="auto"/>
            </w:pPr>
            <w:r>
              <w:rPr>
                <w:rFonts w:ascii="Inter" w:hAnsi="Inter" w:cs="Inter" w:eastAsia="Inter"/>
                <w:b w:val="0"/>
                <w:i w:val="0"/>
                <w:color w:val="43506B"/>
                <w:sz w:val="16"/>
              </w:rPr>
              <w:t>Cabeceras a una sola línea, con recorte por elipsis.</w:t>
            </w:r>
          </w:p>
        </w:tc>
        <w:tc>
          <w:tcPr>
            <w:tcW w:type="dxa" w:w="4558"/>
            <w:tcMar>
              <w:top w:w="60" w:type="dxa"/>
              <w:start w:w="100" w:type="dxa"/>
              <w:bottom w:w="60" w:type="dxa"/>
              <w:end w:w="100" w:type="dxa"/>
            </w:tcMar>
          </w:tcPr>
          <w:p>
            <w:pPr>
              <w:spacing w:after="0" w:line="276" w:lineRule="auto"/>
            </w:pPr>
            <w:r>
              <w:rPr>
                <w:rFonts w:ascii="Inter" w:hAnsi="Inter" w:cs="Inter" w:eastAsia="Inter"/>
                <w:b w:val="0"/>
                <w:i w:val="0"/>
                <w:color w:val="43506B"/>
                <w:sz w:val="16"/>
              </w:rPr>
              <w:t>Un título que envuelve junto a una insignia hermana se solapa con el subtítulo en el borde exacto del salto de línea. Ya ocurrió.</w:t>
            </w:r>
          </w:p>
        </w:tc>
      </w:tr>
      <w:tr>
        <w:trPr>
          <w:cantSplit/>
        </w:trPr>
        <w:tc>
          <w:tcPr>
            <w:tcW w:type="dxa" w:w="506"/>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2</w:t>
            </w:r>
          </w:p>
        </w:tc>
        <w:tc>
          <w:tcPr>
            <w:tcW w:type="dxa" w:w="4727"/>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Si el nombre es dinámico y largo (entidad, región, sector), va en el subtítulo, no en el título.</w:t>
            </w:r>
          </w:p>
        </w:tc>
        <w:tc>
          <w:tcPr>
            <w:tcW w:type="dxa" w:w="455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El subtítulo sí puede envolver.</w:t>
            </w:r>
          </w:p>
        </w:tc>
      </w:tr>
      <w:tr>
        <w:trPr>
          <w:cantSplit/>
        </w:trPr>
        <w:tc>
          <w:tcPr>
            <w:tcW w:type="dxa" w:w="506"/>
            <w:tcMar>
              <w:top w:w="60" w:type="dxa"/>
              <w:start w:w="100" w:type="dxa"/>
              <w:bottom w:w="60" w:type="dxa"/>
              <w:end w:w="100" w:type="dxa"/>
            </w:tcMar>
          </w:tcPr>
          <w:p>
            <w:pPr>
              <w:spacing w:after="0" w:line="276" w:lineRule="auto"/>
            </w:pPr>
            <w:r>
              <w:rPr>
                <w:rFonts w:ascii="Inter" w:hAnsi="Inter" w:cs="Inter" w:eastAsia="Inter"/>
                <w:b/>
                <w:i w:val="0"/>
                <w:color w:val="0A1A3A"/>
                <w:sz w:val="16"/>
              </w:rPr>
              <w:t>3</w:t>
            </w:r>
          </w:p>
        </w:tc>
        <w:tc>
          <w:tcPr>
            <w:tcW w:type="dxa" w:w="4727"/>
            <w:tcMar>
              <w:top w:w="60" w:type="dxa"/>
              <w:start w:w="100" w:type="dxa"/>
              <w:bottom w:w="60" w:type="dxa"/>
              <w:end w:w="100" w:type="dxa"/>
            </w:tcMar>
          </w:tcPr>
          <w:p>
            <w:pPr>
              <w:spacing w:after="0" w:line="276" w:lineRule="auto"/>
            </w:pPr>
            <w:r>
              <w:rPr>
                <w:rFonts w:ascii="Inter" w:hAnsi="Inter" w:cs="Inter" w:eastAsia="Inter"/>
                <w:b w:val="0"/>
                <w:i w:val="0"/>
                <w:color w:val="43506B"/>
                <w:sz w:val="16"/>
              </w:rPr>
              <w:t>Cuatro estados por pantalla, siempre: cargando, vacío, error, sin permiso.</w:t>
            </w:r>
          </w:p>
        </w:tc>
        <w:tc>
          <w:tcPr>
            <w:tcW w:type="dxa" w:w="4558"/>
            <w:tcMar>
              <w:top w:w="60" w:type="dxa"/>
              <w:start w:w="100" w:type="dxa"/>
              <w:bottom w:w="60" w:type="dxa"/>
              <w:end w:w="100" w:type="dxa"/>
            </w:tcMar>
          </w:tcPr>
          <w:p>
            <w:pPr>
              <w:spacing w:after="0" w:line="276" w:lineRule="auto"/>
            </w:pPr>
            <w:r>
              <w:rPr>
                <w:rFonts w:ascii="Inter" w:hAnsi="Inter" w:cs="Inter" w:eastAsia="Inter"/>
                <w:b w:val="0"/>
                <w:i w:val="0"/>
                <w:color w:val="43506B"/>
                <w:sz w:val="16"/>
              </w:rPr>
              <w:t>Una pantalla con un solo estado es una pantalla que miente cuando falla.</w:t>
            </w:r>
          </w:p>
        </w:tc>
      </w:tr>
      <w:tr>
        <w:trPr>
          <w:cantSplit/>
        </w:trPr>
        <w:tc>
          <w:tcPr>
            <w:tcW w:type="dxa" w:w="506"/>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4</w:t>
            </w:r>
          </w:p>
        </w:tc>
        <w:tc>
          <w:tcPr>
            <w:tcW w:type="dxa" w:w="4727"/>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Cifras tabulares en todo dato numérico.</w:t>
            </w:r>
          </w:p>
        </w:tc>
        <w:tc>
          <w:tcPr>
            <w:tcW w:type="dxa" w:w="455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Producto financiero.</w:t>
            </w:r>
          </w:p>
        </w:tc>
      </w:tr>
      <w:tr>
        <w:trPr>
          <w:cantSplit/>
        </w:trPr>
        <w:tc>
          <w:tcPr>
            <w:tcW w:type="dxa" w:w="506"/>
            <w:tcMar>
              <w:top w:w="60" w:type="dxa"/>
              <w:start w:w="100" w:type="dxa"/>
              <w:bottom w:w="60" w:type="dxa"/>
              <w:end w:w="100" w:type="dxa"/>
            </w:tcMar>
          </w:tcPr>
          <w:p>
            <w:pPr>
              <w:spacing w:after="0" w:line="276" w:lineRule="auto"/>
            </w:pPr>
            <w:r>
              <w:rPr>
                <w:rFonts w:ascii="Inter" w:hAnsi="Inter" w:cs="Inter" w:eastAsia="Inter"/>
                <w:b/>
                <w:i w:val="0"/>
                <w:color w:val="0A1A3A"/>
                <w:sz w:val="16"/>
              </w:rPr>
              <w:t>5</w:t>
            </w:r>
          </w:p>
        </w:tc>
        <w:tc>
          <w:tcPr>
            <w:tcW w:type="dxa" w:w="4727"/>
            <w:tcMar>
              <w:top w:w="60" w:type="dxa"/>
              <w:start w:w="100" w:type="dxa"/>
              <w:bottom w:w="60" w:type="dxa"/>
              <w:end w:w="100" w:type="dxa"/>
            </w:tcMar>
          </w:tcPr>
          <w:p>
            <w:pPr>
              <w:spacing w:after="0" w:line="276" w:lineRule="auto"/>
            </w:pPr>
            <w:r>
              <w:rPr>
                <w:rFonts w:ascii="Inter" w:hAnsi="Inter" w:cs="Inter" w:eastAsia="Inter"/>
                <w:b w:val="0"/>
                <w:i w:val="0"/>
                <w:color w:val="43506B"/>
                <w:sz w:val="16"/>
              </w:rPr>
              <w:t>Todo color por token; ningún hex suelto.</w:t>
            </w:r>
          </w:p>
        </w:tc>
        <w:tc>
          <w:tcPr>
            <w:tcW w:type="dxa" w:w="4558"/>
            <w:tcMar>
              <w:top w:w="60" w:type="dxa"/>
              <w:start w:w="100" w:type="dxa"/>
              <w:bottom w:w="60" w:type="dxa"/>
              <w:end w:w="100" w:type="dxa"/>
            </w:tcMar>
          </w:tcPr>
          <w:p>
            <w:pPr>
              <w:spacing w:after="0" w:line="276" w:lineRule="auto"/>
            </w:pPr>
            <w:r>
              <w:rPr>
                <w:rFonts w:ascii="Inter" w:hAnsi="Inter" w:cs="Inter" w:eastAsia="Inter"/>
                <w:b w:val="0"/>
                <w:i w:val="0"/>
                <w:color w:val="43506B"/>
                <w:sz w:val="16"/>
              </w:rPr>
              <w:t>Es lo que hace real el tema oscuro.</w:t>
            </w:r>
          </w:p>
        </w:tc>
      </w:tr>
      <w:tr>
        <w:trPr>
          <w:cantSplit/>
        </w:trPr>
        <w:tc>
          <w:tcPr>
            <w:tcW w:type="dxa" w:w="506"/>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6</w:t>
            </w:r>
          </w:p>
        </w:tc>
        <w:tc>
          <w:tcPr>
            <w:tcW w:type="dxa" w:w="4727"/>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Gráficos conscientes del tema.</w:t>
            </w:r>
          </w:p>
        </w:tc>
        <w:tc>
          <w:tcPr>
            <w:tcW w:type="dxa" w:w="455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Idem.</w:t>
            </w:r>
          </w:p>
        </w:tc>
      </w:tr>
      <w:tr>
        <w:trPr>
          <w:cantSplit/>
        </w:trPr>
        <w:tc>
          <w:tcPr>
            <w:tcW w:type="dxa" w:w="506"/>
            <w:tcMar>
              <w:top w:w="60" w:type="dxa"/>
              <w:start w:w="100" w:type="dxa"/>
              <w:bottom w:w="60" w:type="dxa"/>
              <w:end w:w="100" w:type="dxa"/>
            </w:tcMar>
          </w:tcPr>
          <w:p>
            <w:pPr>
              <w:spacing w:after="0" w:line="276" w:lineRule="auto"/>
            </w:pPr>
            <w:r>
              <w:rPr>
                <w:rFonts w:ascii="Inter" w:hAnsi="Inter" w:cs="Inter" w:eastAsia="Inter"/>
                <w:b/>
                <w:i w:val="0"/>
                <w:color w:val="0A1A3A"/>
                <w:sz w:val="16"/>
              </w:rPr>
              <w:t>7</w:t>
            </w:r>
          </w:p>
        </w:tc>
        <w:tc>
          <w:tcPr>
            <w:tcW w:type="dxa" w:w="4727"/>
            <w:tcMar>
              <w:top w:w="60" w:type="dxa"/>
              <w:start w:w="100" w:type="dxa"/>
              <w:bottom w:w="60" w:type="dxa"/>
              <w:end w:w="100" w:type="dxa"/>
            </w:tcMar>
          </w:tcPr>
          <w:p>
            <w:pPr>
              <w:spacing w:after="0" w:line="276" w:lineRule="auto"/>
            </w:pPr>
            <w:r>
              <w:rPr>
                <w:rFonts w:ascii="Inter" w:hAnsi="Inter" w:cs="Inter" w:eastAsia="Inter"/>
                <w:b w:val="0"/>
                <w:i w:val="0"/>
                <w:color w:val="43506B"/>
                <w:sz w:val="16"/>
              </w:rPr>
              <w:t>Áreas táctiles de 44 px o más en móvil.</w:t>
            </w:r>
          </w:p>
        </w:tc>
        <w:tc>
          <w:tcPr>
            <w:tcW w:type="dxa" w:w="4558"/>
            <w:tcMar>
              <w:top w:w="60" w:type="dxa"/>
              <w:start w:w="100" w:type="dxa"/>
              <w:bottom w:w="60" w:type="dxa"/>
              <w:end w:w="100" w:type="dxa"/>
            </w:tcMar>
          </w:tcPr>
          <w:p>
            <w:pPr>
              <w:spacing w:after="0" w:line="276" w:lineRule="auto"/>
            </w:pPr>
            <w:r>
              <w:rPr>
                <w:rFonts w:ascii="Inter" w:hAnsi="Inter" w:cs="Inter" w:eastAsia="Inter"/>
                <w:b w:val="0"/>
                <w:i w:val="0"/>
                <w:color w:val="43506B"/>
                <w:sz w:val="16"/>
              </w:rPr>
              <w:t>Accesibilidad.</w:t>
            </w:r>
          </w:p>
        </w:tc>
      </w:tr>
      <w:tr>
        <w:trPr>
          <w:cantSplit/>
        </w:trPr>
        <w:tc>
          <w:tcPr>
            <w:tcW w:type="dxa" w:w="506"/>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8</w:t>
            </w:r>
          </w:p>
        </w:tc>
        <w:tc>
          <w:tcPr>
            <w:tcW w:type="dxa" w:w="4727"/>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Tema, ruta, período y ámbito persistidos.</w:t>
            </w:r>
          </w:p>
        </w:tc>
        <w:tc>
          <w:tcPr>
            <w:tcW w:type="dxa" w:w="455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Continuidad de sesión.</w:t>
            </w:r>
          </w:p>
        </w:tc>
      </w:tr>
      <w:tr>
        <w:trPr>
          <w:cantSplit/>
        </w:trPr>
        <w:tc>
          <w:tcPr>
            <w:tcW w:type="dxa" w:w="506"/>
            <w:tcMar>
              <w:top w:w="60" w:type="dxa"/>
              <w:start w:w="100" w:type="dxa"/>
              <w:bottom w:w="60" w:type="dxa"/>
              <w:end w:w="100" w:type="dxa"/>
            </w:tcMar>
          </w:tcPr>
          <w:p>
            <w:pPr>
              <w:spacing w:after="0" w:line="276" w:lineRule="auto"/>
            </w:pPr>
            <w:r>
              <w:rPr>
                <w:rFonts w:ascii="Inter" w:hAnsi="Inter" w:cs="Inter" w:eastAsia="Inter"/>
                <w:b/>
                <w:i w:val="0"/>
                <w:color w:val="0A1A3A"/>
                <w:sz w:val="16"/>
              </w:rPr>
              <w:t>9</w:t>
            </w:r>
          </w:p>
        </w:tc>
        <w:tc>
          <w:tcPr>
            <w:tcW w:type="dxa" w:w="4727"/>
            <w:tcMar>
              <w:top w:w="60" w:type="dxa"/>
              <w:start w:w="100" w:type="dxa"/>
              <w:bottom w:w="60" w:type="dxa"/>
              <w:end w:w="100" w:type="dxa"/>
            </w:tcMar>
          </w:tcPr>
          <w:p>
            <w:pPr>
              <w:spacing w:after="0" w:line="276" w:lineRule="auto"/>
            </w:pPr>
            <w:r>
              <w:rPr>
                <w:rFonts w:ascii="Inter" w:hAnsi="Inter" w:cs="Inter" w:eastAsia="Inter"/>
                <w:b w:val="0"/>
                <w:i w:val="0"/>
                <w:color w:val="43506B"/>
                <w:sz w:val="16"/>
              </w:rPr>
              <w:t>Interfaz en español; identificadores en inglés; narrativa en ES/EN/FR.</w:t>
            </w:r>
          </w:p>
        </w:tc>
        <w:tc>
          <w:tcPr>
            <w:tcW w:type="dxa" w:w="4558"/>
            <w:tcMar>
              <w:top w:w="60" w:type="dxa"/>
              <w:start w:w="100" w:type="dxa"/>
              <w:bottom w:w="60" w:type="dxa"/>
              <w:end w:w="100" w:type="dxa"/>
            </w:tcMar>
          </w:tcPr>
          <w:p>
            <w:pPr>
              <w:spacing w:after="0" w:line="276" w:lineRule="auto"/>
            </w:pPr>
            <w:r>
              <w:rPr>
                <w:rFonts w:ascii="Inter" w:hAnsi="Inter" w:cs="Inter" w:eastAsia="Inter"/>
                <w:b w:val="0"/>
                <w:i w:val="0"/>
                <w:color w:val="43506B"/>
                <w:sz w:val="16"/>
              </w:rPr>
              <w:t>Convención del repositorio.</w:t>
            </w:r>
          </w:p>
        </w:tc>
      </w:tr>
      <w:tr>
        <w:trPr>
          <w:cantSplit/>
        </w:trPr>
        <w:tc>
          <w:tcPr>
            <w:tcW w:type="dxa" w:w="506"/>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10</w:t>
            </w:r>
          </w:p>
        </w:tc>
        <w:tc>
          <w:tcPr>
            <w:tcW w:type="dxa" w:w="4727"/>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Sin emoji. Sin degradados decorativos. Sin tarjetas con borde de acento a la izquierda.</w:t>
            </w:r>
          </w:p>
        </w:tc>
        <w:tc>
          <w:tcPr>
            <w:tcW w:type="dxa" w:w="455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Mínimo viable de cromo.</w:t>
            </w:r>
          </w:p>
        </w:tc>
      </w:tr>
    </w:tbl>
    <w:p>
      <w:pPr>
        <w:spacing w:after="120" w:before="0"/>
      </w:pPr>
    </w:p>
    <w:p>
      <w:pPr>
        <w:keepNext/>
        <w:spacing w:before="260" w:after="60"/>
      </w:pPr>
      <w:r>
        <w:rPr>
          <w:rFonts w:ascii="Plus Jakarta Sans" w:hAnsi="Plus Jakarta Sans" w:cs="Plus Jakarta Sans" w:eastAsia="Plus Jakarta Sans"/>
          <w:b/>
          <w:i w:val="0"/>
          <w:color w:val="0A1A3A"/>
          <w:spacing w:val="-8"/>
          <w:sz w:val="25"/>
        </w:rPr>
        <w:t>2.9 Tono y voz</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Institucional, preciso, sobrio. </w:t>
      </w:r>
      <w:r>
        <w:rPr>
          <w:rFonts w:ascii="Inter" w:hAnsi="Inter" w:cs="Inter" w:eastAsia="Inter"/>
          <w:b w:val="0"/>
          <w:i w:val="0"/>
          <w:color w:val="43506B"/>
          <w:sz w:val="19"/>
        </w:rPr>
        <w:t>Sin marketing vacío ni adjetivos de relleno.</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Investigativo, no descriptivo. </w:t>
      </w:r>
      <w:r>
        <w:rPr>
          <w:rFonts w:ascii="Inter" w:hAnsi="Inter" w:cs="Inter" w:eastAsia="Inter"/>
          <w:b w:val="0"/>
          <w:i w:val="0"/>
          <w:color w:val="43506B"/>
          <w:sz w:val="19"/>
        </w:rPr>
        <w:t>El material concluye; explica el «y por tanto», no reexpone cifras.</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Cada elemento gana su lugar. </w:t>
      </w:r>
      <w:r>
        <w:rPr>
          <w:rFonts w:ascii="Inter" w:hAnsi="Inter" w:cs="Inter" w:eastAsia="Inter"/>
          <w:b w:val="0"/>
          <w:i w:val="0"/>
          <w:color w:val="43506B"/>
          <w:sz w:val="19"/>
        </w:rPr>
        <w:t>Nada de estadísticas o iconos de relleno.</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La honestidad de procedencia es visible y es el argumento, </w:t>
      </w:r>
      <w:r>
        <w:rPr>
          <w:rFonts w:ascii="Inter" w:hAnsi="Inter" w:cs="Inter" w:eastAsia="Inter"/>
          <w:b w:val="0"/>
          <w:i w:val="0"/>
          <w:color w:val="43506B"/>
          <w:sz w:val="19"/>
        </w:rPr>
        <w:t>no una disculpa al pie.</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Marco narrativo SCQA </w:t>
      </w:r>
      <w:r>
        <w:rPr>
          <w:rFonts w:ascii="Inter" w:hAnsi="Inter" w:cs="Inter" w:eastAsia="Inter"/>
          <w:b w:val="0"/>
          <w:i w:val="0"/>
          <w:color w:val="43506B"/>
          <w:sz w:val="19"/>
        </w:rPr>
        <w:t>(Situación · Complicación · Pregunta · Respuesta) para las lecturas de analista.</w:t>
      </w:r>
    </w:p>
    <w:p>
      <w:r>
        <w:br w:type="page"/>
      </w:r>
    </w:p>
    <w:p>
      <w:pPr>
        <w:spacing w:before="40" w:after="20"/>
      </w:pPr>
      <w:r>
        <w:rPr>
          <w:rFonts w:ascii="JetBrains Mono" w:hAnsi="JetBrains Mono" w:cs="JetBrains Mono" w:eastAsia="JetBrains Mono"/>
          <w:b/>
          <w:i w:val="0"/>
          <w:color w:val="1E6FFF"/>
          <w:spacing w:val="26"/>
          <w:sz w:val="15"/>
        </w:rPr>
        <w:t>§3 · PRODUCTOS</w:t>
      </w:r>
    </w:p>
    <w:p>
      <w:pPr>
        <w:keepNext/>
        <w:spacing w:before="0" w:after="60"/>
      </w:pPr>
      <w:r>
        <w:rPr>
          <w:rFonts w:ascii="Plus Jakarta Sans" w:hAnsi="Plus Jakarta Sans" w:cs="Plus Jakarta Sans" w:eastAsia="Plus Jakarta Sans"/>
          <w:b/>
          <w:i w:val="0"/>
          <w:color w:val="0A1A3A"/>
          <w:spacing w:val="-12"/>
          <w:sz w:val="38"/>
        </w:rPr>
        <w:t>El catálogo — 16 ejes</w:t>
      </w:r>
    </w:p>
    <w:p>
      <w:pPr>
        <w:pBdr>
          <w:bottom w:val="single" w:sz="10" w:space="1" w:color="1E6FFF"/>
        </w:pBdr>
        <w:spacing w:before="20" w:after="200"/>
      </w:pPr>
    </w:p>
    <w:p>
      <w:pPr>
        <w:spacing w:after="120" w:before="0"/>
      </w:pPr>
      <w:r>
        <w:rPr>
          <w:rFonts w:ascii="Inter" w:hAnsi="Inter" w:cs="Inter" w:eastAsia="Inter"/>
          <w:b w:val="0"/>
          <w:i w:val="0"/>
          <w:color w:val="43506B"/>
          <w:sz w:val="19"/>
        </w:rPr>
        <w:t>Cada eje es un producto independiente con su propia fuente autoritativa, su motor de índice y sus tres niveles comerciales. Ninguno importa de otro: se comunican por eventos. El catálogo se lee del código, no de una lista paralela.</w:t>
      </w:r>
    </w:p>
    <w:tbl>
      <w:tblPr>
        <w:tblW w:type="auto" w:w="0"/>
        <w:jc w:val="left"/>
        <w:tblBorders>
          <w:top w:val="single" w:sz="4" w:space="0" w:color="E7ECF3"/>
          <w:left w:val="single" w:sz="4" w:space="0" w:color="E7ECF3"/>
          <w:bottom w:val="single" w:sz="4" w:space="0" w:color="E7ECF3"/>
          <w:right w:val="single" w:sz="4" w:space="0" w:color="E7ECF3"/>
          <w:insideH w:val="single" w:sz="4" w:space="0" w:color="E7ECF3"/>
          <w:insideV w:val="single" w:sz="4" w:space="0" w:color="E7ECF3"/>
        </w:tblBorders>
        <w:tblLayout w:type="fixed"/>
        <w:tblLook w:firstColumn="1" w:firstRow="1" w:lastColumn="0" w:lastRow="0" w:noHBand="0" w:noVBand="1" w:val="04A0"/>
      </w:tblPr>
      <w:tblGrid>
        <w:gridCol w:w="2240"/>
        <w:gridCol w:w="2904"/>
        <w:gridCol w:w="2074"/>
        <w:gridCol w:w="2572"/>
      </w:tblGrid>
      <w:tr>
        <w:trPr>
          <w:tblHeader/>
        </w:trPr>
        <w:tc>
          <w:tcPr>
            <w:tcW w:type="dxa" w:w="2241"/>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PRODUCTO</w:t>
            </w:r>
          </w:p>
        </w:tc>
        <w:tc>
          <w:tcPr>
            <w:tcW w:type="dxa" w:w="2904"/>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ÍNDICE O LECTURA</w:t>
            </w:r>
          </w:p>
        </w:tc>
        <w:tc>
          <w:tcPr>
            <w:tcW w:type="dxa" w:w="2075"/>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SUJETO</w:t>
            </w:r>
          </w:p>
        </w:tc>
        <w:tc>
          <w:tcPr>
            <w:tcW w:type="dxa" w:w="2572"/>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FUENTE AUTORITATIVA</w:t>
            </w:r>
          </w:p>
        </w:tc>
      </w:tr>
      <w:tr>
        <w:trPr>
          <w:cantSplit/>
        </w:trPr>
        <w:tc>
          <w:tcPr>
            <w:tcW w:type="dxa" w:w="2241"/>
            <w:tcMar>
              <w:top w:w="60" w:type="dxa"/>
              <w:start w:w="100" w:type="dxa"/>
              <w:bottom w:w="60" w:type="dxa"/>
              <w:end w:w="100" w:type="dxa"/>
            </w:tcMar>
          </w:tcPr>
          <w:p>
            <w:pPr>
              <w:spacing w:after="0" w:line="276" w:lineRule="auto"/>
            </w:pPr>
            <w:r>
              <w:rPr>
                <w:rFonts w:ascii="Inter" w:hAnsi="Inter" w:cs="Inter" w:eastAsia="Inter"/>
                <w:b/>
                <w:i w:val="0"/>
                <w:color w:val="0A1A3A"/>
                <w:sz w:val="15"/>
              </w:rPr>
              <w:t>Banking Intelligence</w:t>
            </w:r>
          </w:p>
        </w:tc>
        <w:tc>
          <w:tcPr>
            <w:tcW w:type="dxa" w:w="2904"/>
            <w:tcMar>
              <w:top w:w="60" w:type="dxa"/>
              <w:start w:w="100" w:type="dxa"/>
              <w:bottom w:w="60" w:type="dxa"/>
              <w:end w:w="100" w:type="dxa"/>
            </w:tcMar>
          </w:tcPr>
          <w:p>
            <w:pPr>
              <w:spacing w:after="0" w:line="276" w:lineRule="auto"/>
            </w:pPr>
            <w:r>
              <w:rPr>
                <w:rFonts w:ascii="Inter" w:hAnsi="Inter" w:cs="Inter" w:eastAsia="Inter"/>
                <w:b w:val="0"/>
                <w:i w:val="0"/>
                <w:color w:val="43506B"/>
                <w:sz w:val="15"/>
              </w:rPr>
              <w:t>Perfil SDQ — Ejecución · Resiliencia</w:t>
            </w:r>
          </w:p>
        </w:tc>
        <w:tc>
          <w:tcPr>
            <w:tcW w:type="dxa" w:w="2075"/>
            <w:tcMar>
              <w:top w:w="60" w:type="dxa"/>
              <w:start w:w="100" w:type="dxa"/>
              <w:bottom w:w="60" w:type="dxa"/>
              <w:end w:w="100" w:type="dxa"/>
            </w:tcMar>
          </w:tcPr>
          <w:p>
            <w:pPr>
              <w:spacing w:after="0" w:line="276" w:lineRule="auto"/>
            </w:pPr>
            <w:r>
              <w:rPr>
                <w:rFonts w:ascii="Inter" w:hAnsi="Inter" w:cs="Inter" w:eastAsia="Inter"/>
                <w:b w:val="0"/>
                <w:i w:val="0"/>
                <w:color w:val="43506B"/>
                <w:sz w:val="15"/>
              </w:rPr>
              <w:t>entidad supervisada por la SIB</w:t>
            </w:r>
          </w:p>
        </w:tc>
        <w:tc>
          <w:tcPr>
            <w:tcW w:type="dxa" w:w="2572"/>
            <w:tcMar>
              <w:top w:w="60" w:type="dxa"/>
              <w:start w:w="100" w:type="dxa"/>
              <w:bottom w:w="60" w:type="dxa"/>
              <w:end w:w="100" w:type="dxa"/>
            </w:tcMar>
          </w:tcPr>
          <w:p>
            <w:pPr>
              <w:spacing w:after="0" w:line="276" w:lineRule="auto"/>
            </w:pPr>
            <w:r>
              <w:rPr>
                <w:rFonts w:ascii="Inter" w:hAnsi="Inter" w:cs="Inter" w:eastAsia="Inter"/>
                <w:b w:val="0"/>
                <w:i w:val="0"/>
                <w:color w:val="43506B"/>
                <w:sz w:val="15"/>
              </w:rPr>
              <w:t>SIB · fiduciaria · BCRD</w:t>
            </w:r>
          </w:p>
        </w:tc>
      </w:tr>
      <w:tr>
        <w:trPr>
          <w:cantSplit/>
        </w:trPr>
        <w:tc>
          <w:tcPr>
            <w:tcW w:type="dxa" w:w="2241"/>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Macro &amp; Country Risk</w:t>
            </w:r>
          </w:p>
        </w:tc>
        <w:tc>
          <w:tcPr>
            <w:tcW w:type="dxa" w:w="2904"/>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IRMP — Índice de Riesgo Macro-Político</w:t>
            </w:r>
          </w:p>
        </w:tc>
        <w:tc>
          <w:tcPr>
            <w:tcW w:type="dxa" w:w="207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país (panel LatAm + Caribe)</w:t>
            </w:r>
          </w:p>
        </w:tc>
        <w:tc>
          <w:tcPr>
            <w:tcW w:type="dxa" w:w="257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BCRD · DIGEPRES · WGI/WDI · GDELT</w:t>
            </w:r>
          </w:p>
        </w:tc>
      </w:tr>
      <w:tr>
        <w:trPr>
          <w:cantSplit/>
        </w:trPr>
        <w:tc>
          <w:tcPr>
            <w:tcW w:type="dxa" w:w="2241"/>
            <w:tcMar>
              <w:top w:w="60" w:type="dxa"/>
              <w:start w:w="100" w:type="dxa"/>
              <w:bottom w:w="60" w:type="dxa"/>
              <w:end w:w="100" w:type="dxa"/>
            </w:tcMar>
          </w:tcPr>
          <w:p>
            <w:pPr>
              <w:spacing w:after="0" w:line="276" w:lineRule="auto"/>
            </w:pPr>
            <w:r>
              <w:rPr>
                <w:rFonts w:ascii="Inter" w:hAnsi="Inter" w:cs="Inter" w:eastAsia="Inter"/>
                <w:b/>
                <w:i w:val="0"/>
                <w:color w:val="0A1A3A"/>
                <w:sz w:val="15"/>
              </w:rPr>
              <w:t>Trade &amp; Logistics</w:t>
            </w:r>
          </w:p>
        </w:tc>
        <w:tc>
          <w:tcPr>
            <w:tcW w:type="dxa" w:w="2904"/>
            <w:tcMar>
              <w:top w:w="60" w:type="dxa"/>
              <w:start w:w="100" w:type="dxa"/>
              <w:bottom w:w="60" w:type="dxa"/>
              <w:end w:w="100" w:type="dxa"/>
            </w:tcMar>
          </w:tcPr>
          <w:p>
            <w:pPr>
              <w:spacing w:after="0" w:line="276" w:lineRule="auto"/>
            </w:pPr>
            <w:r>
              <w:rPr>
                <w:rFonts w:ascii="Inter" w:hAnsi="Inter" w:cs="Inter" w:eastAsia="Inter"/>
                <w:b w:val="0"/>
                <w:i w:val="0"/>
                <w:color w:val="43506B"/>
                <w:sz w:val="15"/>
              </w:rPr>
              <w:t>Resiliencia comercial · ICE</w:t>
            </w:r>
          </w:p>
        </w:tc>
        <w:tc>
          <w:tcPr>
            <w:tcW w:type="dxa" w:w="2075"/>
            <w:tcMar>
              <w:top w:w="60" w:type="dxa"/>
              <w:start w:w="100" w:type="dxa"/>
              <w:bottom w:w="60" w:type="dxa"/>
              <w:end w:w="100" w:type="dxa"/>
            </w:tcMar>
          </w:tcPr>
          <w:p>
            <w:pPr>
              <w:spacing w:after="0" w:line="276" w:lineRule="auto"/>
            </w:pPr>
            <w:r>
              <w:rPr>
                <w:rFonts w:ascii="Inter" w:hAnsi="Inter" w:cs="Inter" w:eastAsia="Inter"/>
                <w:b w:val="0"/>
                <w:i w:val="0"/>
                <w:color w:val="43506B"/>
                <w:sz w:val="15"/>
              </w:rPr>
              <w:t>flujo de comercio exterior / país</w:t>
            </w:r>
          </w:p>
        </w:tc>
        <w:tc>
          <w:tcPr>
            <w:tcW w:type="dxa" w:w="2572"/>
            <w:tcMar>
              <w:top w:w="60" w:type="dxa"/>
              <w:start w:w="100" w:type="dxa"/>
              <w:bottom w:w="60" w:type="dxa"/>
              <w:end w:w="100" w:type="dxa"/>
            </w:tcMar>
          </w:tcPr>
          <w:p>
            <w:pPr>
              <w:spacing w:after="0" w:line="276" w:lineRule="auto"/>
            </w:pPr>
            <w:r>
              <w:rPr>
                <w:rFonts w:ascii="Inter" w:hAnsi="Inter" w:cs="Inter" w:eastAsia="Inter"/>
                <w:b w:val="0"/>
                <w:i w:val="0"/>
                <w:color w:val="43506B"/>
                <w:sz w:val="15"/>
              </w:rPr>
              <w:t>DGA · BCRD</w:t>
            </w:r>
          </w:p>
        </w:tc>
      </w:tr>
      <w:tr>
        <w:trPr>
          <w:cantSplit/>
        </w:trPr>
        <w:tc>
          <w:tcPr>
            <w:tcW w:type="dxa" w:w="2241"/>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Tourism Intelligence</w:t>
            </w:r>
          </w:p>
        </w:tc>
        <w:tc>
          <w:tcPr>
            <w:tcW w:type="dxa" w:w="2904"/>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ITT — Índice de Tracción Turística</w:t>
            </w:r>
          </w:p>
        </w:tc>
        <w:tc>
          <w:tcPr>
            <w:tcW w:type="dxa" w:w="207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país</w:t>
            </w:r>
          </w:p>
        </w:tc>
        <w:tc>
          <w:tcPr>
            <w:tcW w:type="dxa" w:w="257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BCRD turismo · ASONAHORES · MITUR</w:t>
            </w:r>
          </w:p>
        </w:tc>
      </w:tr>
      <w:tr>
        <w:trPr>
          <w:cantSplit/>
        </w:trPr>
        <w:tc>
          <w:tcPr>
            <w:tcW w:type="dxa" w:w="2241"/>
            <w:tcMar>
              <w:top w:w="60" w:type="dxa"/>
              <w:start w:w="100" w:type="dxa"/>
              <w:bottom w:w="60" w:type="dxa"/>
              <w:end w:w="100" w:type="dxa"/>
            </w:tcMar>
          </w:tcPr>
          <w:p>
            <w:pPr>
              <w:spacing w:after="0" w:line="276" w:lineRule="auto"/>
            </w:pPr>
            <w:r>
              <w:rPr>
                <w:rFonts w:ascii="Inter" w:hAnsi="Inter" w:cs="Inter" w:eastAsia="Inter"/>
                <w:b/>
                <w:i w:val="0"/>
                <w:color w:val="0A1A3A"/>
                <w:sz w:val="15"/>
              </w:rPr>
              <w:t>Free Zones &amp; Manufacturing</w:t>
            </w:r>
          </w:p>
        </w:tc>
        <w:tc>
          <w:tcPr>
            <w:tcW w:type="dxa" w:w="2904"/>
            <w:tcMar>
              <w:top w:w="60" w:type="dxa"/>
              <w:start w:w="100" w:type="dxa"/>
              <w:bottom w:w="60" w:type="dxa"/>
              <w:end w:w="100" w:type="dxa"/>
            </w:tcMar>
          </w:tcPr>
          <w:p>
            <w:pPr>
              <w:spacing w:after="0" w:line="276" w:lineRule="auto"/>
            </w:pPr>
            <w:r>
              <w:rPr>
                <w:rFonts w:ascii="Inter" w:hAnsi="Inter" w:cs="Inter" w:eastAsia="Inter"/>
                <w:b w:val="0"/>
                <w:i w:val="0"/>
                <w:color w:val="43506B"/>
                <w:sz w:val="15"/>
              </w:rPr>
              <w:t>IZF — Índice de Zonas Francas</w:t>
            </w:r>
          </w:p>
        </w:tc>
        <w:tc>
          <w:tcPr>
            <w:tcW w:type="dxa" w:w="2075"/>
            <w:tcMar>
              <w:top w:w="60" w:type="dxa"/>
              <w:start w:w="100" w:type="dxa"/>
              <w:bottom w:w="60" w:type="dxa"/>
              <w:end w:w="100" w:type="dxa"/>
            </w:tcMar>
          </w:tcPr>
          <w:p>
            <w:pPr>
              <w:spacing w:after="0" w:line="276" w:lineRule="auto"/>
            </w:pPr>
            <w:r>
              <w:rPr>
                <w:rFonts w:ascii="Inter" w:hAnsi="Inter" w:cs="Inter" w:eastAsia="Inter"/>
                <w:b w:val="0"/>
                <w:i w:val="0"/>
                <w:color w:val="43506B"/>
                <w:sz w:val="15"/>
              </w:rPr>
              <w:t>país</w:t>
            </w:r>
          </w:p>
        </w:tc>
        <w:tc>
          <w:tcPr>
            <w:tcW w:type="dxa" w:w="2572"/>
            <w:tcMar>
              <w:top w:w="60" w:type="dxa"/>
              <w:start w:w="100" w:type="dxa"/>
              <w:bottom w:w="60" w:type="dxa"/>
              <w:end w:w="100" w:type="dxa"/>
            </w:tcMar>
          </w:tcPr>
          <w:p>
            <w:pPr>
              <w:spacing w:after="0" w:line="276" w:lineRule="auto"/>
            </w:pPr>
            <w:r>
              <w:rPr>
                <w:rFonts w:ascii="Inter" w:hAnsi="Inter" w:cs="Inter" w:eastAsia="Inter"/>
                <w:b w:val="0"/>
                <w:i w:val="0"/>
                <w:color w:val="43506B"/>
                <w:sz w:val="15"/>
              </w:rPr>
              <w:t>CNZFE · ONE · datos.gob.do</w:t>
            </w:r>
          </w:p>
        </w:tc>
      </w:tr>
      <w:tr>
        <w:trPr>
          <w:cantSplit/>
        </w:trPr>
        <w:tc>
          <w:tcPr>
            <w:tcW w:type="dxa" w:w="2241"/>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Energy Intelligence</w:t>
            </w:r>
          </w:p>
        </w:tc>
        <w:tc>
          <w:tcPr>
            <w:tcW w:type="dxa" w:w="2904"/>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IRSE — Índice de Resiliencia del Sistema Eléctrico</w:t>
            </w:r>
          </w:p>
        </w:tc>
        <w:tc>
          <w:tcPr>
            <w:tcW w:type="dxa" w:w="207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país</w:t>
            </w:r>
          </w:p>
        </w:tc>
        <w:tc>
          <w:tcPr>
            <w:tcW w:type="dxa" w:w="257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SIE · CNE · Organismo Coordinador</w:t>
            </w:r>
          </w:p>
        </w:tc>
      </w:tr>
      <w:tr>
        <w:trPr>
          <w:cantSplit/>
        </w:trPr>
        <w:tc>
          <w:tcPr>
            <w:tcW w:type="dxa" w:w="2241"/>
            <w:tcMar>
              <w:top w:w="60" w:type="dxa"/>
              <w:start w:w="100" w:type="dxa"/>
              <w:bottom w:w="60" w:type="dxa"/>
              <w:end w:w="100" w:type="dxa"/>
            </w:tcMar>
          </w:tcPr>
          <w:p>
            <w:pPr>
              <w:spacing w:after="0" w:line="276" w:lineRule="auto"/>
            </w:pPr>
            <w:r>
              <w:rPr>
                <w:rFonts w:ascii="Inter" w:hAnsi="Inter" w:cs="Inter" w:eastAsia="Inter"/>
                <w:b/>
                <w:i w:val="0"/>
                <w:color w:val="0A1A3A"/>
                <w:sz w:val="15"/>
              </w:rPr>
              <w:t>Telecom Intelligence</w:t>
            </w:r>
          </w:p>
        </w:tc>
        <w:tc>
          <w:tcPr>
            <w:tcW w:type="dxa" w:w="2904"/>
            <w:tcMar>
              <w:top w:w="60" w:type="dxa"/>
              <w:start w:w="100" w:type="dxa"/>
              <w:bottom w:w="60" w:type="dxa"/>
              <w:end w:w="100" w:type="dxa"/>
            </w:tcMar>
          </w:tcPr>
          <w:p>
            <w:pPr>
              <w:spacing w:after="0" w:line="276" w:lineRule="auto"/>
            </w:pPr>
            <w:r>
              <w:rPr>
                <w:rFonts w:ascii="Inter" w:hAnsi="Inter" w:cs="Inter" w:eastAsia="Inter"/>
                <w:b w:val="0"/>
                <w:i w:val="0"/>
                <w:color w:val="43506B"/>
                <w:sz w:val="15"/>
              </w:rPr>
              <w:t>IDT — Índice de Desarrollo de Telecom</w:t>
            </w:r>
          </w:p>
        </w:tc>
        <w:tc>
          <w:tcPr>
            <w:tcW w:type="dxa" w:w="2075"/>
            <w:tcMar>
              <w:top w:w="60" w:type="dxa"/>
              <w:start w:w="100" w:type="dxa"/>
              <w:bottom w:w="60" w:type="dxa"/>
              <w:end w:w="100" w:type="dxa"/>
            </w:tcMar>
          </w:tcPr>
          <w:p>
            <w:pPr>
              <w:spacing w:after="0" w:line="276" w:lineRule="auto"/>
            </w:pPr>
            <w:r>
              <w:rPr>
                <w:rFonts w:ascii="Inter" w:hAnsi="Inter" w:cs="Inter" w:eastAsia="Inter"/>
                <w:b w:val="0"/>
                <w:i w:val="0"/>
                <w:color w:val="43506B"/>
                <w:sz w:val="15"/>
              </w:rPr>
              <w:t>país</w:t>
            </w:r>
          </w:p>
        </w:tc>
        <w:tc>
          <w:tcPr>
            <w:tcW w:type="dxa" w:w="2572"/>
            <w:tcMar>
              <w:top w:w="60" w:type="dxa"/>
              <w:start w:w="100" w:type="dxa"/>
              <w:bottom w:w="60" w:type="dxa"/>
              <w:end w:w="100" w:type="dxa"/>
            </w:tcMar>
          </w:tcPr>
          <w:p>
            <w:pPr>
              <w:spacing w:after="0" w:line="276" w:lineRule="auto"/>
            </w:pPr>
            <w:r>
              <w:rPr>
                <w:rFonts w:ascii="Inter" w:hAnsi="Inter" w:cs="Inter" w:eastAsia="Inter"/>
                <w:b w:val="0"/>
                <w:i w:val="0"/>
                <w:color w:val="43506B"/>
                <w:sz w:val="15"/>
              </w:rPr>
              <w:t>INDOTEL</w:t>
            </w:r>
          </w:p>
        </w:tc>
      </w:tr>
      <w:tr>
        <w:trPr>
          <w:cantSplit/>
        </w:trPr>
        <w:tc>
          <w:tcPr>
            <w:tcW w:type="dxa" w:w="2241"/>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Construction Intelligence</w:t>
            </w:r>
          </w:p>
        </w:tc>
        <w:tc>
          <w:tcPr>
            <w:tcW w:type="dxa" w:w="2904"/>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ICC — Índice de Coyuntura de la Construcción</w:t>
            </w:r>
          </w:p>
        </w:tc>
        <w:tc>
          <w:tcPr>
            <w:tcW w:type="dxa" w:w="207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país</w:t>
            </w:r>
          </w:p>
        </w:tc>
        <w:tc>
          <w:tcPr>
            <w:tcW w:type="dxa" w:w="257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MIVHED · BCRD</w:t>
            </w:r>
          </w:p>
        </w:tc>
      </w:tr>
      <w:tr>
        <w:trPr>
          <w:cantSplit/>
        </w:trPr>
        <w:tc>
          <w:tcPr>
            <w:tcW w:type="dxa" w:w="2241"/>
            <w:tcMar>
              <w:top w:w="60" w:type="dxa"/>
              <w:start w:w="100" w:type="dxa"/>
              <w:bottom w:w="60" w:type="dxa"/>
              <w:end w:w="100" w:type="dxa"/>
            </w:tcMar>
          </w:tcPr>
          <w:p>
            <w:pPr>
              <w:spacing w:after="0" w:line="276" w:lineRule="auto"/>
            </w:pPr>
            <w:r>
              <w:rPr>
                <w:rFonts w:ascii="Inter" w:hAnsi="Inter" w:cs="Inter" w:eastAsia="Inter"/>
                <w:b/>
                <w:i w:val="0"/>
                <w:color w:val="0A1A3A"/>
                <w:sz w:val="15"/>
              </w:rPr>
              <w:t>Agribusiness</w:t>
            </w:r>
          </w:p>
        </w:tc>
        <w:tc>
          <w:tcPr>
            <w:tcW w:type="dxa" w:w="2904"/>
            <w:tcMar>
              <w:top w:w="60" w:type="dxa"/>
              <w:start w:w="100" w:type="dxa"/>
              <w:bottom w:w="60" w:type="dxa"/>
              <w:end w:w="100" w:type="dxa"/>
            </w:tcMar>
          </w:tcPr>
          <w:p>
            <w:pPr>
              <w:spacing w:after="0" w:line="276" w:lineRule="auto"/>
            </w:pPr>
            <w:r>
              <w:rPr>
                <w:rFonts w:ascii="Inter" w:hAnsi="Inter" w:cs="Inter" w:eastAsia="Inter"/>
                <w:b w:val="0"/>
                <w:i w:val="0"/>
                <w:color w:val="43506B"/>
                <w:sz w:val="15"/>
              </w:rPr>
              <w:t>IAI · SGPS — atractivo y momentum sectorial</w:t>
            </w:r>
          </w:p>
        </w:tc>
        <w:tc>
          <w:tcPr>
            <w:tcW w:type="dxa" w:w="2075"/>
            <w:tcMar>
              <w:top w:w="60" w:type="dxa"/>
              <w:start w:w="100" w:type="dxa"/>
              <w:bottom w:w="60" w:type="dxa"/>
              <w:end w:w="100" w:type="dxa"/>
            </w:tcMar>
          </w:tcPr>
          <w:p>
            <w:pPr>
              <w:spacing w:after="0" w:line="276" w:lineRule="auto"/>
            </w:pPr>
            <w:r>
              <w:rPr>
                <w:rFonts w:ascii="Inter" w:hAnsi="Inter" w:cs="Inter" w:eastAsia="Inter"/>
                <w:b w:val="0"/>
                <w:i w:val="0"/>
                <w:color w:val="43506B"/>
                <w:sz w:val="15"/>
              </w:rPr>
              <w:t>rama económica</w:t>
            </w:r>
          </w:p>
        </w:tc>
        <w:tc>
          <w:tcPr>
            <w:tcW w:type="dxa" w:w="2572"/>
            <w:tcMar>
              <w:top w:w="60" w:type="dxa"/>
              <w:start w:w="100" w:type="dxa"/>
              <w:bottom w:w="60" w:type="dxa"/>
              <w:end w:w="100" w:type="dxa"/>
            </w:tcMar>
          </w:tcPr>
          <w:p>
            <w:pPr>
              <w:spacing w:after="0" w:line="276" w:lineRule="auto"/>
            </w:pPr>
            <w:r>
              <w:rPr>
                <w:rFonts w:ascii="Inter" w:hAnsi="Inter" w:cs="Inter" w:eastAsia="Inter"/>
                <w:b w:val="0"/>
                <w:i w:val="0"/>
                <w:color w:val="43506B"/>
                <w:sz w:val="15"/>
              </w:rPr>
              <w:t>Min. Agricultura · BAGRÍCOLA · ONE</w:t>
            </w:r>
          </w:p>
        </w:tc>
      </w:tr>
      <w:tr>
        <w:trPr>
          <w:cantSplit/>
        </w:trPr>
        <w:tc>
          <w:tcPr>
            <w:tcW w:type="dxa" w:w="2241"/>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ESG &amp; Climate</w:t>
            </w:r>
          </w:p>
        </w:tc>
        <w:tc>
          <w:tcPr>
            <w:tcW w:type="dxa" w:w="2904"/>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IRC — Índice de Resiliencia Climática</w:t>
            </w:r>
          </w:p>
        </w:tc>
        <w:tc>
          <w:tcPr>
            <w:tcW w:type="dxa" w:w="207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país</w:t>
            </w:r>
          </w:p>
        </w:tc>
        <w:tc>
          <w:tcPr>
            <w:tcW w:type="dxa" w:w="257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ONE · Medio Ambiente · IPCC · SIE</w:t>
            </w:r>
          </w:p>
        </w:tc>
      </w:tr>
      <w:tr>
        <w:trPr>
          <w:cantSplit/>
        </w:trPr>
        <w:tc>
          <w:tcPr>
            <w:tcW w:type="dxa" w:w="2241"/>
            <w:tcMar>
              <w:top w:w="60" w:type="dxa"/>
              <w:start w:w="100" w:type="dxa"/>
              <w:bottom w:w="60" w:type="dxa"/>
              <w:end w:w="100" w:type="dxa"/>
            </w:tcMar>
          </w:tcPr>
          <w:p>
            <w:pPr>
              <w:spacing w:after="0" w:line="276" w:lineRule="auto"/>
            </w:pPr>
            <w:r>
              <w:rPr>
                <w:rFonts w:ascii="Inter" w:hAnsi="Inter" w:cs="Inter" w:eastAsia="Inter"/>
                <w:b/>
                <w:i w:val="0"/>
                <w:color w:val="0A1A3A"/>
                <w:sz w:val="15"/>
              </w:rPr>
              <w:t>Pensiones (SIPEN)</w:t>
            </w:r>
          </w:p>
        </w:tc>
        <w:tc>
          <w:tcPr>
            <w:tcW w:type="dxa" w:w="2904"/>
            <w:tcMar>
              <w:top w:w="60" w:type="dxa"/>
              <w:start w:w="100" w:type="dxa"/>
              <w:bottom w:w="60" w:type="dxa"/>
              <w:end w:w="100" w:type="dxa"/>
            </w:tcMar>
          </w:tcPr>
          <w:p>
            <w:pPr>
              <w:spacing w:after="0" w:line="276" w:lineRule="auto"/>
            </w:pPr>
            <w:r>
              <w:rPr>
                <w:rFonts w:ascii="Inter" w:hAnsi="Inter" w:cs="Inter" w:eastAsia="Inter"/>
                <w:b w:val="0"/>
                <w:i w:val="0"/>
                <w:color w:val="43506B"/>
                <w:sz w:val="15"/>
              </w:rPr>
              <w:t>ISA — Índice de Solidez de la AFP</w:t>
            </w:r>
          </w:p>
        </w:tc>
        <w:tc>
          <w:tcPr>
            <w:tcW w:type="dxa" w:w="2075"/>
            <w:tcMar>
              <w:top w:w="60" w:type="dxa"/>
              <w:start w:w="100" w:type="dxa"/>
              <w:bottom w:w="60" w:type="dxa"/>
              <w:end w:w="100" w:type="dxa"/>
            </w:tcMar>
          </w:tcPr>
          <w:p>
            <w:pPr>
              <w:spacing w:after="0" w:line="276" w:lineRule="auto"/>
            </w:pPr>
            <w:r>
              <w:rPr>
                <w:rFonts w:ascii="Inter" w:hAnsi="Inter" w:cs="Inter" w:eastAsia="Inter"/>
                <w:b w:val="0"/>
                <w:i w:val="0"/>
                <w:color w:val="43506B"/>
                <w:sz w:val="15"/>
              </w:rPr>
              <w:t>AFP</w:t>
            </w:r>
          </w:p>
        </w:tc>
        <w:tc>
          <w:tcPr>
            <w:tcW w:type="dxa" w:w="2572"/>
            <w:tcMar>
              <w:top w:w="60" w:type="dxa"/>
              <w:start w:w="100" w:type="dxa"/>
              <w:bottom w:w="60" w:type="dxa"/>
              <w:end w:w="100" w:type="dxa"/>
            </w:tcMar>
          </w:tcPr>
          <w:p>
            <w:pPr>
              <w:spacing w:after="0" w:line="276" w:lineRule="auto"/>
            </w:pPr>
            <w:r>
              <w:rPr>
                <w:rFonts w:ascii="Inter" w:hAnsi="Inter" w:cs="Inter" w:eastAsia="Inter"/>
                <w:b w:val="0"/>
                <w:i w:val="0"/>
                <w:color w:val="43506B"/>
                <w:sz w:val="15"/>
              </w:rPr>
              <w:t>SIPEN · ADAFP</w:t>
            </w:r>
          </w:p>
        </w:tc>
      </w:tr>
      <w:tr>
        <w:trPr>
          <w:cantSplit/>
        </w:trPr>
        <w:tc>
          <w:tcPr>
            <w:tcW w:type="dxa" w:w="2241"/>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Seguros (SIS)</w:t>
            </w:r>
          </w:p>
        </w:tc>
        <w:tc>
          <w:tcPr>
            <w:tcW w:type="dxa" w:w="2904"/>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ISF — Índice de Solidez Financiera</w:t>
            </w:r>
          </w:p>
        </w:tc>
        <w:tc>
          <w:tcPr>
            <w:tcW w:type="dxa" w:w="207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aseguradora</w:t>
            </w:r>
          </w:p>
        </w:tc>
        <w:tc>
          <w:tcPr>
            <w:tcW w:type="dxa" w:w="257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SIS · SISALRIL · datos.gob.do</w:t>
            </w:r>
          </w:p>
        </w:tc>
      </w:tr>
      <w:tr>
        <w:trPr>
          <w:cantSplit/>
        </w:trPr>
        <w:tc>
          <w:tcPr>
            <w:tcW w:type="dxa" w:w="2241"/>
            <w:tcMar>
              <w:top w:w="60" w:type="dxa"/>
              <w:start w:w="100" w:type="dxa"/>
              <w:bottom w:w="60" w:type="dxa"/>
              <w:end w:w="100" w:type="dxa"/>
            </w:tcMar>
          </w:tcPr>
          <w:p>
            <w:pPr>
              <w:spacing w:after="0" w:line="276" w:lineRule="auto"/>
            </w:pPr>
            <w:r>
              <w:rPr>
                <w:rFonts w:ascii="Inter" w:hAnsi="Inter" w:cs="Inter" w:eastAsia="Inter"/>
                <w:b/>
                <w:i w:val="0"/>
                <w:color w:val="0A1A3A"/>
                <w:sz w:val="15"/>
              </w:rPr>
              <w:t>Política Monetaria</w:t>
            </w:r>
          </w:p>
        </w:tc>
        <w:tc>
          <w:tcPr>
            <w:tcW w:type="dxa" w:w="2904"/>
            <w:tcMar>
              <w:top w:w="60" w:type="dxa"/>
              <w:start w:w="100" w:type="dxa"/>
              <w:bottom w:w="60" w:type="dxa"/>
              <w:end w:w="100" w:type="dxa"/>
            </w:tcMar>
          </w:tcPr>
          <w:p>
            <w:pPr>
              <w:spacing w:after="0" w:line="276" w:lineRule="auto"/>
            </w:pPr>
            <w:r>
              <w:rPr>
                <w:rFonts w:ascii="Inter" w:hAnsi="Inter" w:cs="Inter" w:eastAsia="Inter"/>
                <w:b w:val="0"/>
                <w:i w:val="0"/>
                <w:color w:val="43506B"/>
                <w:sz w:val="15"/>
              </w:rPr>
              <w:t>Pronóstico de TPM (hold/cut/hike)</w:t>
            </w:r>
          </w:p>
        </w:tc>
        <w:tc>
          <w:tcPr>
            <w:tcW w:type="dxa" w:w="2075"/>
            <w:tcMar>
              <w:top w:w="60" w:type="dxa"/>
              <w:start w:w="100" w:type="dxa"/>
              <w:bottom w:w="60" w:type="dxa"/>
              <w:end w:w="100" w:type="dxa"/>
            </w:tcMar>
          </w:tcPr>
          <w:p>
            <w:pPr>
              <w:spacing w:after="0" w:line="276" w:lineRule="auto"/>
            </w:pPr>
            <w:r>
              <w:rPr>
                <w:rFonts w:ascii="Inter" w:hAnsi="Inter" w:cs="Inter" w:eastAsia="Inter"/>
                <w:b w:val="0"/>
                <w:i w:val="0"/>
                <w:color w:val="43506B"/>
                <w:sz w:val="15"/>
              </w:rPr>
              <w:t>postura del BCRD</w:t>
            </w:r>
          </w:p>
        </w:tc>
        <w:tc>
          <w:tcPr>
            <w:tcW w:type="dxa" w:w="2572"/>
            <w:tcMar>
              <w:top w:w="60" w:type="dxa"/>
              <w:start w:w="100" w:type="dxa"/>
              <w:bottom w:w="60" w:type="dxa"/>
              <w:end w:w="100" w:type="dxa"/>
            </w:tcMar>
          </w:tcPr>
          <w:p>
            <w:pPr>
              <w:spacing w:after="0" w:line="276" w:lineRule="auto"/>
            </w:pPr>
            <w:r>
              <w:rPr>
                <w:rFonts w:ascii="Inter" w:hAnsi="Inter" w:cs="Inter" w:eastAsia="Inter"/>
                <w:b w:val="0"/>
                <w:i w:val="0"/>
                <w:color w:val="43506B"/>
                <w:sz w:val="15"/>
              </w:rPr>
              <w:t>BCRD — Comunicados de Política Monetaria · series macro</w:t>
            </w:r>
          </w:p>
        </w:tc>
      </w:tr>
      <w:tr>
        <w:trPr>
          <w:cantSplit/>
        </w:trPr>
        <w:tc>
          <w:tcPr>
            <w:tcW w:type="dxa" w:w="2241"/>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Sectoral Structure · Estructura de la Economía</w:t>
            </w:r>
          </w:p>
        </w:tc>
        <w:tc>
          <w:tcPr>
            <w:tcW w:type="dxa" w:w="2904"/>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Estructura del PIB por sectores de origen</w:t>
            </w:r>
          </w:p>
        </w:tc>
        <w:tc>
          <w:tcPr>
            <w:tcW w:type="dxa" w:w="207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sector económico</w:t>
            </w:r>
          </w:p>
        </w:tc>
        <w:tc>
          <w:tcPr>
            <w:tcW w:type="dxa" w:w="257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BCRD · PIB por sectores de origen (Valor Agregado)</w:t>
            </w:r>
          </w:p>
        </w:tc>
      </w:tr>
      <w:tr>
        <w:trPr>
          <w:cantSplit/>
        </w:trPr>
        <w:tc>
          <w:tcPr>
            <w:tcW w:type="dxa" w:w="2241"/>
            <w:tcMar>
              <w:top w:w="60" w:type="dxa"/>
              <w:start w:w="100" w:type="dxa"/>
              <w:bottom w:w="60" w:type="dxa"/>
              <w:end w:w="100" w:type="dxa"/>
            </w:tcMar>
          </w:tcPr>
          <w:p>
            <w:pPr>
              <w:spacing w:after="0" w:line="276" w:lineRule="auto"/>
            </w:pPr>
            <w:r>
              <w:rPr>
                <w:rFonts w:ascii="Inter" w:hAnsi="Inter" w:cs="Inter" w:eastAsia="Inter"/>
                <w:b/>
                <w:i w:val="0"/>
                <w:color w:val="0A1A3A"/>
                <w:sz w:val="15"/>
              </w:rPr>
              <w:t>Desarrollo Social</w:t>
            </w:r>
          </w:p>
        </w:tc>
        <w:tc>
          <w:tcPr>
            <w:tcW w:type="dxa" w:w="2904"/>
            <w:tcMar>
              <w:top w:w="60" w:type="dxa"/>
              <w:start w:w="100" w:type="dxa"/>
              <w:bottom w:w="60" w:type="dxa"/>
              <w:end w:w="100" w:type="dxa"/>
            </w:tcMar>
          </w:tcPr>
          <w:p>
            <w:pPr>
              <w:spacing w:after="0" w:line="276" w:lineRule="auto"/>
            </w:pPr>
            <w:r>
              <w:rPr>
                <w:rFonts w:ascii="Inter" w:hAnsi="Inter" w:cs="Inter" w:eastAsia="Inter"/>
                <w:b w:val="0"/>
                <w:i w:val="0"/>
                <w:color w:val="43506B"/>
                <w:sz w:val="15"/>
              </w:rPr>
              <w:t>IDM — Índice de Desarrollo Multidimensional</w:t>
            </w:r>
          </w:p>
        </w:tc>
        <w:tc>
          <w:tcPr>
            <w:tcW w:type="dxa" w:w="2075"/>
            <w:tcMar>
              <w:top w:w="60" w:type="dxa"/>
              <w:start w:w="100" w:type="dxa"/>
              <w:bottom w:w="60" w:type="dxa"/>
              <w:end w:w="100" w:type="dxa"/>
            </w:tcMar>
          </w:tcPr>
          <w:p>
            <w:pPr>
              <w:spacing w:after="0" w:line="276" w:lineRule="auto"/>
            </w:pPr>
            <w:r>
              <w:rPr>
                <w:rFonts w:ascii="Inter" w:hAnsi="Inter" w:cs="Inter" w:eastAsia="Inter"/>
                <w:b w:val="0"/>
                <w:i w:val="0"/>
                <w:color w:val="43506B"/>
                <w:sz w:val="15"/>
              </w:rPr>
              <w:t>región de desarrollo / provincia</w:t>
            </w:r>
          </w:p>
        </w:tc>
        <w:tc>
          <w:tcPr>
            <w:tcW w:type="dxa" w:w="2572"/>
            <w:tcMar>
              <w:top w:w="60" w:type="dxa"/>
              <w:start w:w="100" w:type="dxa"/>
              <w:bottom w:w="60" w:type="dxa"/>
              <w:end w:w="100" w:type="dxa"/>
            </w:tcMar>
          </w:tcPr>
          <w:p>
            <w:pPr>
              <w:spacing w:after="0" w:line="276" w:lineRule="auto"/>
            </w:pPr>
            <w:r>
              <w:rPr>
                <w:rFonts w:ascii="Inter" w:hAnsi="Inter" w:cs="Inter" w:eastAsia="Inter"/>
                <w:b w:val="0"/>
                <w:i w:val="0"/>
                <w:color w:val="43506B"/>
                <w:sz w:val="15"/>
              </w:rPr>
              <w:t>MEPyD (SISDOM) · MINERD (SIIE) · SIUBEN · ONE · BCRD · Banco Mundial</w:t>
            </w:r>
          </w:p>
        </w:tc>
      </w:tr>
      <w:tr>
        <w:trPr>
          <w:cantSplit/>
        </w:trPr>
        <w:tc>
          <w:tcPr>
            <w:tcW w:type="dxa" w:w="2241"/>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Evaluación de Leyes</w:t>
            </w:r>
          </w:p>
        </w:tc>
        <w:tc>
          <w:tcPr>
            <w:tcW w:type="dxa" w:w="2904"/>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Cobertura y cumplimiento de metas del instrumento</w:t>
            </w:r>
          </w:p>
        </w:tc>
        <w:tc>
          <w:tcPr>
            <w:tcW w:type="dxa" w:w="207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instrumento normativo</w:t>
            </w:r>
          </w:p>
        </w:tc>
        <w:tc>
          <w:tcPr>
            <w:tcW w:type="dxa" w:w="257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Articulado de la norma · fuentes oficiales del propio Estado evaluado</w:t>
            </w:r>
          </w:p>
        </w:tc>
      </w:tr>
    </w:tbl>
    <w:p>
      <w:pPr>
        <w:spacing w:after="120" w:before="0"/>
      </w:pPr>
    </w:p>
    <w:tbl>
      <w:tblPr>
        <w:tblW w:type="auto" w:w="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72"/>
        <w:gridCol w:w="9720"/>
      </w:tblGrid>
      <w:tr>
        <w:trPr>
          <w:cantSplit/>
        </w:trPr>
        <w:tc>
          <w:tcPr>
            <w:tcW w:type="dxa" w:w="72"/>
            <w:shd w:val="clear" w:color="auto" w:fill="0F7E7E"/>
            <w:tcMar>
              <w:top w:w="0" w:type="dxa"/>
              <w:start w:w="0" w:type="dxa"/>
              <w:bottom w:w="0" w:type="dxa"/>
              <w:end w:w="0" w:type="dxa"/>
            </w:tcMar>
          </w:tcPr>
          <w:p>
            <w:pPr>
              <w:spacing w:after="0"/>
            </w:pPr>
          </w:p>
        </w:tc>
        <w:tc>
          <w:tcPr>
            <w:tcW w:type="dxa" w:w="9720"/>
            <w:shd w:val="clear" w:color="auto" w:fill="E3F2F2"/>
            <w:tcMar>
              <w:top w:w="120" w:type="dxa"/>
              <w:start w:w="160" w:type="dxa"/>
              <w:bottom w:w="120" w:type="dxa"/>
              <w:end w:w="160" w:type="dxa"/>
            </w:tcMar>
          </w:tcPr>
          <w:p>
            <w:pPr>
              <w:spacing w:after="40"/>
            </w:pPr>
            <w:r>
              <w:rPr>
                <w:rFonts w:ascii="JetBrains Mono" w:hAnsi="JetBrains Mono" w:cs="JetBrains Mono" w:eastAsia="JetBrains Mono"/>
                <w:b/>
                <w:i w:val="0"/>
                <w:color w:val="0F7E7E"/>
                <w:spacing w:val="24"/>
                <w:sz w:val="15"/>
              </w:rPr>
              <w:t>CÓMO DIMENSIONAR EL CATÁLOGO EN LA PRESENTACIÓN</w:t>
            </w:r>
          </w:p>
          <w:p>
            <w:pPr>
              <w:spacing w:after="0"/>
            </w:pPr>
            <w:r>
              <w:rPr>
                <w:rFonts w:ascii="Inter" w:hAnsi="Inter" w:cs="Inter" w:eastAsia="Inter"/>
                <w:b w:val="0"/>
                <w:i w:val="0"/>
                <w:color w:val="0A1A3A"/>
                <w:sz w:val="19"/>
              </w:rPr>
              <w:t>Son DIECISÉIS ejes. Cualquier material que diga «catorce» o «diez» quedó desactualizado: el catálogo creció con Desarrollo Social y Evaluación de Leyes. La fuente canónica es el registro de productos del código, y por eso este documento la lee de ahí en vez de transcribirla.</w:t>
            </w:r>
          </w:p>
        </w:tc>
      </w:tr>
    </w:tbl>
    <w:p>
      <w:pPr>
        <w:spacing w:after="80" w:before="0"/>
      </w:pPr>
    </w:p>
    <w:p>
      <w:pPr>
        <w:keepNext/>
        <w:spacing w:before="260" w:after="60"/>
      </w:pPr>
      <w:r>
        <w:rPr>
          <w:rFonts w:ascii="Plus Jakarta Sans" w:hAnsi="Plus Jakarta Sans" w:cs="Plus Jakarta Sans" w:eastAsia="Plus Jakarta Sans"/>
          <w:b/>
          <w:i w:val="0"/>
          <w:color w:val="0A1A3A"/>
          <w:spacing w:val="-8"/>
          <w:sz w:val="25"/>
        </w:rPr>
        <w:t>3.1 Qué hace único a cada eje</w:t>
      </w:r>
    </w:p>
    <w:p>
      <w:pPr>
        <w:spacing w:after="120" w:before="0"/>
      </w:pPr>
      <w:r>
        <w:rPr>
          <w:rFonts w:ascii="Inter" w:hAnsi="Inter" w:cs="Inter" w:eastAsia="Inter"/>
          <w:b w:val="0"/>
          <w:i w:val="0"/>
          <w:color w:val="43506B"/>
          <w:sz w:val="19"/>
        </w:rPr>
        <w:t>Notas de venta por producto — el ángulo que lo distingue de un informe genérico de sector.</w:t>
      </w:r>
    </w:p>
    <w:tbl>
      <w:tblPr>
        <w:tblW w:type="auto" w:w="0"/>
        <w:jc w:val="left"/>
        <w:tblBorders>
          <w:top w:val="single" w:sz="4" w:space="0" w:color="E7ECF3"/>
          <w:left w:val="single" w:sz="4" w:space="0" w:color="E7ECF3"/>
          <w:bottom w:val="single" w:sz="4" w:space="0" w:color="E7ECF3"/>
          <w:right w:val="single" w:sz="4" w:space="0" w:color="E7ECF3"/>
          <w:insideH w:val="single" w:sz="4" w:space="0" w:color="E7ECF3"/>
          <w:insideV w:val="single" w:sz="4" w:space="0" w:color="E7ECF3"/>
        </w:tblBorders>
        <w:tblLayout w:type="fixed"/>
        <w:tblLook w:firstColumn="1" w:firstRow="1" w:lastColumn="0" w:lastRow="0" w:noHBand="0" w:noVBand="1" w:val="04A0"/>
      </w:tblPr>
      <w:tblGrid>
        <w:gridCol w:w="2110"/>
        <w:gridCol w:w="7681"/>
      </w:tblGrid>
      <w:tr>
        <w:trPr>
          <w:tblHeader/>
        </w:trPr>
        <w:tc>
          <w:tcPr>
            <w:tcW w:type="dxa" w:w="2110"/>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EJE</w:t>
            </w:r>
          </w:p>
        </w:tc>
        <w:tc>
          <w:tcPr>
            <w:tcW w:type="dxa" w:w="7682"/>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EL ÁNGULO DE VENTA</w:t>
            </w:r>
          </w:p>
        </w:tc>
      </w:tr>
      <w:tr>
        <w:trPr>
          <w:cantSplit/>
        </w:trPr>
        <w:tc>
          <w:tcPr>
            <w:tcW w:type="dxa" w:w="2110"/>
            <w:tcMar>
              <w:top w:w="60" w:type="dxa"/>
              <w:start w:w="100" w:type="dxa"/>
              <w:bottom w:w="60" w:type="dxa"/>
              <w:end w:w="100" w:type="dxa"/>
            </w:tcMar>
          </w:tcPr>
          <w:p>
            <w:pPr>
              <w:spacing w:after="0" w:line="276" w:lineRule="auto"/>
            </w:pPr>
            <w:r>
              <w:rPr>
                <w:rFonts w:ascii="Inter" w:hAnsi="Inter" w:cs="Inter" w:eastAsia="Inter"/>
                <w:b/>
                <w:i w:val="0"/>
                <w:color w:val="0A1A3A"/>
                <w:sz w:val="16"/>
              </w:rPr>
              <w:t>Banking Intelligence</w:t>
            </w:r>
          </w:p>
        </w:tc>
        <w:tc>
          <w:tcPr>
            <w:tcW w:type="dxa" w:w="7682"/>
            <w:tcMar>
              <w:top w:w="60" w:type="dxa"/>
              <w:start w:w="100" w:type="dxa"/>
              <w:bottom w:w="60" w:type="dxa"/>
              <w:end w:w="100" w:type="dxa"/>
            </w:tcMar>
          </w:tcPr>
          <w:p>
            <w:pPr>
              <w:spacing w:after="0" w:line="276" w:lineRule="auto"/>
            </w:pPr>
            <w:r>
              <w:rPr>
                <w:rFonts w:ascii="Inter" w:hAnsi="Inter" w:cs="Inter" w:eastAsia="Inter"/>
                <w:b w:val="0"/>
                <w:i w:val="0"/>
                <w:color w:val="43506B"/>
                <w:sz w:val="16"/>
              </w:rPr>
              <w:t>Cubre TODO el universo supervisado por la SIB, no solo bancos múltiples: también ahorro y crédito, corporaciones, asociaciones, intermediación cambiaria y fiduciarias. 19–21 indicadores en cinco sub-componentes, con recalibración de pesos por tipo de entidad. Perfil SDQ de dos ejes, alerta temprana anclada a la crisis de 2003, y un módulo aparte para fideicomisos con su propio índice de salud.</w:t>
            </w:r>
          </w:p>
        </w:tc>
      </w:tr>
      <w:tr>
        <w:trPr>
          <w:cantSplit/>
        </w:trPr>
        <w:tc>
          <w:tcPr>
            <w:tcW w:type="dxa" w:w="2110"/>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Macro &amp; Country Risk</w:t>
            </w:r>
          </w:p>
        </w:tc>
        <w:tc>
          <w:tcPr>
            <w:tcW w:type="dxa" w:w="768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Índice de riesgo país sobre dato real de gobernanza (WGI), macro (WDI), calificación soberana y tensión de eventos (GDELT), más tres variables institucionales de juicio experto declarado. Panel LatAm y Caribe para comparar, no solo RD.</w:t>
            </w:r>
          </w:p>
        </w:tc>
      </w:tr>
      <w:tr>
        <w:trPr>
          <w:cantSplit/>
        </w:trPr>
        <w:tc>
          <w:tcPr>
            <w:tcW w:type="dxa" w:w="2110"/>
            <w:tcMar>
              <w:top w:w="60" w:type="dxa"/>
              <w:start w:w="100" w:type="dxa"/>
              <w:bottom w:w="60" w:type="dxa"/>
              <w:end w:w="100" w:type="dxa"/>
            </w:tcMar>
          </w:tcPr>
          <w:p>
            <w:pPr>
              <w:spacing w:after="0" w:line="276" w:lineRule="auto"/>
            </w:pPr>
            <w:r>
              <w:rPr>
                <w:rFonts w:ascii="Inter" w:hAnsi="Inter" w:cs="Inter" w:eastAsia="Inter"/>
                <w:b/>
                <w:i w:val="0"/>
                <w:color w:val="0A1A3A"/>
                <w:sz w:val="16"/>
              </w:rPr>
              <w:t>Política Monetaria</w:t>
            </w:r>
          </w:p>
        </w:tc>
        <w:tc>
          <w:tcPr>
            <w:tcW w:type="dxa" w:w="7682"/>
            <w:tcMar>
              <w:top w:w="60" w:type="dxa"/>
              <w:start w:w="100" w:type="dxa"/>
              <w:bottom w:w="60" w:type="dxa"/>
              <w:end w:w="100" w:type="dxa"/>
            </w:tcMar>
          </w:tcPr>
          <w:p>
            <w:pPr>
              <w:spacing w:after="0" w:line="276" w:lineRule="auto"/>
            </w:pPr>
            <w:r>
              <w:rPr>
                <w:rFonts w:ascii="Inter" w:hAnsi="Inter" w:cs="Inter" w:eastAsia="Inter"/>
                <w:b w:val="0"/>
                <w:i w:val="0"/>
                <w:color w:val="43506B"/>
                <w:sz w:val="16"/>
              </w:rPr>
              <w:t>El único producto con modelo predictivo de verdad: regla tipo Taylor interpretable más clasificador XGBoost hold/cut/hike, con backtest expanding-window one-step-ahead y bitácora de aciertos en vivo.</w:t>
            </w:r>
          </w:p>
        </w:tc>
      </w:tr>
      <w:tr>
        <w:trPr>
          <w:cantSplit/>
        </w:trPr>
        <w:tc>
          <w:tcPr>
            <w:tcW w:type="dxa" w:w="2110"/>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Trade &amp; Logistics</w:t>
            </w:r>
          </w:p>
        </w:tc>
        <w:tc>
          <w:tcPr>
            <w:tcW w:type="dxa" w:w="768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Aduanas (DGA) normalizadas con socios comerciales y resiliencia del flujo; el motor se valida sobre 24 países del panel regional, que es donde hay poder estadístico.</w:t>
            </w:r>
          </w:p>
        </w:tc>
      </w:tr>
      <w:tr>
        <w:trPr>
          <w:cantSplit/>
        </w:trPr>
        <w:tc>
          <w:tcPr>
            <w:tcW w:type="dxa" w:w="2110"/>
            <w:tcMar>
              <w:top w:w="60" w:type="dxa"/>
              <w:start w:w="100" w:type="dxa"/>
              <w:bottom w:w="60" w:type="dxa"/>
              <w:end w:w="100" w:type="dxa"/>
            </w:tcMar>
          </w:tcPr>
          <w:p>
            <w:pPr>
              <w:spacing w:after="0" w:line="276" w:lineRule="auto"/>
            </w:pPr>
            <w:r>
              <w:rPr>
                <w:rFonts w:ascii="Inter" w:hAnsi="Inter" w:cs="Inter" w:eastAsia="Inter"/>
                <w:b/>
                <w:i w:val="0"/>
                <w:color w:val="0A1A3A"/>
                <w:sz w:val="16"/>
              </w:rPr>
              <w:t>Tourism Intelligence</w:t>
            </w:r>
          </w:p>
        </w:tc>
        <w:tc>
          <w:tcPr>
            <w:tcW w:type="dxa" w:w="7682"/>
            <w:tcMar>
              <w:top w:w="60" w:type="dxa"/>
              <w:start w:w="100" w:type="dxa"/>
              <w:bottom w:w="60" w:type="dxa"/>
              <w:end w:w="100" w:type="dxa"/>
            </w:tcMar>
          </w:tcPr>
          <w:p>
            <w:pPr>
              <w:spacing w:after="0" w:line="276" w:lineRule="auto"/>
            </w:pPr>
            <w:r>
              <w:rPr>
                <w:rFonts w:ascii="Inter" w:hAnsi="Inter" w:cs="Inter" w:eastAsia="Inter"/>
                <w:b w:val="0"/>
                <w:i w:val="0"/>
                <w:color w:val="43506B"/>
                <w:sz w:val="16"/>
              </w:rPr>
              <w:t>Índice de tracción turística sobre llegadas, gasto y capacidad; el sector de mayor peso en la conversación económica del país.</w:t>
            </w:r>
          </w:p>
        </w:tc>
      </w:tr>
      <w:tr>
        <w:trPr>
          <w:cantSplit/>
        </w:trPr>
        <w:tc>
          <w:tcPr>
            <w:tcW w:type="dxa" w:w="2110"/>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Free Zones &amp; Manufacturing</w:t>
            </w:r>
          </w:p>
        </w:tc>
        <w:tc>
          <w:tcPr>
            <w:tcW w:type="dxa" w:w="768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Dinamismo exportador, inversión, empleo y productividad de zonas francas sobre el dato de CNZFE — el motor exportador que ningún tablero público sigue en serie.</w:t>
            </w:r>
          </w:p>
        </w:tc>
      </w:tr>
      <w:tr>
        <w:trPr>
          <w:cantSplit/>
        </w:trPr>
        <w:tc>
          <w:tcPr>
            <w:tcW w:type="dxa" w:w="2110"/>
            <w:tcMar>
              <w:top w:w="60" w:type="dxa"/>
              <w:start w:w="100" w:type="dxa"/>
              <w:bottom w:w="60" w:type="dxa"/>
              <w:end w:w="100" w:type="dxa"/>
            </w:tcMar>
          </w:tcPr>
          <w:p>
            <w:pPr>
              <w:spacing w:after="0" w:line="276" w:lineRule="auto"/>
            </w:pPr>
            <w:r>
              <w:rPr>
                <w:rFonts w:ascii="Inter" w:hAnsi="Inter" w:cs="Inter" w:eastAsia="Inter"/>
                <w:b/>
                <w:i w:val="0"/>
                <w:color w:val="0A1A3A"/>
                <w:sz w:val="16"/>
              </w:rPr>
              <w:t>Energy Intelligence</w:t>
            </w:r>
          </w:p>
        </w:tc>
        <w:tc>
          <w:tcPr>
            <w:tcW w:type="dxa" w:w="7682"/>
            <w:tcMar>
              <w:top w:w="60" w:type="dxa"/>
              <w:start w:w="100" w:type="dxa"/>
              <w:bottom w:w="60" w:type="dxa"/>
              <w:end w:w="100" w:type="dxa"/>
            </w:tcMar>
          </w:tcPr>
          <w:p>
            <w:pPr>
              <w:spacing w:after="0" w:line="276" w:lineRule="auto"/>
            </w:pPr>
            <w:r>
              <w:rPr>
                <w:rFonts w:ascii="Inter" w:hAnsi="Inter" w:cs="Inter" w:eastAsia="Inter"/>
                <w:b w:val="0"/>
                <w:i w:val="0"/>
                <w:color w:val="43506B"/>
                <w:sz w:val="16"/>
              </w:rPr>
              <w:t>Resiliencia del sistema eléctrico: matriz de generación, calidad de servicio y dependencia de combustible, sobre SIE y el Organismo Coordinador.</w:t>
            </w:r>
          </w:p>
        </w:tc>
      </w:tr>
      <w:tr>
        <w:trPr>
          <w:cantSplit/>
        </w:trPr>
        <w:tc>
          <w:tcPr>
            <w:tcW w:type="dxa" w:w="2110"/>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Telecom Intelligence</w:t>
            </w:r>
          </w:p>
        </w:tc>
        <w:tc>
          <w:tcPr>
            <w:tcW w:type="dxa" w:w="768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Desarrollo del sector sobre INDOTEL e ITU. Nota de honestidad: el boletín de INDOTEL está congelado desde 2022-Q1 y la plataforma lo declara en vez de disimularlo.</w:t>
            </w:r>
          </w:p>
        </w:tc>
      </w:tr>
      <w:tr>
        <w:trPr>
          <w:cantSplit/>
        </w:trPr>
        <w:tc>
          <w:tcPr>
            <w:tcW w:type="dxa" w:w="2110"/>
            <w:tcMar>
              <w:top w:w="60" w:type="dxa"/>
              <w:start w:w="100" w:type="dxa"/>
              <w:bottom w:w="60" w:type="dxa"/>
              <w:end w:w="100" w:type="dxa"/>
            </w:tcMar>
          </w:tcPr>
          <w:p>
            <w:pPr>
              <w:spacing w:after="0" w:line="276" w:lineRule="auto"/>
            </w:pPr>
            <w:r>
              <w:rPr>
                <w:rFonts w:ascii="Inter" w:hAnsi="Inter" w:cs="Inter" w:eastAsia="Inter"/>
                <w:b/>
                <w:i w:val="0"/>
                <w:color w:val="0A1A3A"/>
                <w:sz w:val="16"/>
              </w:rPr>
              <w:t>Construction Intelligence</w:t>
            </w:r>
          </w:p>
        </w:tc>
        <w:tc>
          <w:tcPr>
            <w:tcW w:type="dxa" w:w="7682"/>
            <w:tcMar>
              <w:top w:w="60" w:type="dxa"/>
              <w:start w:w="100" w:type="dxa"/>
              <w:bottom w:w="60" w:type="dxa"/>
              <w:end w:w="100" w:type="dxa"/>
            </w:tcMar>
          </w:tcPr>
          <w:p>
            <w:pPr>
              <w:spacing w:after="0" w:line="276" w:lineRule="auto"/>
            </w:pPr>
            <w:r>
              <w:rPr>
                <w:rFonts w:ascii="Inter" w:hAnsi="Inter" w:cs="Inter" w:eastAsia="Inter"/>
                <w:b w:val="0"/>
                <w:i w:val="0"/>
                <w:color w:val="43506B"/>
                <w:sz w:val="16"/>
              </w:rPr>
              <w:t>Coyuntura de la construcción sobre permisos de MIVHED y cuentas del BCRD; serie corta (2022 en adelante) y declarada como tal.</w:t>
            </w:r>
          </w:p>
        </w:tc>
      </w:tr>
      <w:tr>
        <w:trPr>
          <w:cantSplit/>
        </w:trPr>
        <w:tc>
          <w:tcPr>
            <w:tcW w:type="dxa" w:w="2110"/>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Agribusiness</w:t>
            </w:r>
          </w:p>
        </w:tc>
        <w:tc>
          <w:tcPr>
            <w:tcW w:type="dxa" w:w="768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Atractivo de inversión (IAI) y momentum (SGPS) de la rama agropecuaria, dentro del corte transversal sectorial del BCRD.</w:t>
            </w:r>
          </w:p>
        </w:tc>
      </w:tr>
      <w:tr>
        <w:trPr>
          <w:cantSplit/>
        </w:trPr>
        <w:tc>
          <w:tcPr>
            <w:tcW w:type="dxa" w:w="2110"/>
            <w:tcMar>
              <w:top w:w="60" w:type="dxa"/>
              <w:start w:w="100" w:type="dxa"/>
              <w:bottom w:w="60" w:type="dxa"/>
              <w:end w:w="100" w:type="dxa"/>
            </w:tcMar>
          </w:tcPr>
          <w:p>
            <w:pPr>
              <w:spacing w:after="0" w:line="276" w:lineRule="auto"/>
            </w:pPr>
            <w:r>
              <w:rPr>
                <w:rFonts w:ascii="Inter" w:hAnsi="Inter" w:cs="Inter" w:eastAsia="Inter"/>
                <w:b/>
                <w:i w:val="0"/>
                <w:color w:val="0A1A3A"/>
                <w:sz w:val="16"/>
              </w:rPr>
              <w:t>ESG &amp; Climate</w:t>
            </w:r>
          </w:p>
        </w:tc>
        <w:tc>
          <w:tcPr>
            <w:tcW w:type="dxa" w:w="7682"/>
            <w:tcMar>
              <w:top w:w="60" w:type="dxa"/>
              <w:start w:w="100" w:type="dxa"/>
              <w:bottom w:w="60" w:type="dxa"/>
              <w:end w:w="100" w:type="dxa"/>
            </w:tcMar>
          </w:tcPr>
          <w:p>
            <w:pPr>
              <w:spacing w:after="0" w:line="276" w:lineRule="auto"/>
            </w:pPr>
            <w:r>
              <w:rPr>
                <w:rFonts w:ascii="Inter" w:hAnsi="Inter" w:cs="Inter" w:eastAsia="Inter"/>
                <w:b w:val="0"/>
                <w:i w:val="0"/>
                <w:color w:val="43506B"/>
                <w:sz w:val="16"/>
              </w:rPr>
              <w:t>Resiliencia climática nacional con panel Caribe/LatAm: riesgo físico, riesgo de transición, capacidad adaptativa y gobernanza. Es el eje con comprador naciente y mayor demanda de multilaterales.</w:t>
            </w:r>
          </w:p>
        </w:tc>
      </w:tr>
      <w:tr>
        <w:trPr>
          <w:cantSplit/>
        </w:trPr>
        <w:tc>
          <w:tcPr>
            <w:tcW w:type="dxa" w:w="2110"/>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Pensiones (SIPEN)</w:t>
            </w:r>
          </w:p>
        </w:tc>
        <w:tc>
          <w:tcPr>
            <w:tcW w:type="dxa" w:w="768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Dos caras: pulso del sistema (afiliados, rentabilidad, patrimonio) y scoring por AFP. Solo siete administradoras, así que el panel es pequeño y la plataforma lo advierte.</w:t>
            </w:r>
          </w:p>
        </w:tc>
      </w:tr>
      <w:tr>
        <w:trPr>
          <w:cantSplit/>
        </w:trPr>
        <w:tc>
          <w:tcPr>
            <w:tcW w:type="dxa" w:w="2110"/>
            <w:tcMar>
              <w:top w:w="60" w:type="dxa"/>
              <w:start w:w="100" w:type="dxa"/>
              <w:bottom w:w="60" w:type="dxa"/>
              <w:end w:w="100" w:type="dxa"/>
            </w:tcMar>
          </w:tcPr>
          <w:p>
            <w:pPr>
              <w:spacing w:after="0" w:line="276" w:lineRule="auto"/>
            </w:pPr>
            <w:r>
              <w:rPr>
                <w:rFonts w:ascii="Inter" w:hAnsi="Inter" w:cs="Inter" w:eastAsia="Inter"/>
                <w:b/>
                <w:i w:val="0"/>
                <w:color w:val="0A1A3A"/>
                <w:sz w:val="16"/>
              </w:rPr>
              <w:t>Seguros (SIS)</w:t>
            </w:r>
          </w:p>
        </w:tc>
        <w:tc>
          <w:tcPr>
            <w:tcW w:type="dxa" w:w="7682"/>
            <w:tcMar>
              <w:top w:w="60" w:type="dxa"/>
              <w:start w:w="100" w:type="dxa"/>
              <w:bottom w:w="60" w:type="dxa"/>
              <w:end w:w="100" w:type="dxa"/>
            </w:tcMar>
          </w:tcPr>
          <w:p>
            <w:pPr>
              <w:spacing w:after="0" w:line="276" w:lineRule="auto"/>
            </w:pPr>
            <w:r>
              <w:rPr>
                <w:rFonts w:ascii="Inter" w:hAnsi="Inter" w:cs="Inter" w:eastAsia="Inter"/>
                <w:b w:val="0"/>
                <w:i w:val="0"/>
                <w:color w:val="43506B"/>
                <w:sz w:val="16"/>
              </w:rPr>
              <w:t>Solidez financiera de las aseguradoras comerciales y de las ARS de salud, sobre SIS y SISALRIL. Revisado por una actuaria externa.</w:t>
            </w:r>
          </w:p>
        </w:tc>
      </w:tr>
      <w:tr>
        <w:trPr>
          <w:cantSplit/>
        </w:trPr>
        <w:tc>
          <w:tcPr>
            <w:tcW w:type="dxa" w:w="2110"/>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Estructura de la Economía</w:t>
            </w:r>
          </w:p>
        </w:tc>
        <w:tc>
          <w:tcPr>
            <w:tcW w:type="dxa" w:w="768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Vista descriptiva del PIB por sectores de origen con contribución al crecimiento; se verifica contablemente contra el crecimiento del valor agregado. Producto para institucionales.</w:t>
            </w:r>
          </w:p>
        </w:tc>
      </w:tr>
      <w:tr>
        <w:trPr>
          <w:cantSplit/>
        </w:trPr>
        <w:tc>
          <w:tcPr>
            <w:tcW w:type="dxa" w:w="2110"/>
            <w:tcMar>
              <w:top w:w="60" w:type="dxa"/>
              <w:start w:w="100" w:type="dxa"/>
              <w:bottom w:w="60" w:type="dxa"/>
              <w:end w:w="100" w:type="dxa"/>
            </w:tcMar>
          </w:tcPr>
          <w:p>
            <w:pPr>
              <w:spacing w:after="0" w:line="276" w:lineRule="auto"/>
            </w:pPr>
            <w:r>
              <w:rPr>
                <w:rFonts w:ascii="Inter" w:hAnsi="Inter" w:cs="Inter" w:eastAsia="Inter"/>
                <w:b/>
                <w:i w:val="0"/>
                <w:color w:val="0A1A3A"/>
                <w:sz w:val="16"/>
              </w:rPr>
              <w:t>Desarrollo Social</w:t>
            </w:r>
          </w:p>
        </w:tc>
        <w:tc>
          <w:tcPr>
            <w:tcW w:type="dxa" w:w="7682"/>
            <w:tcMar>
              <w:top w:w="60" w:type="dxa"/>
              <w:start w:w="100" w:type="dxa"/>
              <w:bottom w:w="60" w:type="dxa"/>
              <w:end w:w="100" w:type="dxa"/>
            </w:tcMar>
          </w:tcPr>
          <w:p>
            <w:pPr>
              <w:spacing w:after="0" w:line="276" w:lineRule="auto"/>
            </w:pPr>
            <w:r>
              <w:rPr>
                <w:rFonts w:ascii="Inter" w:hAnsi="Inter" w:cs="Inter" w:eastAsia="Inter"/>
                <w:b w:val="0"/>
                <w:i w:val="0"/>
                <w:color w:val="43506B"/>
                <w:sz w:val="16"/>
              </w:rPr>
              <w:t>El único eje sub-nacional: 10 regiones de desarrollo y 32 provincias, con distribución además de promedio. Sobre SISDOM, MINERD, SIUBEN, ONE y Banco Mundial.</w:t>
            </w:r>
          </w:p>
        </w:tc>
      </w:tr>
      <w:tr>
        <w:trPr>
          <w:cantSplit/>
        </w:trPr>
        <w:tc>
          <w:tcPr>
            <w:tcW w:type="dxa" w:w="2110"/>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Evaluación de Leyes</w:t>
            </w:r>
          </w:p>
        </w:tc>
        <w:tc>
          <w:tcPr>
            <w:tcW w:type="dxa" w:w="768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El eje más original del catálogo: el sujeto es un instrumento normativo. Evalúa si una ley cumple las metas que ella misma se fijó, contrastando cada meta contra la fuente oficial del propio Estado evaluado. Dos expedientes cargados hoy: la Estrategia Nacional de Desarrollo 2030 (Ley 1-12, 90 indicadores) y Meta RD 2036 (Decreto 337-24). Agregar una ley es agregar una carpeta de datos, no tocar el motor.</w:t>
            </w:r>
          </w:p>
        </w:tc>
      </w:tr>
    </w:tbl>
    <w:p>
      <w:pPr>
        <w:spacing w:after="120" w:before="0"/>
      </w:pPr>
    </w:p>
    <w:p>
      <w:r>
        <w:br w:type="page"/>
      </w:r>
    </w:p>
    <w:p>
      <w:pPr>
        <w:spacing w:before="40" w:after="20"/>
      </w:pPr>
      <w:r>
        <w:rPr>
          <w:rFonts w:ascii="JetBrains Mono" w:hAnsi="JetBrains Mono" w:cs="JetBrains Mono" w:eastAsia="JetBrains Mono"/>
          <w:b/>
          <w:i w:val="0"/>
          <w:color w:val="1E6FFF"/>
          <w:spacing w:val="26"/>
          <w:sz w:val="15"/>
        </w:rPr>
        <w:t>§4 · ESTRUCTURA DE PRODUCTO</w:t>
      </w:r>
    </w:p>
    <w:p>
      <w:pPr>
        <w:keepNext/>
        <w:spacing w:before="0" w:after="60"/>
      </w:pPr>
      <w:r>
        <w:rPr>
          <w:rFonts w:ascii="Plus Jakarta Sans" w:hAnsi="Plus Jakarta Sans" w:cs="Plus Jakarta Sans" w:eastAsia="Plus Jakarta Sans"/>
          <w:b/>
          <w:i w:val="0"/>
          <w:color w:val="0A1A3A"/>
          <w:spacing w:val="-12"/>
          <w:sz w:val="38"/>
        </w:rPr>
        <w:t>Los tres niveles y la anatomía del informe</w:t>
      </w:r>
    </w:p>
    <w:p>
      <w:pPr>
        <w:pBdr>
          <w:bottom w:val="single" w:sz="10" w:space="1" w:color="1E6FFF"/>
        </w:pBdr>
        <w:spacing w:before="20" w:after="200"/>
      </w:pPr>
    </w:p>
    <w:p>
      <w:pPr>
        <w:spacing w:after="120" w:before="0"/>
      </w:pPr>
      <w:r>
        <w:rPr>
          <w:rFonts w:ascii="Inter" w:hAnsi="Inter" w:cs="Inter" w:eastAsia="Inter"/>
          <w:b w:val="0"/>
          <w:i w:val="0"/>
          <w:color w:val="43506B"/>
          <w:sz w:val="19"/>
        </w:rPr>
        <w:t>Los dieciséis ejes comparten exactamente tres niveles comerciales. La granularidad —no la extensión— es lo que los separa.</w:t>
      </w:r>
    </w:p>
    <w:tbl>
      <w:tblPr>
        <w:tblW w:type="auto" w:w="0"/>
        <w:jc w:val="left"/>
        <w:tblBorders>
          <w:top w:val="single" w:sz="4" w:space="0" w:color="E7ECF3"/>
          <w:left w:val="single" w:sz="4" w:space="0" w:color="E7ECF3"/>
          <w:bottom w:val="single" w:sz="4" w:space="0" w:color="E7ECF3"/>
          <w:right w:val="single" w:sz="4" w:space="0" w:color="E7ECF3"/>
          <w:insideH w:val="single" w:sz="4" w:space="0" w:color="E7ECF3"/>
          <w:insideV w:val="single" w:sz="4" w:space="0" w:color="E7ECF3"/>
        </w:tblBorders>
        <w:tblLayout w:type="fixed"/>
        <w:tblLook w:firstColumn="1" w:firstRow="1" w:lastColumn="0" w:lastRow="0" w:noHBand="0" w:noVBand="1" w:val="04A0"/>
      </w:tblPr>
      <w:tblGrid>
        <w:gridCol w:w="1203"/>
        <w:gridCol w:w="1754"/>
        <w:gridCol w:w="3091"/>
        <w:gridCol w:w="1370"/>
        <w:gridCol w:w="1537"/>
        <w:gridCol w:w="835"/>
      </w:tblGrid>
      <w:tr>
        <w:trPr>
          <w:tblHeader/>
        </w:trPr>
        <w:tc>
          <w:tcPr>
            <w:tcW w:type="dxa" w:w="1203"/>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NIVEL</w:t>
            </w:r>
          </w:p>
        </w:tc>
        <w:tc>
          <w:tcPr>
            <w:tcW w:type="dxa" w:w="1755"/>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GRANULARIDAD</w:t>
            </w:r>
          </w:p>
        </w:tc>
        <w:tc>
          <w:tcPr>
            <w:tcW w:type="dxa" w:w="3091"/>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CONTENIDO</w:t>
            </w:r>
          </w:p>
        </w:tc>
        <w:tc>
          <w:tcPr>
            <w:tcW w:type="dxa" w:w="1370"/>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CADENCIA</w:t>
            </w:r>
          </w:p>
        </w:tc>
        <w:tc>
          <w:tcPr>
            <w:tcW w:type="dxa" w:w="1537"/>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AUDIENCIA</w:t>
            </w:r>
          </w:p>
        </w:tc>
        <w:tc>
          <w:tcPr>
            <w:tcW w:type="dxa" w:w="835"/>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PÁGS.</w:t>
            </w:r>
          </w:p>
        </w:tc>
      </w:tr>
      <w:tr>
        <w:trPr>
          <w:cantSplit/>
        </w:trPr>
        <w:tc>
          <w:tcPr>
            <w:tcW w:type="dxa" w:w="1203"/>
            <w:tcMar>
              <w:top w:w="60" w:type="dxa"/>
              <w:start w:w="100" w:type="dxa"/>
              <w:bottom w:w="60" w:type="dxa"/>
              <w:end w:w="100" w:type="dxa"/>
            </w:tcMar>
          </w:tcPr>
          <w:p>
            <w:pPr>
              <w:spacing w:after="0" w:line="276" w:lineRule="auto"/>
            </w:pPr>
            <w:r>
              <w:rPr>
                <w:rFonts w:ascii="Inter" w:hAnsi="Inter" w:cs="Inter" w:eastAsia="Inter"/>
                <w:b/>
                <w:i w:val="0"/>
                <w:color w:val="0A1A3A"/>
                <w:sz w:val="15"/>
              </w:rPr>
              <w:t>Pulse</w:t>
            </w:r>
          </w:p>
        </w:tc>
        <w:tc>
          <w:tcPr>
            <w:tcW w:type="dxa" w:w="1755"/>
            <w:tcMar>
              <w:top w:w="60" w:type="dxa"/>
              <w:start w:w="100" w:type="dxa"/>
              <w:bottom w:w="60" w:type="dxa"/>
              <w:end w:w="100" w:type="dxa"/>
            </w:tcMar>
          </w:tcPr>
          <w:p>
            <w:pPr>
              <w:spacing w:after="0" w:line="276" w:lineRule="auto"/>
            </w:pPr>
            <w:r>
              <w:rPr>
                <w:rFonts w:ascii="Inter" w:hAnsi="Inter" w:cs="Inter" w:eastAsia="Inter"/>
                <w:b w:val="0"/>
                <w:i w:val="0"/>
                <w:color w:val="43506B"/>
                <w:sz w:val="15"/>
              </w:rPr>
              <w:t>Sistema, SIN nombrar</w:t>
            </w:r>
          </w:p>
        </w:tc>
        <w:tc>
          <w:tcPr>
            <w:tcW w:type="dxa" w:w="3091"/>
            <w:tcMar>
              <w:top w:w="60" w:type="dxa"/>
              <w:start w:w="100" w:type="dxa"/>
              <w:bottom w:w="60" w:type="dxa"/>
              <w:end w:w="100" w:type="dxa"/>
            </w:tcMar>
          </w:tcPr>
          <w:p>
            <w:pPr>
              <w:spacing w:after="0" w:line="276" w:lineRule="auto"/>
            </w:pPr>
            <w:r>
              <w:rPr>
                <w:rFonts w:ascii="Inter" w:hAnsi="Inter" w:cs="Inter" w:eastAsia="Inter"/>
                <w:b w:val="0"/>
                <w:i w:val="0"/>
                <w:color w:val="43506B"/>
                <w:sz w:val="15"/>
              </w:rPr>
              <w:t>Distribución en bandas, tendencias, comentario del sistema</w:t>
            </w:r>
          </w:p>
        </w:tc>
        <w:tc>
          <w:tcPr>
            <w:tcW w:type="dxa" w:w="1370"/>
            <w:tcMar>
              <w:top w:w="60" w:type="dxa"/>
              <w:start w:w="100" w:type="dxa"/>
              <w:bottom w:w="60" w:type="dxa"/>
              <w:end w:w="100" w:type="dxa"/>
            </w:tcMar>
          </w:tcPr>
          <w:p>
            <w:pPr>
              <w:spacing w:after="0" w:line="276" w:lineRule="auto"/>
            </w:pPr>
            <w:r>
              <w:rPr>
                <w:rFonts w:ascii="Inter" w:hAnsi="Inter" w:cs="Inter" w:eastAsia="Inter"/>
                <w:b w:val="0"/>
                <w:i w:val="0"/>
                <w:color w:val="43506B"/>
                <w:sz w:val="15"/>
              </w:rPr>
              <w:t>Periódico / abierto</w:t>
            </w:r>
          </w:p>
        </w:tc>
        <w:tc>
          <w:tcPr>
            <w:tcW w:type="dxa" w:w="1537"/>
            <w:tcMar>
              <w:top w:w="60" w:type="dxa"/>
              <w:start w:w="100" w:type="dxa"/>
              <w:bottom w:w="60" w:type="dxa"/>
              <w:end w:w="100" w:type="dxa"/>
            </w:tcMar>
          </w:tcPr>
          <w:p>
            <w:pPr>
              <w:spacing w:after="0" w:line="276" w:lineRule="auto"/>
            </w:pPr>
            <w:r>
              <w:rPr>
                <w:rFonts w:ascii="Inter" w:hAnsi="Inter" w:cs="Inter" w:eastAsia="Inter"/>
                <w:b w:val="0"/>
                <w:i w:val="0"/>
                <w:color w:val="43506B"/>
                <w:sz w:val="15"/>
              </w:rPr>
              <w:t>Prensa, gremios, tráfico</w:t>
            </w:r>
          </w:p>
        </w:tc>
        <w:tc>
          <w:tcPr>
            <w:tcW w:type="dxa" w:w="835"/>
            <w:tcMar>
              <w:top w:w="60" w:type="dxa"/>
              <w:start w:w="100" w:type="dxa"/>
              <w:bottom w:w="60" w:type="dxa"/>
              <w:end w:w="100" w:type="dxa"/>
            </w:tcMar>
          </w:tcPr>
          <w:p>
            <w:pPr>
              <w:spacing w:after="0" w:line="276" w:lineRule="auto"/>
            </w:pPr>
            <w:r>
              <w:rPr>
                <w:rFonts w:ascii="Inter" w:hAnsi="Inter" w:cs="Inter" w:eastAsia="Inter"/>
                <w:b w:val="0"/>
                <w:i w:val="0"/>
                <w:color w:val="43506B"/>
                <w:sz w:val="15"/>
              </w:rPr>
              <w:t>1–2 págs</w:t>
            </w:r>
          </w:p>
        </w:tc>
      </w:tr>
      <w:tr>
        <w:trPr>
          <w:cantSplit/>
        </w:trPr>
        <w:tc>
          <w:tcPr>
            <w:tcW w:type="dxa" w:w="1203"/>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Insight</w:t>
            </w:r>
          </w:p>
        </w:tc>
        <w:tc>
          <w:tcPr>
            <w:tcW w:type="dxa" w:w="175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Entidad o segmento NOMBRADO</w:t>
            </w:r>
          </w:p>
        </w:tc>
        <w:tc>
          <w:tcPr>
            <w:tcW w:type="dxa" w:w="3091"/>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Score y perspectiva, radar de pilares, indicadores, pares, narrativa, alertas</w:t>
            </w:r>
          </w:p>
        </w:tc>
        <w:tc>
          <w:tcPr>
            <w:tcW w:type="dxa" w:w="1370"/>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Recurrente</w:t>
            </w:r>
          </w:p>
        </w:tc>
        <w:tc>
          <w:tcPr>
            <w:tcW w:type="dxa" w:w="1537"/>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Cliente / comité</w:t>
            </w:r>
          </w:p>
        </w:tc>
        <w:tc>
          <w:tcPr>
            <w:tcW w:type="dxa" w:w="83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4–6 págs</w:t>
            </w:r>
          </w:p>
        </w:tc>
      </w:tr>
      <w:tr>
        <w:trPr>
          <w:cantSplit/>
        </w:trPr>
        <w:tc>
          <w:tcPr>
            <w:tcW w:type="dxa" w:w="1203"/>
            <w:tcMar>
              <w:top w:w="60" w:type="dxa"/>
              <w:start w:w="100" w:type="dxa"/>
              <w:bottom w:w="60" w:type="dxa"/>
              <w:end w:w="100" w:type="dxa"/>
            </w:tcMar>
          </w:tcPr>
          <w:p>
            <w:pPr>
              <w:spacing w:after="0" w:line="276" w:lineRule="auto"/>
            </w:pPr>
            <w:r>
              <w:rPr>
                <w:rFonts w:ascii="Inter" w:hAnsi="Inter" w:cs="Inter" w:eastAsia="Inter"/>
                <w:b/>
                <w:i w:val="0"/>
                <w:color w:val="0A1A3A"/>
                <w:sz w:val="15"/>
              </w:rPr>
              <w:t>Deep Dive</w:t>
            </w:r>
          </w:p>
        </w:tc>
        <w:tc>
          <w:tcPr>
            <w:tcW w:type="dxa" w:w="1755"/>
            <w:tcMar>
              <w:top w:w="60" w:type="dxa"/>
              <w:start w:w="100" w:type="dxa"/>
              <w:bottom w:w="60" w:type="dxa"/>
              <w:end w:w="100" w:type="dxa"/>
            </w:tcMar>
          </w:tcPr>
          <w:p>
            <w:pPr>
              <w:spacing w:after="0" w:line="276" w:lineRule="auto"/>
            </w:pPr>
            <w:r>
              <w:rPr>
                <w:rFonts w:ascii="Inter" w:hAnsi="Inter" w:cs="Inter" w:eastAsia="Inter"/>
                <w:b w:val="0"/>
                <w:i w:val="0"/>
                <w:color w:val="43506B"/>
                <w:sz w:val="15"/>
              </w:rPr>
              <w:t>A medida</w:t>
            </w:r>
          </w:p>
        </w:tc>
        <w:tc>
          <w:tcPr>
            <w:tcW w:type="dxa" w:w="3091"/>
            <w:tcMar>
              <w:top w:w="60" w:type="dxa"/>
              <w:start w:w="100" w:type="dxa"/>
              <w:bottom w:w="60" w:type="dxa"/>
              <w:end w:w="100" w:type="dxa"/>
            </w:tcMar>
          </w:tcPr>
          <w:p>
            <w:pPr>
              <w:spacing w:after="0" w:line="276" w:lineRule="auto"/>
            </w:pPr>
            <w:r>
              <w:rPr>
                <w:rFonts w:ascii="Inter" w:hAnsi="Inter" w:cs="Inter" w:eastAsia="Inter"/>
                <w:b w:val="0"/>
                <w:i w:val="0"/>
                <w:color w:val="43506B"/>
                <w:sz w:val="15"/>
              </w:rPr>
              <w:t>Todo lo de Insight + escenarios + recomendaciones priorizadas + limitaciones</w:t>
            </w:r>
          </w:p>
        </w:tc>
        <w:tc>
          <w:tcPr>
            <w:tcW w:type="dxa" w:w="1370"/>
            <w:tcMar>
              <w:top w:w="60" w:type="dxa"/>
              <w:start w:w="100" w:type="dxa"/>
              <w:bottom w:w="60" w:type="dxa"/>
              <w:end w:w="100" w:type="dxa"/>
            </w:tcMar>
          </w:tcPr>
          <w:p>
            <w:pPr>
              <w:spacing w:after="0" w:line="276" w:lineRule="auto"/>
            </w:pPr>
            <w:r>
              <w:rPr>
                <w:rFonts w:ascii="Inter" w:hAnsi="Inter" w:cs="Inter" w:eastAsia="Inter"/>
                <w:b w:val="0"/>
                <w:i w:val="0"/>
                <w:color w:val="43506B"/>
                <w:sz w:val="15"/>
              </w:rPr>
              <w:t>On-demand</w:t>
            </w:r>
          </w:p>
        </w:tc>
        <w:tc>
          <w:tcPr>
            <w:tcW w:type="dxa" w:w="1537"/>
            <w:tcMar>
              <w:top w:w="60" w:type="dxa"/>
              <w:start w:w="100" w:type="dxa"/>
              <w:bottom w:w="60" w:type="dxa"/>
              <w:end w:w="100" w:type="dxa"/>
            </w:tcMar>
          </w:tcPr>
          <w:p>
            <w:pPr>
              <w:spacing w:after="0" w:line="276" w:lineRule="auto"/>
            </w:pPr>
            <w:r>
              <w:rPr>
                <w:rFonts w:ascii="Inter" w:hAnsi="Inter" w:cs="Inter" w:eastAsia="Inter"/>
                <w:b w:val="0"/>
                <w:i w:val="0"/>
                <w:color w:val="43506B"/>
                <w:sz w:val="15"/>
              </w:rPr>
              <w:t>Comité / contraparte</w:t>
            </w:r>
          </w:p>
        </w:tc>
        <w:tc>
          <w:tcPr>
            <w:tcW w:type="dxa" w:w="835"/>
            <w:tcMar>
              <w:top w:w="60" w:type="dxa"/>
              <w:start w:w="100" w:type="dxa"/>
              <w:bottom w:w="60" w:type="dxa"/>
              <w:end w:w="100" w:type="dxa"/>
            </w:tcMar>
          </w:tcPr>
          <w:p>
            <w:pPr>
              <w:spacing w:after="0" w:line="276" w:lineRule="auto"/>
            </w:pPr>
            <w:r>
              <w:rPr>
                <w:rFonts w:ascii="Inter" w:hAnsi="Inter" w:cs="Inter" w:eastAsia="Inter"/>
                <w:b w:val="0"/>
                <w:i w:val="0"/>
                <w:color w:val="43506B"/>
                <w:sz w:val="15"/>
              </w:rPr>
              <w:t>8–15 págs</w:t>
            </w:r>
          </w:p>
        </w:tc>
      </w:tr>
    </w:tbl>
    <w:p>
      <w:pPr>
        <w:spacing w:after="120" w:before="0"/>
      </w:pPr>
    </w:p>
    <w:tbl>
      <w:tblPr>
        <w:tblW w:type="auto" w:w="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72"/>
        <w:gridCol w:w="9720"/>
      </w:tblGrid>
      <w:tr>
        <w:trPr>
          <w:cantSplit/>
        </w:trPr>
        <w:tc>
          <w:tcPr>
            <w:tcW w:type="dxa" w:w="72"/>
            <w:shd w:val="clear" w:color="auto" w:fill="1E6FFF"/>
            <w:tcMar>
              <w:top w:w="0" w:type="dxa"/>
              <w:start w:w="0" w:type="dxa"/>
              <w:bottom w:w="0" w:type="dxa"/>
              <w:end w:w="0" w:type="dxa"/>
            </w:tcMar>
          </w:tcPr>
          <w:p>
            <w:pPr>
              <w:spacing w:after="0"/>
            </w:pPr>
          </w:p>
        </w:tc>
        <w:tc>
          <w:tcPr>
            <w:tcW w:type="dxa" w:w="9720"/>
            <w:shd w:val="clear" w:color="auto" w:fill="EAF1FF"/>
            <w:tcMar>
              <w:top w:w="120" w:type="dxa"/>
              <w:start w:w="160" w:type="dxa"/>
              <w:bottom w:w="120" w:type="dxa"/>
              <w:end w:w="160" w:type="dxa"/>
            </w:tcMar>
          </w:tcPr>
          <w:p>
            <w:pPr>
              <w:spacing w:after="40"/>
            </w:pPr>
            <w:r>
              <w:rPr>
                <w:rFonts w:ascii="JetBrains Mono" w:hAnsi="JetBrains Mono" w:cs="JetBrains Mono" w:eastAsia="JetBrains Mono"/>
                <w:b/>
                <w:i w:val="0"/>
                <w:color w:val="1551C0"/>
                <w:spacing w:val="24"/>
                <w:sz w:val="15"/>
              </w:rPr>
              <w:t>REGLA NO NEGOCIABLE DEL NIVEL ABIERTO</w:t>
            </w:r>
          </w:p>
          <w:p>
            <w:pPr>
              <w:spacing w:after="0"/>
            </w:pPr>
            <w:r>
              <w:rPr>
                <w:rFonts w:ascii="Inter" w:hAnsi="Inter" w:cs="Inter" w:eastAsia="Inter"/>
                <w:b w:val="0"/>
                <w:i w:val="0"/>
                <w:color w:val="0A1A3A"/>
                <w:sz w:val="19"/>
              </w:rPr>
              <w:t>Pulse NUNCA emite un identificador de entidad. Hay un sensor de anonimización por sector que lo verifica. Es lo que permite publicar el nivel abierto sin exponer a ninguna entidad supervisada, y es también lo que hace que el salto a Insight tenga valor: pagar es pasar de la banda al nombre.</w:t>
            </w:r>
          </w:p>
        </w:tc>
      </w:tr>
    </w:tbl>
    <w:p>
      <w:pPr>
        <w:spacing w:after="80" w:before="0"/>
      </w:pPr>
    </w:p>
    <w:p>
      <w:pPr>
        <w:keepNext/>
        <w:spacing w:before="260" w:after="60"/>
      </w:pPr>
      <w:r>
        <w:rPr>
          <w:rFonts w:ascii="Plus Jakarta Sans" w:hAnsi="Plus Jakarta Sans" w:cs="Plus Jakarta Sans" w:eastAsia="Plus Jakarta Sans"/>
          <w:b/>
          <w:i w:val="0"/>
          <w:color w:val="0A1A3A"/>
          <w:spacing w:val="-8"/>
          <w:sz w:val="25"/>
        </w:rPr>
        <w:t>4.1 Anatomía canónica del informe</w:t>
      </w:r>
    </w:p>
    <w:p>
      <w:pPr>
        <w:spacing w:after="120" w:before="0"/>
      </w:pPr>
      <w:r>
        <w:rPr>
          <w:rFonts w:ascii="Inter" w:hAnsi="Inter" w:cs="Inter" w:eastAsia="Inter"/>
          <w:b w:val="0"/>
          <w:i w:val="0"/>
          <w:color w:val="43506B"/>
          <w:sz w:val="19"/>
        </w:rPr>
        <w:t>Una sola anatomía, escalada por nivel. Las tres salidas —en pantalla, PDF y Word— se ensamblan desde una única estructura de contenido, así que no pueden divergir.</w:t>
      </w:r>
    </w:p>
    <w:tbl>
      <w:tblPr>
        <w:tblW w:type="auto" w:w="0"/>
        <w:jc w:val="left"/>
        <w:tblBorders>
          <w:top w:val="single" w:sz="4" w:space="0" w:color="E7ECF3"/>
          <w:left w:val="single" w:sz="4" w:space="0" w:color="E7ECF3"/>
          <w:bottom w:val="single" w:sz="4" w:space="0" w:color="E7ECF3"/>
          <w:right w:val="single" w:sz="4" w:space="0" w:color="E7ECF3"/>
          <w:insideH w:val="single" w:sz="4" w:space="0" w:color="E7ECF3"/>
          <w:insideV w:val="single" w:sz="4" w:space="0" w:color="E7ECF3"/>
        </w:tblBorders>
        <w:tblLayout w:type="fixed"/>
        <w:tblLook w:firstColumn="1" w:firstRow="1" w:lastColumn="0" w:lastRow="0" w:noHBand="0" w:noVBand="1" w:val="04A0"/>
      </w:tblPr>
      <w:tblGrid>
        <w:gridCol w:w="451"/>
        <w:gridCol w:w="1977"/>
        <w:gridCol w:w="4425"/>
        <w:gridCol w:w="979"/>
        <w:gridCol w:w="1092"/>
        <w:gridCol w:w="866"/>
      </w:tblGrid>
      <w:tr>
        <w:trPr>
          <w:tblHeader/>
        </w:trPr>
        <w:tc>
          <w:tcPr>
            <w:tcW w:type="dxa" w:w="452"/>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w:t>
            </w:r>
          </w:p>
        </w:tc>
        <w:tc>
          <w:tcPr>
            <w:tcW w:type="dxa" w:w="1977"/>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SECCIÓN</w:t>
            </w:r>
          </w:p>
        </w:tc>
        <w:tc>
          <w:tcPr>
            <w:tcW w:type="dxa" w:w="4425"/>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QUÉ HACE</w:t>
            </w:r>
          </w:p>
        </w:tc>
        <w:tc>
          <w:tcPr>
            <w:tcW w:type="dxa" w:w="979"/>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PULSE</w:t>
            </w:r>
          </w:p>
        </w:tc>
        <w:tc>
          <w:tcPr>
            <w:tcW w:type="dxa" w:w="1092"/>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INSIGHT</w:t>
            </w:r>
          </w:p>
        </w:tc>
        <w:tc>
          <w:tcPr>
            <w:tcW w:type="dxa" w:w="866"/>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DEEP</w:t>
            </w:r>
          </w:p>
        </w:tc>
      </w:tr>
      <w:tr>
        <w:trPr>
          <w:cantSplit/>
        </w:trPr>
        <w:tc>
          <w:tcPr>
            <w:tcW w:type="dxa" w:w="452"/>
            <w:tcMar>
              <w:top w:w="60" w:type="dxa"/>
              <w:start w:w="100" w:type="dxa"/>
              <w:bottom w:w="60" w:type="dxa"/>
              <w:end w:w="100" w:type="dxa"/>
            </w:tcMar>
          </w:tcPr>
          <w:p>
            <w:pPr>
              <w:spacing w:after="0" w:line="276" w:lineRule="auto"/>
            </w:pPr>
            <w:r>
              <w:rPr>
                <w:rFonts w:ascii="Inter" w:hAnsi="Inter" w:cs="Inter" w:eastAsia="Inter"/>
                <w:b/>
                <w:i w:val="0"/>
                <w:color w:val="0A1A3A"/>
                <w:sz w:val="15"/>
              </w:rPr>
              <w:t>1</w:t>
            </w:r>
          </w:p>
        </w:tc>
        <w:tc>
          <w:tcPr>
            <w:tcW w:type="dxa" w:w="1977"/>
            <w:tcMar>
              <w:top w:w="60" w:type="dxa"/>
              <w:start w:w="100" w:type="dxa"/>
              <w:bottom w:w="60" w:type="dxa"/>
              <w:end w:w="100" w:type="dxa"/>
            </w:tcMar>
          </w:tcPr>
          <w:p>
            <w:pPr>
              <w:spacing w:after="0" w:line="276" w:lineRule="auto"/>
            </w:pPr>
            <w:r>
              <w:rPr>
                <w:rFonts w:ascii="Inter" w:hAnsi="Inter" w:cs="Inter" w:eastAsia="Inter"/>
                <w:b w:val="0"/>
                <w:i w:val="0"/>
                <w:color w:val="43506B"/>
                <w:sz w:val="15"/>
              </w:rPr>
              <w:t>Portada</w:t>
            </w:r>
          </w:p>
        </w:tc>
        <w:tc>
          <w:tcPr>
            <w:tcW w:type="dxa" w:w="4425"/>
            <w:tcMar>
              <w:top w:w="60" w:type="dxa"/>
              <w:start w:w="100" w:type="dxa"/>
              <w:bottom w:w="60" w:type="dxa"/>
              <w:end w:w="100" w:type="dxa"/>
            </w:tcMar>
          </w:tcPr>
          <w:p>
            <w:pPr>
              <w:spacing w:after="0" w:line="276" w:lineRule="auto"/>
            </w:pPr>
            <w:r>
              <w:rPr>
                <w:rFonts w:ascii="Inter" w:hAnsi="Inter" w:cs="Inter" w:eastAsia="Inter"/>
                <w:b w:val="0"/>
                <w:i w:val="0"/>
                <w:color w:val="43506B"/>
                <w:sz w:val="15"/>
              </w:rPr>
              <w:t>Identidad, sujeto, período, veredicto de titular</w:t>
            </w:r>
          </w:p>
        </w:tc>
        <w:tc>
          <w:tcPr>
            <w:tcW w:type="dxa" w:w="979"/>
            <w:tcMar>
              <w:top w:w="60" w:type="dxa"/>
              <w:start w:w="100" w:type="dxa"/>
              <w:bottom w:w="60" w:type="dxa"/>
              <w:end w:w="100" w:type="dxa"/>
            </w:tcMar>
          </w:tcPr>
          <w:p>
            <w:pPr>
              <w:spacing w:after="0" w:line="276" w:lineRule="auto"/>
            </w:pPr>
            <w:r>
              <w:rPr>
                <w:rFonts w:ascii="Inter" w:hAnsi="Inter" w:cs="Inter" w:eastAsia="Inter"/>
                <w:b w:val="0"/>
                <w:i w:val="0"/>
                <w:color w:val="43506B"/>
                <w:sz w:val="15"/>
              </w:rPr>
              <w:t>sí</w:t>
            </w:r>
          </w:p>
        </w:tc>
        <w:tc>
          <w:tcPr>
            <w:tcW w:type="dxa" w:w="1092"/>
            <w:tcMar>
              <w:top w:w="60" w:type="dxa"/>
              <w:start w:w="100" w:type="dxa"/>
              <w:bottom w:w="60" w:type="dxa"/>
              <w:end w:w="100" w:type="dxa"/>
            </w:tcMar>
          </w:tcPr>
          <w:p>
            <w:pPr>
              <w:spacing w:after="0" w:line="276" w:lineRule="auto"/>
            </w:pPr>
            <w:r>
              <w:rPr>
                <w:rFonts w:ascii="Inter" w:hAnsi="Inter" w:cs="Inter" w:eastAsia="Inter"/>
                <w:b w:val="0"/>
                <w:i w:val="0"/>
                <w:color w:val="43506B"/>
                <w:sz w:val="15"/>
              </w:rPr>
              <w:t>sí</w:t>
            </w:r>
          </w:p>
        </w:tc>
        <w:tc>
          <w:tcPr>
            <w:tcW w:type="dxa" w:w="866"/>
            <w:tcMar>
              <w:top w:w="60" w:type="dxa"/>
              <w:start w:w="100" w:type="dxa"/>
              <w:bottom w:w="60" w:type="dxa"/>
              <w:end w:w="100" w:type="dxa"/>
            </w:tcMar>
          </w:tcPr>
          <w:p>
            <w:pPr>
              <w:spacing w:after="0" w:line="276" w:lineRule="auto"/>
            </w:pPr>
            <w:r>
              <w:rPr>
                <w:rFonts w:ascii="Inter" w:hAnsi="Inter" w:cs="Inter" w:eastAsia="Inter"/>
                <w:b w:val="0"/>
                <w:i w:val="0"/>
                <w:color w:val="43506B"/>
                <w:sz w:val="15"/>
              </w:rPr>
              <w:t>sí</w:t>
            </w:r>
          </w:p>
        </w:tc>
      </w:tr>
      <w:tr>
        <w:trPr>
          <w:cantSplit/>
        </w:trPr>
        <w:tc>
          <w:tcPr>
            <w:tcW w:type="dxa" w:w="452"/>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2</w:t>
            </w:r>
          </w:p>
        </w:tc>
        <w:tc>
          <w:tcPr>
            <w:tcW w:type="dxa" w:w="1977"/>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Índice</w:t>
            </w:r>
          </w:p>
        </w:tc>
        <w:tc>
          <w:tcPr>
            <w:tcW w:type="dxa" w:w="442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Navegación</w:t>
            </w:r>
          </w:p>
        </w:tc>
        <w:tc>
          <w:tcPr>
            <w:tcW w:type="dxa" w:w="979"/>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w:t>
            </w:r>
          </w:p>
        </w:tc>
        <w:tc>
          <w:tcPr>
            <w:tcW w:type="dxa" w:w="109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w:t>
            </w:r>
          </w:p>
        </w:tc>
        <w:tc>
          <w:tcPr>
            <w:tcW w:type="dxa" w:w="866"/>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sí</w:t>
            </w:r>
          </w:p>
        </w:tc>
      </w:tr>
      <w:tr>
        <w:trPr>
          <w:cantSplit/>
        </w:trPr>
        <w:tc>
          <w:tcPr>
            <w:tcW w:type="dxa" w:w="452"/>
            <w:tcMar>
              <w:top w:w="60" w:type="dxa"/>
              <w:start w:w="100" w:type="dxa"/>
              <w:bottom w:w="60" w:type="dxa"/>
              <w:end w:w="100" w:type="dxa"/>
            </w:tcMar>
          </w:tcPr>
          <w:p>
            <w:pPr>
              <w:spacing w:after="0" w:line="276" w:lineRule="auto"/>
            </w:pPr>
            <w:r>
              <w:rPr>
                <w:rFonts w:ascii="Inter" w:hAnsi="Inter" w:cs="Inter" w:eastAsia="Inter"/>
                <w:b/>
                <w:i w:val="0"/>
                <w:color w:val="0A1A3A"/>
                <w:sz w:val="15"/>
              </w:rPr>
              <w:t>3</w:t>
            </w:r>
          </w:p>
        </w:tc>
        <w:tc>
          <w:tcPr>
            <w:tcW w:type="dxa" w:w="1977"/>
            <w:tcMar>
              <w:top w:w="60" w:type="dxa"/>
              <w:start w:w="100" w:type="dxa"/>
              <w:bottom w:w="60" w:type="dxa"/>
              <w:end w:w="100" w:type="dxa"/>
            </w:tcMar>
          </w:tcPr>
          <w:p>
            <w:pPr>
              <w:spacing w:after="0" w:line="276" w:lineRule="auto"/>
            </w:pPr>
            <w:r>
              <w:rPr>
                <w:rFonts w:ascii="Inter" w:hAnsi="Inter" w:cs="Inter" w:eastAsia="Inter"/>
                <w:b w:val="0"/>
                <w:i w:val="0"/>
                <w:color w:val="43506B"/>
                <w:sz w:val="15"/>
              </w:rPr>
              <w:t>Resumen ejecutivo</w:t>
            </w:r>
          </w:p>
        </w:tc>
        <w:tc>
          <w:tcPr>
            <w:tcW w:type="dxa" w:w="4425"/>
            <w:tcMar>
              <w:top w:w="60" w:type="dxa"/>
              <w:start w:w="100" w:type="dxa"/>
              <w:bottom w:w="60" w:type="dxa"/>
              <w:end w:w="100" w:type="dxa"/>
            </w:tcMar>
          </w:tcPr>
          <w:p>
            <w:pPr>
              <w:spacing w:after="0" w:line="276" w:lineRule="auto"/>
            </w:pPr>
            <w:r>
              <w:rPr>
                <w:rFonts w:ascii="Inter" w:hAnsi="Inter" w:cs="Inter" w:eastAsia="Inter"/>
                <w:b w:val="0"/>
                <w:i w:val="0"/>
                <w:color w:val="43506B"/>
                <w:sz w:val="15"/>
              </w:rPr>
              <w:t>EL VEREDICTO: tesis, cifra clave, lectura. Decisión extraíble en 30 segundos</w:t>
            </w:r>
          </w:p>
        </w:tc>
        <w:tc>
          <w:tcPr>
            <w:tcW w:type="dxa" w:w="979"/>
            <w:tcMar>
              <w:top w:w="60" w:type="dxa"/>
              <w:start w:w="100" w:type="dxa"/>
              <w:bottom w:w="60" w:type="dxa"/>
              <w:end w:w="100" w:type="dxa"/>
            </w:tcMar>
          </w:tcPr>
          <w:p>
            <w:pPr>
              <w:spacing w:after="0" w:line="276" w:lineRule="auto"/>
            </w:pPr>
            <w:r>
              <w:rPr>
                <w:rFonts w:ascii="Inter" w:hAnsi="Inter" w:cs="Inter" w:eastAsia="Inter"/>
                <w:b w:val="0"/>
                <w:i w:val="0"/>
                <w:color w:val="43506B"/>
                <w:sz w:val="15"/>
              </w:rPr>
              <w:t>sí</w:t>
            </w:r>
          </w:p>
        </w:tc>
        <w:tc>
          <w:tcPr>
            <w:tcW w:type="dxa" w:w="1092"/>
            <w:tcMar>
              <w:top w:w="60" w:type="dxa"/>
              <w:start w:w="100" w:type="dxa"/>
              <w:bottom w:w="60" w:type="dxa"/>
              <w:end w:w="100" w:type="dxa"/>
            </w:tcMar>
          </w:tcPr>
          <w:p>
            <w:pPr>
              <w:spacing w:after="0" w:line="276" w:lineRule="auto"/>
            </w:pPr>
            <w:r>
              <w:rPr>
                <w:rFonts w:ascii="Inter" w:hAnsi="Inter" w:cs="Inter" w:eastAsia="Inter"/>
                <w:b w:val="0"/>
                <w:i w:val="0"/>
                <w:color w:val="43506B"/>
                <w:sz w:val="15"/>
              </w:rPr>
              <w:t>sí</w:t>
            </w:r>
          </w:p>
        </w:tc>
        <w:tc>
          <w:tcPr>
            <w:tcW w:type="dxa" w:w="866"/>
            <w:tcMar>
              <w:top w:w="60" w:type="dxa"/>
              <w:start w:w="100" w:type="dxa"/>
              <w:bottom w:w="60" w:type="dxa"/>
              <w:end w:w="100" w:type="dxa"/>
            </w:tcMar>
          </w:tcPr>
          <w:p>
            <w:pPr>
              <w:spacing w:after="0" w:line="276" w:lineRule="auto"/>
            </w:pPr>
            <w:r>
              <w:rPr>
                <w:rFonts w:ascii="Inter" w:hAnsi="Inter" w:cs="Inter" w:eastAsia="Inter"/>
                <w:b w:val="0"/>
                <w:i w:val="0"/>
                <w:color w:val="43506B"/>
                <w:sz w:val="15"/>
              </w:rPr>
              <w:t>sí</w:t>
            </w:r>
          </w:p>
        </w:tc>
      </w:tr>
      <w:tr>
        <w:trPr>
          <w:cantSplit/>
        </w:trPr>
        <w:tc>
          <w:tcPr>
            <w:tcW w:type="dxa" w:w="452"/>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4</w:t>
            </w:r>
          </w:p>
        </w:tc>
        <w:tc>
          <w:tcPr>
            <w:tcW w:type="dxa" w:w="1977"/>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Contexto</w:t>
            </w:r>
          </w:p>
        </w:tc>
        <w:tc>
          <w:tcPr>
            <w:tcW w:type="dxa" w:w="442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Encuadre del mercado; por qué importa</w:t>
            </w:r>
          </w:p>
        </w:tc>
        <w:tc>
          <w:tcPr>
            <w:tcW w:type="dxa" w:w="979"/>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w:t>
            </w:r>
          </w:p>
        </w:tc>
        <w:tc>
          <w:tcPr>
            <w:tcW w:type="dxa" w:w="109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sí</w:t>
            </w:r>
          </w:p>
        </w:tc>
        <w:tc>
          <w:tcPr>
            <w:tcW w:type="dxa" w:w="866"/>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sí</w:t>
            </w:r>
          </w:p>
        </w:tc>
      </w:tr>
      <w:tr>
        <w:trPr>
          <w:cantSplit/>
        </w:trPr>
        <w:tc>
          <w:tcPr>
            <w:tcW w:type="dxa" w:w="452"/>
            <w:tcMar>
              <w:top w:w="60" w:type="dxa"/>
              <w:start w:w="100" w:type="dxa"/>
              <w:bottom w:w="60" w:type="dxa"/>
              <w:end w:w="100" w:type="dxa"/>
            </w:tcMar>
          </w:tcPr>
          <w:p>
            <w:pPr>
              <w:spacing w:after="0" w:line="276" w:lineRule="auto"/>
            </w:pPr>
            <w:r>
              <w:rPr>
                <w:rFonts w:ascii="Inter" w:hAnsi="Inter" w:cs="Inter" w:eastAsia="Inter"/>
                <w:b/>
                <w:i w:val="0"/>
                <w:color w:val="0A1A3A"/>
                <w:sz w:val="15"/>
              </w:rPr>
              <w:t>5</w:t>
            </w:r>
          </w:p>
        </w:tc>
        <w:tc>
          <w:tcPr>
            <w:tcW w:type="dxa" w:w="1977"/>
            <w:tcMar>
              <w:top w:w="60" w:type="dxa"/>
              <w:start w:w="100" w:type="dxa"/>
              <w:bottom w:w="60" w:type="dxa"/>
              <w:end w:w="100" w:type="dxa"/>
            </w:tcMar>
          </w:tcPr>
          <w:p>
            <w:pPr>
              <w:spacing w:after="0" w:line="276" w:lineRule="auto"/>
            </w:pPr>
            <w:r>
              <w:rPr>
                <w:rFonts w:ascii="Inter" w:hAnsi="Inter" w:cs="Inter" w:eastAsia="Inter"/>
                <w:b w:val="0"/>
                <w:i w:val="0"/>
                <w:color w:val="43506B"/>
                <w:sz w:val="15"/>
              </w:rPr>
              <w:t>Hallazgos y análisis</w:t>
            </w:r>
          </w:p>
        </w:tc>
        <w:tc>
          <w:tcPr>
            <w:tcW w:type="dxa" w:w="4425"/>
            <w:tcMar>
              <w:top w:w="60" w:type="dxa"/>
              <w:start w:w="100" w:type="dxa"/>
              <w:bottom w:w="60" w:type="dxa"/>
              <w:end w:w="100" w:type="dxa"/>
            </w:tcMar>
          </w:tcPr>
          <w:p>
            <w:pPr>
              <w:spacing w:after="0" w:line="276" w:lineRule="auto"/>
            </w:pPr>
            <w:r>
              <w:rPr>
                <w:rFonts w:ascii="Inter" w:hAnsi="Inter" w:cs="Inter" w:eastAsia="Inter"/>
                <w:b w:val="0"/>
                <w:i w:val="0"/>
                <w:color w:val="43506B"/>
                <w:sz w:val="15"/>
              </w:rPr>
              <w:t>Dimensiones con peso y aporte, drivers vs. lastres, posición relativa</w:t>
            </w:r>
          </w:p>
        </w:tc>
        <w:tc>
          <w:tcPr>
            <w:tcW w:type="dxa" w:w="979"/>
            <w:tcMar>
              <w:top w:w="60" w:type="dxa"/>
              <w:start w:w="100" w:type="dxa"/>
              <w:bottom w:w="60" w:type="dxa"/>
              <w:end w:w="100" w:type="dxa"/>
            </w:tcMar>
          </w:tcPr>
          <w:p>
            <w:pPr>
              <w:spacing w:after="0" w:line="276" w:lineRule="auto"/>
            </w:pPr>
            <w:r>
              <w:rPr>
                <w:rFonts w:ascii="Inter" w:hAnsi="Inter" w:cs="Inter" w:eastAsia="Inter"/>
                <w:b w:val="0"/>
                <w:i w:val="0"/>
                <w:color w:val="43506B"/>
                <w:sz w:val="15"/>
              </w:rPr>
              <w:t>—</w:t>
            </w:r>
          </w:p>
        </w:tc>
        <w:tc>
          <w:tcPr>
            <w:tcW w:type="dxa" w:w="1092"/>
            <w:tcMar>
              <w:top w:w="60" w:type="dxa"/>
              <w:start w:w="100" w:type="dxa"/>
              <w:bottom w:w="60" w:type="dxa"/>
              <w:end w:w="100" w:type="dxa"/>
            </w:tcMar>
          </w:tcPr>
          <w:p>
            <w:pPr>
              <w:spacing w:after="0" w:line="276" w:lineRule="auto"/>
            </w:pPr>
            <w:r>
              <w:rPr>
                <w:rFonts w:ascii="Inter" w:hAnsi="Inter" w:cs="Inter" w:eastAsia="Inter"/>
                <w:b w:val="0"/>
                <w:i w:val="0"/>
                <w:color w:val="43506B"/>
                <w:sz w:val="15"/>
              </w:rPr>
              <w:t>sí</w:t>
            </w:r>
          </w:p>
        </w:tc>
        <w:tc>
          <w:tcPr>
            <w:tcW w:type="dxa" w:w="866"/>
            <w:tcMar>
              <w:top w:w="60" w:type="dxa"/>
              <w:start w:w="100" w:type="dxa"/>
              <w:bottom w:w="60" w:type="dxa"/>
              <w:end w:w="100" w:type="dxa"/>
            </w:tcMar>
          </w:tcPr>
          <w:p>
            <w:pPr>
              <w:spacing w:after="0" w:line="276" w:lineRule="auto"/>
            </w:pPr>
            <w:r>
              <w:rPr>
                <w:rFonts w:ascii="Inter" w:hAnsi="Inter" w:cs="Inter" w:eastAsia="Inter"/>
                <w:b w:val="0"/>
                <w:i w:val="0"/>
                <w:color w:val="43506B"/>
                <w:sz w:val="15"/>
              </w:rPr>
              <w:t>sí</w:t>
            </w:r>
          </w:p>
        </w:tc>
      </w:tr>
      <w:tr>
        <w:trPr>
          <w:cantSplit/>
        </w:trPr>
        <w:tc>
          <w:tcPr>
            <w:tcW w:type="dxa" w:w="452"/>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6</w:t>
            </w:r>
          </w:p>
        </w:tc>
        <w:tc>
          <w:tcPr>
            <w:tcW w:type="dxa" w:w="1977"/>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Recomendaciones</w:t>
            </w:r>
          </w:p>
        </w:tc>
        <w:tc>
          <w:tcPr>
            <w:tcW w:type="dxa" w:w="442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Priorizadas en Inmediato / Corto / Mediano, por audiencia</w:t>
            </w:r>
          </w:p>
        </w:tc>
        <w:tc>
          <w:tcPr>
            <w:tcW w:type="dxa" w:w="979"/>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w:t>
            </w:r>
          </w:p>
        </w:tc>
        <w:tc>
          <w:tcPr>
            <w:tcW w:type="dxa" w:w="109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w:t>
            </w:r>
          </w:p>
        </w:tc>
        <w:tc>
          <w:tcPr>
            <w:tcW w:type="dxa" w:w="866"/>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sí</w:t>
            </w:r>
          </w:p>
        </w:tc>
      </w:tr>
      <w:tr>
        <w:trPr>
          <w:cantSplit/>
        </w:trPr>
        <w:tc>
          <w:tcPr>
            <w:tcW w:type="dxa" w:w="452"/>
            <w:tcMar>
              <w:top w:w="60" w:type="dxa"/>
              <w:start w:w="100" w:type="dxa"/>
              <w:bottom w:w="60" w:type="dxa"/>
              <w:end w:w="100" w:type="dxa"/>
            </w:tcMar>
          </w:tcPr>
          <w:p>
            <w:pPr>
              <w:spacing w:after="0" w:line="276" w:lineRule="auto"/>
            </w:pPr>
            <w:r>
              <w:rPr>
                <w:rFonts w:ascii="Inter" w:hAnsi="Inter" w:cs="Inter" w:eastAsia="Inter"/>
                <w:b/>
                <w:i w:val="0"/>
                <w:color w:val="0A1A3A"/>
                <w:sz w:val="15"/>
              </w:rPr>
              <w:t>7</w:t>
            </w:r>
          </w:p>
        </w:tc>
        <w:tc>
          <w:tcPr>
            <w:tcW w:type="dxa" w:w="1977"/>
            <w:tcMar>
              <w:top w:w="60" w:type="dxa"/>
              <w:start w:w="100" w:type="dxa"/>
              <w:bottom w:w="60" w:type="dxa"/>
              <w:end w:w="100" w:type="dxa"/>
            </w:tcMar>
          </w:tcPr>
          <w:p>
            <w:pPr>
              <w:spacing w:after="0" w:line="276" w:lineRule="auto"/>
            </w:pPr>
            <w:r>
              <w:rPr>
                <w:rFonts w:ascii="Inter" w:hAnsi="Inter" w:cs="Inter" w:eastAsia="Inter"/>
                <w:b w:val="0"/>
                <w:i w:val="0"/>
                <w:color w:val="43506B"/>
                <w:sz w:val="15"/>
              </w:rPr>
              <w:t>Metodología y fuentes</w:t>
            </w:r>
          </w:p>
        </w:tc>
        <w:tc>
          <w:tcPr>
            <w:tcW w:type="dxa" w:w="4425"/>
            <w:tcMar>
              <w:top w:w="60" w:type="dxa"/>
              <w:start w:w="100" w:type="dxa"/>
              <w:bottom w:w="60" w:type="dxa"/>
              <w:end w:w="100" w:type="dxa"/>
            </w:tcMar>
          </w:tcPr>
          <w:p>
            <w:pPr>
              <w:spacing w:after="0" w:line="276" w:lineRule="auto"/>
            </w:pPr>
            <w:r>
              <w:rPr>
                <w:rFonts w:ascii="Inter" w:hAnsi="Inter" w:cs="Inter" w:eastAsia="Inter"/>
                <w:b w:val="0"/>
                <w:i w:val="0"/>
                <w:color w:val="43506B"/>
                <w:sz w:val="15"/>
              </w:rPr>
              <w:t>Qué mide, con qué pesos, qué fuentes, cadencia, cobertura, versión</w:t>
            </w:r>
          </w:p>
        </w:tc>
        <w:tc>
          <w:tcPr>
            <w:tcW w:type="dxa" w:w="979"/>
            <w:tcMar>
              <w:top w:w="60" w:type="dxa"/>
              <w:start w:w="100" w:type="dxa"/>
              <w:bottom w:w="60" w:type="dxa"/>
              <w:end w:w="100" w:type="dxa"/>
            </w:tcMar>
          </w:tcPr>
          <w:p>
            <w:pPr>
              <w:spacing w:after="0" w:line="276" w:lineRule="auto"/>
            </w:pPr>
            <w:r>
              <w:rPr>
                <w:rFonts w:ascii="Inter" w:hAnsi="Inter" w:cs="Inter" w:eastAsia="Inter"/>
                <w:b w:val="0"/>
                <w:i w:val="0"/>
                <w:color w:val="43506B"/>
                <w:sz w:val="15"/>
              </w:rPr>
              <w:t>mini</w:t>
            </w:r>
          </w:p>
        </w:tc>
        <w:tc>
          <w:tcPr>
            <w:tcW w:type="dxa" w:w="1092"/>
            <w:tcMar>
              <w:top w:w="60" w:type="dxa"/>
              <w:start w:w="100" w:type="dxa"/>
              <w:bottom w:w="60" w:type="dxa"/>
              <w:end w:w="100" w:type="dxa"/>
            </w:tcMar>
          </w:tcPr>
          <w:p>
            <w:pPr>
              <w:spacing w:after="0" w:line="276" w:lineRule="auto"/>
            </w:pPr>
            <w:r>
              <w:rPr>
                <w:rFonts w:ascii="Inter" w:hAnsi="Inter" w:cs="Inter" w:eastAsia="Inter"/>
                <w:b w:val="0"/>
                <w:i w:val="0"/>
                <w:color w:val="43506B"/>
                <w:sz w:val="15"/>
              </w:rPr>
              <w:t>sí</w:t>
            </w:r>
          </w:p>
        </w:tc>
        <w:tc>
          <w:tcPr>
            <w:tcW w:type="dxa" w:w="866"/>
            <w:tcMar>
              <w:top w:w="60" w:type="dxa"/>
              <w:start w:w="100" w:type="dxa"/>
              <w:bottom w:w="60" w:type="dxa"/>
              <w:end w:w="100" w:type="dxa"/>
            </w:tcMar>
          </w:tcPr>
          <w:p>
            <w:pPr>
              <w:spacing w:after="0" w:line="276" w:lineRule="auto"/>
            </w:pPr>
            <w:r>
              <w:rPr>
                <w:rFonts w:ascii="Inter" w:hAnsi="Inter" w:cs="Inter" w:eastAsia="Inter"/>
                <w:b w:val="0"/>
                <w:i w:val="0"/>
                <w:color w:val="43506B"/>
                <w:sz w:val="15"/>
              </w:rPr>
              <w:t>sí</w:t>
            </w:r>
          </w:p>
        </w:tc>
      </w:tr>
      <w:tr>
        <w:trPr>
          <w:cantSplit/>
        </w:trPr>
        <w:tc>
          <w:tcPr>
            <w:tcW w:type="dxa" w:w="452"/>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8</w:t>
            </w:r>
          </w:p>
        </w:tc>
        <w:tc>
          <w:tcPr>
            <w:tcW w:type="dxa" w:w="1977"/>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Limitaciones y calidad del dato</w:t>
            </w:r>
          </w:p>
        </w:tc>
        <w:tc>
          <w:tcPr>
            <w:tcW w:type="dxa" w:w="442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Brechas, supuestos de rúbrica, ausencia de backtest, qué NO cubre</w:t>
            </w:r>
          </w:p>
        </w:tc>
        <w:tc>
          <w:tcPr>
            <w:tcW w:type="dxa" w:w="979"/>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w:t>
            </w:r>
          </w:p>
        </w:tc>
        <w:tc>
          <w:tcPr>
            <w:tcW w:type="dxa" w:w="109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sí</w:t>
            </w:r>
          </w:p>
        </w:tc>
        <w:tc>
          <w:tcPr>
            <w:tcW w:type="dxa" w:w="866"/>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sí</w:t>
            </w:r>
          </w:p>
        </w:tc>
      </w:tr>
      <w:tr>
        <w:trPr>
          <w:cantSplit/>
        </w:trPr>
        <w:tc>
          <w:tcPr>
            <w:tcW w:type="dxa" w:w="452"/>
            <w:tcMar>
              <w:top w:w="60" w:type="dxa"/>
              <w:start w:w="100" w:type="dxa"/>
              <w:bottom w:w="60" w:type="dxa"/>
              <w:end w:w="100" w:type="dxa"/>
            </w:tcMar>
          </w:tcPr>
          <w:p>
            <w:pPr>
              <w:spacing w:after="0" w:line="276" w:lineRule="auto"/>
            </w:pPr>
            <w:r>
              <w:rPr>
                <w:rFonts w:ascii="Inter" w:hAnsi="Inter" w:cs="Inter" w:eastAsia="Inter"/>
                <w:b/>
                <w:i w:val="0"/>
                <w:color w:val="0A1A3A"/>
                <w:sz w:val="15"/>
              </w:rPr>
              <w:t>9</w:t>
            </w:r>
          </w:p>
        </w:tc>
        <w:tc>
          <w:tcPr>
            <w:tcW w:type="dxa" w:w="1977"/>
            <w:tcMar>
              <w:top w:w="60" w:type="dxa"/>
              <w:start w:w="100" w:type="dxa"/>
              <w:bottom w:w="60" w:type="dxa"/>
              <w:end w:w="100" w:type="dxa"/>
            </w:tcMar>
          </w:tcPr>
          <w:p>
            <w:pPr>
              <w:spacing w:after="0" w:line="276" w:lineRule="auto"/>
            </w:pPr>
            <w:r>
              <w:rPr>
                <w:rFonts w:ascii="Inter" w:hAnsi="Inter" w:cs="Inter" w:eastAsia="Inter"/>
                <w:b w:val="0"/>
                <w:i w:val="0"/>
                <w:color w:val="43506B"/>
                <w:sz w:val="15"/>
              </w:rPr>
              <w:t>Glosario</w:t>
            </w:r>
          </w:p>
        </w:tc>
        <w:tc>
          <w:tcPr>
            <w:tcW w:type="dxa" w:w="4425"/>
            <w:tcMar>
              <w:top w:w="60" w:type="dxa"/>
              <w:start w:w="100" w:type="dxa"/>
              <w:bottom w:w="60" w:type="dxa"/>
              <w:end w:w="100" w:type="dxa"/>
            </w:tcMar>
          </w:tcPr>
          <w:p>
            <w:pPr>
              <w:spacing w:after="0" w:line="276" w:lineRule="auto"/>
            </w:pPr>
            <w:r>
              <w:rPr>
                <w:rFonts w:ascii="Inter" w:hAnsi="Inter" w:cs="Inter" w:eastAsia="Inter"/>
                <w:b w:val="0"/>
                <w:i w:val="0"/>
                <w:color w:val="43506B"/>
                <w:sz w:val="15"/>
              </w:rPr>
              <w:t>Términos e índice</w:t>
            </w:r>
          </w:p>
        </w:tc>
        <w:tc>
          <w:tcPr>
            <w:tcW w:type="dxa" w:w="979"/>
            <w:tcMar>
              <w:top w:w="60" w:type="dxa"/>
              <w:start w:w="100" w:type="dxa"/>
              <w:bottom w:w="60" w:type="dxa"/>
              <w:end w:w="100" w:type="dxa"/>
            </w:tcMar>
          </w:tcPr>
          <w:p>
            <w:pPr>
              <w:spacing w:after="0" w:line="276" w:lineRule="auto"/>
            </w:pPr>
            <w:r>
              <w:rPr>
                <w:rFonts w:ascii="Inter" w:hAnsi="Inter" w:cs="Inter" w:eastAsia="Inter"/>
                <w:b w:val="0"/>
                <w:i w:val="0"/>
                <w:color w:val="43506B"/>
                <w:sz w:val="15"/>
              </w:rPr>
              <w:t>—</w:t>
            </w:r>
          </w:p>
        </w:tc>
        <w:tc>
          <w:tcPr>
            <w:tcW w:type="dxa" w:w="1092"/>
            <w:tcMar>
              <w:top w:w="60" w:type="dxa"/>
              <w:start w:w="100" w:type="dxa"/>
              <w:bottom w:w="60" w:type="dxa"/>
              <w:end w:w="100" w:type="dxa"/>
            </w:tcMar>
          </w:tcPr>
          <w:p>
            <w:pPr>
              <w:spacing w:after="0" w:line="276" w:lineRule="auto"/>
            </w:pPr>
            <w:r>
              <w:rPr>
                <w:rFonts w:ascii="Inter" w:hAnsi="Inter" w:cs="Inter" w:eastAsia="Inter"/>
                <w:b w:val="0"/>
                <w:i w:val="0"/>
                <w:color w:val="43506B"/>
                <w:sz w:val="15"/>
              </w:rPr>
              <w:t>—</w:t>
            </w:r>
          </w:p>
        </w:tc>
        <w:tc>
          <w:tcPr>
            <w:tcW w:type="dxa" w:w="866"/>
            <w:tcMar>
              <w:top w:w="60" w:type="dxa"/>
              <w:start w:w="100" w:type="dxa"/>
              <w:bottom w:w="60" w:type="dxa"/>
              <w:end w:w="100" w:type="dxa"/>
            </w:tcMar>
          </w:tcPr>
          <w:p>
            <w:pPr>
              <w:spacing w:after="0" w:line="276" w:lineRule="auto"/>
            </w:pPr>
            <w:r>
              <w:rPr>
                <w:rFonts w:ascii="Inter" w:hAnsi="Inter" w:cs="Inter" w:eastAsia="Inter"/>
                <w:b w:val="0"/>
                <w:i w:val="0"/>
                <w:color w:val="43506B"/>
                <w:sz w:val="15"/>
              </w:rPr>
              <w:t>sí</w:t>
            </w:r>
          </w:p>
        </w:tc>
      </w:tr>
      <w:tr>
        <w:trPr>
          <w:cantSplit/>
        </w:trPr>
        <w:tc>
          <w:tcPr>
            <w:tcW w:type="dxa" w:w="452"/>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10</w:t>
            </w:r>
          </w:p>
        </w:tc>
        <w:tc>
          <w:tcPr>
            <w:tcW w:type="dxa" w:w="1977"/>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Fuentes y referencias</w:t>
            </w:r>
          </w:p>
        </w:tc>
        <w:tc>
          <w:tcPr>
            <w:tcW w:type="dxa" w:w="442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Citas con fuente · licencia · fecha de consulta · URL</w:t>
            </w:r>
          </w:p>
        </w:tc>
        <w:tc>
          <w:tcPr>
            <w:tcW w:type="dxa" w:w="979"/>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w:t>
            </w:r>
          </w:p>
        </w:tc>
        <w:tc>
          <w:tcPr>
            <w:tcW w:type="dxa" w:w="109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w:t>
            </w:r>
          </w:p>
        </w:tc>
        <w:tc>
          <w:tcPr>
            <w:tcW w:type="dxa" w:w="866"/>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sí</w:t>
            </w:r>
          </w:p>
        </w:tc>
      </w:tr>
    </w:tbl>
    <w:p>
      <w:pPr>
        <w:spacing w:after="120" w:before="0"/>
      </w:pPr>
    </w:p>
    <w:p>
      <w:pPr>
        <w:spacing w:after="120" w:before="0"/>
      </w:pPr>
      <w:r>
        <w:rPr>
          <w:rFonts w:ascii="Inter" w:hAnsi="Inter" w:cs="Inter" w:eastAsia="Inter"/>
          <w:b/>
          <w:i w:val="0"/>
          <w:color w:val="0A1A3A"/>
          <w:sz w:val="19"/>
        </w:rPr>
        <w:t xml:space="preserve">El detalle que hay que destacar en la presentación. </w:t>
      </w:r>
      <w:r>
        <w:rPr>
          <w:rFonts w:ascii="Inter" w:hAnsi="Inter" w:cs="Inter" w:eastAsia="Inter"/>
          <w:b w:val="0"/>
          <w:i w:val="0"/>
          <w:color w:val="43506B"/>
          <w:sz w:val="19"/>
        </w:rPr>
        <w:t>Las secciones 7, 8 y 10 —Metodología, Limitaciones y Fuentes— son las más respetadas y peor ejecutadas del mercado, y aquí se generan automáticamente a partir de la procedencia real de cada variable. No las redacta nadie. Esa es la demostración más concreta del foso, y merece su propia lámina.</w:t>
      </w:r>
    </w:p>
    <w:p>
      <w:pPr>
        <w:keepNext/>
        <w:spacing w:before="260" w:after="60"/>
      </w:pPr>
      <w:r>
        <w:rPr>
          <w:rFonts w:ascii="Plus Jakarta Sans" w:hAnsi="Plus Jakarta Sans" w:cs="Plus Jakarta Sans" w:eastAsia="Plus Jakarta Sans"/>
          <w:b/>
          <w:i w:val="0"/>
          <w:color w:val="0A1A3A"/>
          <w:spacing w:val="-8"/>
          <w:sz w:val="25"/>
        </w:rPr>
        <w:t>4.2 Elementos visuales del informe</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Cita destacada: </w:t>
      </w:r>
      <w:r>
        <w:rPr>
          <w:rFonts w:ascii="Inter" w:hAnsi="Inter" w:cs="Inter" w:eastAsia="Inter"/>
          <w:b w:val="0"/>
          <w:i w:val="0"/>
          <w:color w:val="43506B"/>
          <w:sz w:val="19"/>
        </w:rPr>
        <w:t>texto grande en acento con barra vertical, para la cifra o el hallazgo clave.</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Llamada de cifra: </w:t>
      </w:r>
      <w:r>
        <w:rPr>
          <w:rFonts w:ascii="Inter" w:hAnsi="Inter" w:cs="Inter" w:eastAsia="Inter"/>
          <w:b w:val="0"/>
          <w:i w:val="0"/>
          <w:color w:val="43506B"/>
          <w:sz w:val="19"/>
        </w:rPr>
        <w:t>número grande con etiqueta, estilo infografía.</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Figuras numeradas con leyenda </w:t>
      </w:r>
      <w:r>
        <w:rPr>
          <w:rFonts w:ascii="Inter" w:hAnsi="Inter" w:cs="Inter" w:eastAsia="Inter"/>
          <w:b w:val="0"/>
          <w:i w:val="0"/>
          <w:color w:val="43506B"/>
          <w:sz w:val="19"/>
        </w:rPr>
        <w:t>(«Figura N: …»).</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Tablas: </w:t>
      </w:r>
      <w:r>
        <w:rPr>
          <w:rFonts w:ascii="Inter" w:hAnsi="Inter" w:cs="Inter" w:eastAsia="Inter"/>
          <w:b w:val="0"/>
          <w:i w:val="0"/>
          <w:color w:val="43506B"/>
          <w:sz w:val="19"/>
        </w:rPr>
        <w:t>cabecera en tinta, filas alternas, cifras tabulares.</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Encabezado corrido en cada página </w:t>
      </w:r>
      <w:r>
        <w:rPr>
          <w:rFonts w:ascii="Inter" w:hAnsi="Inter" w:cs="Inter" w:eastAsia="Inter"/>
          <w:b w:val="0"/>
          <w:i w:val="0"/>
          <w:color w:val="43506B"/>
          <w:sz w:val="19"/>
        </w:rPr>
        <w:t>con producto y sujeto, más paginación.</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Marca de agua por nivel: </w:t>
      </w:r>
      <w:r>
        <w:rPr>
          <w:rFonts w:ascii="Inter" w:hAnsi="Inter" w:cs="Inter" w:eastAsia="Inter"/>
          <w:b w:val="0"/>
          <w:i w:val="0"/>
          <w:color w:val="43506B"/>
          <w:sz w:val="19"/>
        </w:rPr>
        <w:t>«Vista abierta», «Suscripción», «On-demand»; y «MUESTRA — DATA ILUSTRATIVA» en las muestras comerciales.</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Cierre con el descargo de SDQ Consulting.</w:t>
      </w:r>
      <w:r>
        <w:rPr>
          <w:rFonts w:ascii="Inter" w:hAnsi="Inter" w:cs="Inter" w:eastAsia="Inter"/>
          <w:b w:val="0"/>
          <w:i w:val="0"/>
          <w:color w:val="43506B"/>
          <w:sz w:val="19"/>
        </w:rPr>
      </w:r>
    </w:p>
    <w:p>
      <w:r>
        <w:br w:type="page"/>
      </w:r>
    </w:p>
    <w:p>
      <w:pPr>
        <w:spacing w:before="40" w:after="20"/>
      </w:pPr>
      <w:r>
        <w:rPr>
          <w:rFonts w:ascii="JetBrains Mono" w:hAnsi="JetBrains Mono" w:cs="JetBrains Mono" w:eastAsia="JetBrains Mono"/>
          <w:b/>
          <w:i w:val="0"/>
          <w:color w:val="1E6FFF"/>
          <w:spacing w:val="26"/>
          <w:sz w:val="15"/>
        </w:rPr>
        <w:t>§5 · EL RESTO DEL PRODUCTO</w:t>
      </w:r>
    </w:p>
    <w:p>
      <w:pPr>
        <w:keepNext/>
        <w:spacing w:before="0" w:after="60"/>
      </w:pPr>
      <w:r>
        <w:rPr>
          <w:rFonts w:ascii="Plus Jakarta Sans" w:hAnsi="Plus Jakarta Sans" w:cs="Plus Jakarta Sans" w:eastAsia="Plus Jakarta Sans"/>
          <w:b/>
          <w:i w:val="0"/>
          <w:color w:val="0A1A3A"/>
          <w:spacing w:val="-12"/>
          <w:sz w:val="38"/>
        </w:rPr>
        <w:t>Capacidades transversales</w:t>
      </w:r>
    </w:p>
    <w:p>
      <w:pPr>
        <w:pBdr>
          <w:bottom w:val="single" w:sz="10" w:space="1" w:color="1E6FFF"/>
        </w:pBdr>
        <w:spacing w:before="20" w:after="200"/>
      </w:pPr>
    </w:p>
    <w:p>
      <w:pPr>
        <w:spacing w:after="120" w:before="0"/>
      </w:pPr>
      <w:r>
        <w:rPr>
          <w:rFonts w:ascii="Inter" w:hAnsi="Inter" w:cs="Inter" w:eastAsia="Inter"/>
          <w:b w:val="0"/>
          <w:i w:val="0"/>
          <w:color w:val="43506B"/>
          <w:sz w:val="19"/>
        </w:rPr>
        <w:t>Los ejes son la materia; esto es la maquinaria. Buena parte del valor —y del argumento de defensa competitiva— vive acá, y suele quedar fuera de los materiales de venta por ser invisible. No debería.</w:t>
      </w:r>
    </w:p>
    <w:p>
      <w:pPr>
        <w:keepNext/>
        <w:spacing w:before="260" w:after="60"/>
      </w:pPr>
      <w:r>
        <w:rPr>
          <w:rFonts w:ascii="Plus Jakarta Sans" w:hAnsi="Plus Jakarta Sans" w:cs="Plus Jakarta Sans" w:eastAsia="Plus Jakarta Sans"/>
          <w:b/>
          <w:i w:val="0"/>
          <w:color w:val="0A1A3A"/>
          <w:spacing w:val="-8"/>
          <w:sz w:val="25"/>
        </w:rPr>
        <w:t>5.1 Cerebro de Insights — la narrativa con guardas</w:t>
      </w:r>
    </w:p>
    <w:p>
      <w:pPr>
        <w:spacing w:after="120" w:before="0"/>
      </w:pPr>
      <w:r>
        <w:rPr>
          <w:rFonts w:ascii="Inter" w:hAnsi="Inter" w:cs="Inter" w:eastAsia="Inter"/>
          <w:b w:val="0"/>
          <w:i w:val="0"/>
          <w:color w:val="43506B"/>
          <w:sz w:val="19"/>
        </w:rPr>
        <w:t>La lectura de analista la escribe un modelo de lenguaje, pero circunscrito. El sistema le pasa la identidad de la casa, la doctrina del eje, el estándar epistémico y el marco de audiencia; y después verifica lo que escribió.</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Guardrail numérico: </w:t>
      </w:r>
      <w:r>
        <w:rPr>
          <w:rFonts w:ascii="Inter" w:hAnsi="Inter" w:cs="Inter" w:eastAsia="Inter"/>
          <w:b w:val="0"/>
          <w:i w:val="0"/>
          <w:color w:val="43506B"/>
          <w:sz w:val="19"/>
        </w:rPr>
        <w:t>recomputa toda cifra antes de publicar y elimina la que no sea trazable.</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Regla del sujeto: </w:t>
      </w:r>
      <w:r>
        <w:rPr>
          <w:rFonts w:ascii="Inter" w:hAnsi="Inter" w:cs="Inter" w:eastAsia="Inter"/>
          <w:b w:val="0"/>
          <w:i w:val="0"/>
          <w:color w:val="43506B"/>
          <w:sz w:val="19"/>
        </w:rPr>
        <w:t>toda clave de cuota o concentración nombra su población. Nació de un error real —se publicó «cuatro compañías concentran el 87,1%» cuando eran cuatro ramos— y hoy la vigila un test.</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Relaciones computadas: </w:t>
      </w:r>
      <w:r>
        <w:rPr>
          <w:rFonts w:ascii="Inter" w:hAnsi="Inter" w:cs="Inter" w:eastAsia="Inter"/>
          <w:b w:val="0"/>
          <w:i w:val="0"/>
          <w:color w:val="43506B"/>
          <w:sz w:val="19"/>
        </w:rPr>
        <w:t>dirección, deltas, superlativos y posiciones se calculan en código; el modelo los copia.</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Universo comparable: </w:t>
      </w:r>
      <w:r>
        <w:rPr>
          <w:rFonts w:ascii="Inter" w:hAnsi="Inter" w:cs="Inter" w:eastAsia="Inter"/>
          <w:b w:val="0"/>
          <w:i w:val="0"/>
          <w:color w:val="43506B"/>
          <w:sz w:val="19"/>
        </w:rPr>
        <w:t>un score parcial no rankea contra uno completo, ni en el contexto del modelo ni en la tabla renderizada.</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Marcos de audiencia: </w:t>
      </w:r>
      <w:r>
        <w:rPr>
          <w:rFonts w:ascii="Inter" w:hAnsi="Inter" w:cs="Inter" w:eastAsia="Inter"/>
          <w:b w:val="0"/>
          <w:i w:val="0"/>
          <w:color w:val="43506B"/>
          <w:sz w:val="19"/>
        </w:rPr>
        <w:t>el mismo hallazgo se redacta distinto para un inversionista, un gobierno, una empresa o un multilateral.</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Tres idiomas: </w:t>
      </w:r>
      <w:r>
        <w:rPr>
          <w:rFonts w:ascii="Inter" w:hAnsi="Inter" w:cs="Inter" w:eastAsia="Inter"/>
          <w:b w:val="0"/>
          <w:i w:val="0"/>
          <w:color w:val="43506B"/>
          <w:sz w:val="19"/>
        </w:rPr>
        <w:t>español, inglés y francés.</w:t>
      </w:r>
    </w:p>
    <w:p>
      <w:pPr>
        <w:keepNext/>
        <w:spacing w:before="260" w:after="60"/>
      </w:pPr>
      <w:r>
        <w:rPr>
          <w:rFonts w:ascii="Plus Jakarta Sans" w:hAnsi="Plus Jakarta Sans" w:cs="Plus Jakarta Sans" w:eastAsia="Plus Jakarta Sans"/>
          <w:b/>
          <w:i w:val="0"/>
          <w:color w:val="0A1A3A"/>
          <w:spacing w:val="-8"/>
          <w:sz w:val="25"/>
        </w:rPr>
        <w:t>5.2 Alertas accionables — el producto de flujo</w:t>
      </w:r>
    </w:p>
    <w:p>
      <w:pPr>
        <w:spacing w:after="120" w:before="0"/>
      </w:pPr>
      <w:r>
        <w:rPr>
          <w:rFonts w:ascii="Inter" w:hAnsi="Inter" w:cs="Inter" w:eastAsia="Inter"/>
          <w:b w:val="0"/>
          <w:i w:val="0"/>
          <w:color w:val="43506B"/>
          <w:sz w:val="19"/>
        </w:rPr>
        <w:t>La categoría que convierte la plataforma de consulta en suscripción. No es un monitor de documentos: es el aviso de que una cifra que el cliente eligió vigilar cambió de manera que importa.</w:t>
      </w:r>
    </w:p>
    <w:p>
      <w:pPr>
        <w:spacing w:after="120" w:before="0"/>
      </w:pPr>
      <w:r>
        <w:rPr>
          <w:rFonts w:ascii="Inter" w:hAnsi="Inter" w:cs="Inter" w:eastAsia="Inter"/>
          <w:b w:val="0"/>
          <w:i w:val="0"/>
          <w:color w:val="43506B"/>
          <w:sz w:val="19"/>
        </w:rPr>
        <w:t>Seis disparadores: cruce de umbral declarado, cambio de banda, movimiento en el ranking del universo comparable, pérdida (o recuperación) del dato que sostenía una dimensión, orfandad del insumo de una credencial de validación, y edición nueva de una fuente recurrente.</w:t>
      </w:r>
    </w:p>
    <w:p>
      <w:pPr>
        <w:spacing w:after="120" w:before="0"/>
      </w:pPr>
      <w:r>
        <w:rPr>
          <w:rFonts w:ascii="Inter" w:hAnsi="Inter" w:cs="Inter" w:eastAsia="Inter"/>
          <w:b w:val="0"/>
          <w:i w:val="0"/>
          <w:color w:val="43506B"/>
          <w:sz w:val="19"/>
        </w:rPr>
        <w:t>Y —lo que la hace SDQ— seis vetos antes de entregar:</w:t>
      </w:r>
    </w:p>
    <w:tbl>
      <w:tblPr>
        <w:tblW w:type="auto" w:w="0"/>
        <w:jc w:val="left"/>
        <w:tblBorders>
          <w:top w:val="single" w:sz="4" w:space="0" w:color="E7ECF3"/>
          <w:left w:val="single" w:sz="4" w:space="0" w:color="E7ECF3"/>
          <w:bottom w:val="single" w:sz="4" w:space="0" w:color="E7ECF3"/>
          <w:right w:val="single" w:sz="4" w:space="0" w:color="E7ECF3"/>
          <w:insideH w:val="single" w:sz="4" w:space="0" w:color="E7ECF3"/>
          <w:insideV w:val="single" w:sz="4" w:space="0" w:color="E7ECF3"/>
        </w:tblBorders>
        <w:tblLayout w:type="fixed"/>
        <w:tblLook w:firstColumn="1" w:firstRow="1" w:lastColumn="0" w:lastRow="0" w:noHBand="0" w:noVBand="1" w:val="04A0"/>
      </w:tblPr>
      <w:tblGrid>
        <w:gridCol w:w="506"/>
        <w:gridCol w:w="1688"/>
        <w:gridCol w:w="7597"/>
      </w:tblGrid>
      <w:tr>
        <w:trPr>
          <w:tblHeader/>
        </w:trPr>
        <w:tc>
          <w:tcPr>
            <w:tcW w:type="dxa" w:w="506"/>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w:t>
            </w:r>
          </w:p>
        </w:tc>
        <w:tc>
          <w:tcPr>
            <w:tcW w:type="dxa" w:w="1688"/>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VETO</w:t>
            </w:r>
          </w:p>
        </w:tc>
        <w:tc>
          <w:tcPr>
            <w:tcW w:type="dxa" w:w="7597"/>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REGLA</w:t>
            </w:r>
          </w:p>
        </w:tc>
      </w:tr>
      <w:tr>
        <w:trPr>
          <w:cantSplit/>
        </w:trPr>
        <w:tc>
          <w:tcPr>
            <w:tcW w:type="dxa" w:w="506"/>
            <w:tcMar>
              <w:top w:w="60" w:type="dxa"/>
              <w:start w:w="100" w:type="dxa"/>
              <w:bottom w:w="60" w:type="dxa"/>
              <w:end w:w="100" w:type="dxa"/>
            </w:tcMar>
          </w:tcPr>
          <w:p>
            <w:pPr>
              <w:spacing w:after="0" w:line="276" w:lineRule="auto"/>
            </w:pPr>
            <w:r>
              <w:rPr>
                <w:rFonts w:ascii="Inter" w:hAnsi="Inter" w:cs="Inter" w:eastAsia="Inter"/>
                <w:b/>
                <w:i w:val="0"/>
                <w:color w:val="0A1A3A"/>
                <w:sz w:val="16"/>
              </w:rPr>
              <w:t>1</w:t>
            </w:r>
          </w:p>
        </w:tc>
        <w:tc>
          <w:tcPr>
            <w:tcW w:type="dxa" w:w="1688"/>
            <w:tcMar>
              <w:top w:w="60" w:type="dxa"/>
              <w:start w:w="100" w:type="dxa"/>
              <w:bottom w:w="60" w:type="dxa"/>
              <w:end w:w="100" w:type="dxa"/>
            </w:tcMar>
          </w:tcPr>
          <w:p>
            <w:pPr>
              <w:spacing w:after="0" w:line="276" w:lineRule="auto"/>
            </w:pPr>
            <w:r>
              <w:rPr>
                <w:rFonts w:ascii="Inter" w:hAnsi="Inter" w:cs="Inter" w:eastAsia="Inter"/>
                <w:b w:val="0"/>
                <w:i w:val="0"/>
                <w:color w:val="43506B"/>
                <w:sz w:val="16"/>
              </w:rPr>
              <w:t>Frescura</w:t>
            </w:r>
          </w:p>
        </w:tc>
        <w:tc>
          <w:tcPr>
            <w:tcW w:type="dxa" w:w="7597"/>
            <w:tcMar>
              <w:top w:w="60" w:type="dxa"/>
              <w:start w:w="100" w:type="dxa"/>
              <w:bottom w:w="60" w:type="dxa"/>
              <w:end w:w="100" w:type="dxa"/>
            </w:tcMar>
          </w:tcPr>
          <w:p>
            <w:pPr>
              <w:spacing w:after="0" w:line="276" w:lineRule="auto"/>
            </w:pPr>
            <w:r>
              <w:rPr>
                <w:rFonts w:ascii="Inter" w:hAnsi="Inter" w:cs="Inter" w:eastAsia="Inter"/>
                <w:b w:val="0"/>
                <w:i w:val="0"/>
                <w:color w:val="43506B"/>
                <w:sz w:val="16"/>
              </w:rPr>
              <w:t>Verificada vigente publica; obsoleta no; e indeterminada, tampoco.</w:t>
            </w:r>
          </w:p>
        </w:tc>
      </w:tr>
      <w:tr>
        <w:trPr>
          <w:cantSplit/>
        </w:trPr>
        <w:tc>
          <w:tcPr>
            <w:tcW w:type="dxa" w:w="506"/>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2</w:t>
            </w:r>
          </w:p>
        </w:tc>
        <w:tc>
          <w:tcPr>
            <w:tcW w:type="dxa" w:w="168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Brecha</w:t>
            </w:r>
          </w:p>
        </w:tc>
        <w:tc>
          <w:tcPr>
            <w:tcW w:type="dxa" w:w="7597"/>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Ninguna entrada ausente produce alerta; la ausencia usa su propio disparador.</w:t>
            </w:r>
          </w:p>
        </w:tc>
      </w:tr>
      <w:tr>
        <w:trPr>
          <w:cantSplit/>
        </w:trPr>
        <w:tc>
          <w:tcPr>
            <w:tcW w:type="dxa" w:w="506"/>
            <w:tcMar>
              <w:top w:w="60" w:type="dxa"/>
              <w:start w:w="100" w:type="dxa"/>
              <w:bottom w:w="60" w:type="dxa"/>
              <w:end w:w="100" w:type="dxa"/>
            </w:tcMar>
          </w:tcPr>
          <w:p>
            <w:pPr>
              <w:spacing w:after="0" w:line="276" w:lineRule="auto"/>
            </w:pPr>
            <w:r>
              <w:rPr>
                <w:rFonts w:ascii="Inter" w:hAnsi="Inter" w:cs="Inter" w:eastAsia="Inter"/>
                <w:b/>
                <w:i w:val="0"/>
                <w:color w:val="0A1A3A"/>
                <w:sz w:val="16"/>
              </w:rPr>
              <w:t>3</w:t>
            </w:r>
          </w:p>
        </w:tc>
        <w:tc>
          <w:tcPr>
            <w:tcW w:type="dxa" w:w="1688"/>
            <w:tcMar>
              <w:top w:w="60" w:type="dxa"/>
              <w:start w:w="100" w:type="dxa"/>
              <w:bottom w:w="60" w:type="dxa"/>
              <w:end w:w="100" w:type="dxa"/>
            </w:tcMar>
          </w:tcPr>
          <w:p>
            <w:pPr>
              <w:spacing w:after="0" w:line="276" w:lineRule="auto"/>
            </w:pPr>
            <w:r>
              <w:rPr>
                <w:rFonts w:ascii="Inter" w:hAnsi="Inter" w:cs="Inter" w:eastAsia="Inter"/>
                <w:b w:val="0"/>
                <w:i w:val="0"/>
                <w:color w:val="43506B"/>
                <w:sz w:val="16"/>
              </w:rPr>
              <w:t>Comparabilidad</w:t>
            </w:r>
          </w:p>
        </w:tc>
        <w:tc>
          <w:tcPr>
            <w:tcW w:type="dxa" w:w="7597"/>
            <w:tcMar>
              <w:top w:w="60" w:type="dxa"/>
              <w:start w:w="100" w:type="dxa"/>
              <w:bottom w:w="60" w:type="dxa"/>
              <w:end w:w="100" w:type="dxa"/>
            </w:tcMar>
          </w:tcPr>
          <w:p>
            <w:pPr>
              <w:spacing w:after="0" w:line="276" w:lineRule="auto"/>
            </w:pPr>
            <w:r>
              <w:rPr>
                <w:rFonts w:ascii="Inter" w:hAnsi="Inter" w:cs="Inter" w:eastAsia="Inter"/>
                <w:b w:val="0"/>
                <w:i w:val="0"/>
                <w:color w:val="43506B"/>
                <w:sz w:val="16"/>
              </w:rPr>
              <w:t>Rankings y superlativos solo dentro del universo comparable.</w:t>
            </w:r>
          </w:p>
        </w:tc>
      </w:tr>
      <w:tr>
        <w:trPr>
          <w:cantSplit/>
        </w:trPr>
        <w:tc>
          <w:tcPr>
            <w:tcW w:type="dxa" w:w="506"/>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4</w:t>
            </w:r>
          </w:p>
        </w:tc>
        <w:tc>
          <w:tcPr>
            <w:tcW w:type="dxa" w:w="168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Sujeto</w:t>
            </w:r>
          </w:p>
        </w:tc>
        <w:tc>
          <w:tcPr>
            <w:tcW w:type="dxa" w:w="7597"/>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Toda cuota o concentración nombra su población en el texto.</w:t>
            </w:r>
          </w:p>
        </w:tc>
      </w:tr>
      <w:tr>
        <w:trPr>
          <w:cantSplit/>
        </w:trPr>
        <w:tc>
          <w:tcPr>
            <w:tcW w:type="dxa" w:w="506"/>
            <w:tcMar>
              <w:top w:w="60" w:type="dxa"/>
              <w:start w:w="100" w:type="dxa"/>
              <w:bottom w:w="60" w:type="dxa"/>
              <w:end w:w="100" w:type="dxa"/>
            </w:tcMar>
          </w:tcPr>
          <w:p>
            <w:pPr>
              <w:spacing w:after="0" w:line="276" w:lineRule="auto"/>
            </w:pPr>
            <w:r>
              <w:rPr>
                <w:rFonts w:ascii="Inter" w:hAnsi="Inter" w:cs="Inter" w:eastAsia="Inter"/>
                <w:b/>
                <w:i w:val="0"/>
                <w:color w:val="0A1A3A"/>
                <w:sz w:val="16"/>
              </w:rPr>
              <w:t>5</w:t>
            </w:r>
          </w:p>
        </w:tc>
        <w:tc>
          <w:tcPr>
            <w:tcW w:type="dxa" w:w="1688"/>
            <w:tcMar>
              <w:top w:w="60" w:type="dxa"/>
              <w:start w:w="100" w:type="dxa"/>
              <w:bottom w:w="60" w:type="dxa"/>
              <w:end w:w="100" w:type="dxa"/>
            </w:tcMar>
          </w:tcPr>
          <w:p>
            <w:pPr>
              <w:spacing w:after="0" w:line="276" w:lineRule="auto"/>
            </w:pPr>
            <w:r>
              <w:rPr>
                <w:rFonts w:ascii="Inter" w:hAnsi="Inter" w:cs="Inter" w:eastAsia="Inter"/>
                <w:b w:val="0"/>
                <w:i w:val="0"/>
                <w:color w:val="43506B"/>
                <w:sz w:val="16"/>
              </w:rPr>
              <w:t>Relación</w:t>
            </w:r>
          </w:p>
        </w:tc>
        <w:tc>
          <w:tcPr>
            <w:tcW w:type="dxa" w:w="7597"/>
            <w:tcMar>
              <w:top w:w="60" w:type="dxa"/>
              <w:start w:w="100" w:type="dxa"/>
              <w:bottom w:w="60" w:type="dxa"/>
              <w:end w:w="100" w:type="dxa"/>
            </w:tcMar>
          </w:tcPr>
          <w:p>
            <w:pPr>
              <w:spacing w:after="0" w:line="276" w:lineRule="auto"/>
            </w:pPr>
            <w:r>
              <w:rPr>
                <w:rFonts w:ascii="Inter" w:hAnsi="Inter" w:cs="Inter" w:eastAsia="Inter"/>
                <w:b w:val="0"/>
                <w:i w:val="0"/>
                <w:color w:val="43506B"/>
                <w:sz w:val="16"/>
              </w:rPr>
              <w:t>Dirección, delta y posición vienen del cómputo, no de la prosa.</w:t>
            </w:r>
          </w:p>
        </w:tc>
      </w:tr>
      <w:tr>
        <w:trPr>
          <w:cantSplit/>
        </w:trPr>
        <w:tc>
          <w:tcPr>
            <w:tcW w:type="dxa" w:w="506"/>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6</w:t>
            </w:r>
          </w:p>
        </w:tc>
        <w:tc>
          <w:tcPr>
            <w:tcW w:type="dxa" w:w="168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Vocabulario</w:t>
            </w:r>
          </w:p>
        </w:tc>
        <w:tc>
          <w:tcPr>
            <w:tcW w:type="dxa" w:w="7597"/>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Nada de «predice», «probabilidad de» ni «riesgo de quiebra».</w:t>
            </w:r>
          </w:p>
        </w:tc>
      </w:tr>
    </w:tbl>
    <w:p>
      <w:pPr>
        <w:spacing w:after="120" w:before="0"/>
      </w:pPr>
    </w:p>
    <w:p>
      <w:pPr>
        <w:spacing w:after="120" w:before="0"/>
      </w:pPr>
      <w:r>
        <w:rPr>
          <w:rFonts w:ascii="Inter" w:hAnsi="Inter" w:cs="Inter" w:eastAsia="Inter"/>
          <w:b w:val="0"/>
          <w:i w:val="0"/>
          <w:color w:val="43506B"/>
          <w:sz w:val="19"/>
        </w:rPr>
        <w:t>Lo vetado se lista, no desaparece: la bandeja del cliente dice «3 señales retenidas por frescura del dato». Un veto silencioso se leería como que no pasó nada. Canales: en la aplicación, correo y webhook firmado (HMAC-SHA256, con autodesactivación tras fallos repetidos).</w:t>
      </w:r>
    </w:p>
    <w:p>
      <w:pPr>
        <w:keepNext/>
        <w:spacing w:before="260" w:after="60"/>
      </w:pPr>
      <w:r>
        <w:rPr>
          <w:rFonts w:ascii="Plus Jakarta Sans" w:hAnsi="Plus Jakarta Sans" w:cs="Plus Jakarta Sans" w:eastAsia="Plus Jakarta Sans"/>
          <w:b/>
          <w:i w:val="0"/>
          <w:color w:val="0A1A3A"/>
          <w:spacing w:val="-8"/>
          <w:sz w:val="25"/>
        </w:rPr>
        <w:t>5.3 SDQ Data API — el canal máquina a máquina</w:t>
      </w:r>
    </w:p>
    <w:p>
      <w:pPr>
        <w:spacing w:after="120" w:before="0"/>
      </w:pPr>
      <w:r>
        <w:rPr>
          <w:rFonts w:ascii="Inter" w:hAnsi="Inter" w:cs="Inter" w:eastAsia="Inter"/>
          <w:b w:val="0"/>
          <w:i w:val="0"/>
          <w:color w:val="43506B"/>
          <w:sz w:val="19"/>
        </w:rPr>
        <w:t>Para que un cliente incorpore los activos de SDQ a sus propios modelos de riesgo, tableros y comités. No es un espejo del dato público: eso ya lo publican las fuentes y no es un producto.</w:t>
      </w:r>
    </w:p>
    <w:tbl>
      <w:tblPr>
        <w:tblW w:type="auto" w:w="0"/>
        <w:jc w:val="left"/>
        <w:tblBorders>
          <w:top w:val="single" w:sz="4" w:space="0" w:color="E7ECF3"/>
          <w:left w:val="single" w:sz="4" w:space="0" w:color="E7ECF3"/>
          <w:bottom w:val="single" w:sz="4" w:space="0" w:color="E7ECF3"/>
          <w:right w:val="single" w:sz="4" w:space="0" w:color="E7ECF3"/>
          <w:insideH w:val="single" w:sz="4" w:space="0" w:color="E7ECF3"/>
          <w:insideV w:val="single" w:sz="4" w:space="0" w:color="E7ECF3"/>
        </w:tblBorders>
        <w:tblLayout w:type="fixed"/>
        <w:tblLook w:firstColumn="1" w:firstRow="1" w:lastColumn="0" w:lastRow="0" w:noHBand="0" w:noVBand="1" w:val="04A0"/>
      </w:tblPr>
      <w:tblGrid>
        <w:gridCol w:w="2532"/>
        <w:gridCol w:w="7259"/>
      </w:tblGrid>
      <w:tr>
        <w:trPr>
          <w:tblHeader/>
        </w:trPr>
        <w:tc>
          <w:tcPr>
            <w:tcW w:type="dxa" w:w="2532"/>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ENDPOINT</w:t>
            </w:r>
          </w:p>
        </w:tc>
        <w:tc>
          <w:tcPr>
            <w:tcW w:type="dxa" w:w="7260"/>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QUÉ SIRVE</w:t>
            </w:r>
          </w:p>
        </w:tc>
      </w:tr>
      <w:tr>
        <w:trPr>
          <w:cantSplit/>
        </w:trPr>
        <w:tc>
          <w:tcPr>
            <w:tcW w:type="dxa" w:w="2532"/>
            <w:tcMar>
              <w:top w:w="60" w:type="dxa"/>
              <w:start w:w="100" w:type="dxa"/>
              <w:bottom w:w="60" w:type="dxa"/>
              <w:end w:w="100" w:type="dxa"/>
            </w:tcMar>
          </w:tcPr>
          <w:p>
            <w:pPr>
              <w:spacing w:after="0" w:line="276" w:lineRule="auto"/>
            </w:pPr>
            <w:r>
              <w:rPr>
                <w:rFonts w:ascii="JetBrains Mono" w:hAnsi="JetBrains Mono" w:cs="JetBrains Mono" w:eastAsia="JetBrains Mono"/>
                <w:b/>
                <w:i w:val="0"/>
                <w:color w:val="0A1A3A"/>
                <w:sz w:val="16"/>
              </w:rPr>
              <w:t>GET /catalog</w:t>
            </w:r>
          </w:p>
        </w:tc>
        <w:tc>
          <w:tcPr>
            <w:tcW w:type="dxa" w:w="7260"/>
            <w:tcMar>
              <w:top w:w="60" w:type="dxa"/>
              <w:start w:w="100" w:type="dxa"/>
              <w:bottom w:w="60" w:type="dxa"/>
              <w:end w:w="100" w:type="dxa"/>
            </w:tcMar>
          </w:tcPr>
          <w:p>
            <w:pPr>
              <w:spacing w:after="0" w:line="276" w:lineRule="auto"/>
            </w:pPr>
            <w:r>
              <w:rPr>
                <w:rFonts w:ascii="Inter" w:hAnsi="Inter" w:cs="Inter" w:eastAsia="Inter"/>
                <w:b w:val="0"/>
                <w:i w:val="0"/>
                <w:color w:val="43506B"/>
                <w:sz w:val="16"/>
              </w:rPr>
              <w:t>Manifiesto de exposición, auto-extensible.</w:t>
            </w:r>
          </w:p>
        </w:tc>
      </w:tr>
      <w:tr>
        <w:trPr>
          <w:cantSplit/>
        </w:trPr>
        <w:tc>
          <w:tcPr>
            <w:tcW w:type="dxa" w:w="2532"/>
            <w:shd w:val="clear" w:color="auto" w:fill="F5F8FC"/>
            <w:tcMar>
              <w:top w:w="60" w:type="dxa"/>
              <w:start w:w="100" w:type="dxa"/>
              <w:bottom w:w="60" w:type="dxa"/>
              <w:end w:w="100" w:type="dxa"/>
            </w:tcMar>
          </w:tcPr>
          <w:p>
            <w:pPr>
              <w:spacing w:after="0" w:line="276" w:lineRule="auto"/>
            </w:pPr>
            <w:r>
              <w:rPr>
                <w:rFonts w:ascii="JetBrains Mono" w:hAnsi="JetBrains Mono" w:cs="JetBrains Mono" w:eastAsia="JetBrains Mono"/>
                <w:b/>
                <w:i w:val="0"/>
                <w:color w:val="0A1A3A"/>
                <w:sz w:val="16"/>
              </w:rPr>
              <w:t>GET /catalog/changes</w:t>
            </w:r>
          </w:p>
        </w:tc>
        <w:tc>
          <w:tcPr>
            <w:tcW w:type="dxa" w:w="7260"/>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Qué cambió desde el último corte.</w:t>
            </w:r>
          </w:p>
        </w:tc>
      </w:tr>
      <w:tr>
        <w:trPr>
          <w:cantSplit/>
        </w:trPr>
        <w:tc>
          <w:tcPr>
            <w:tcW w:type="dxa" w:w="2532"/>
            <w:tcMar>
              <w:top w:w="60" w:type="dxa"/>
              <w:start w:w="100" w:type="dxa"/>
              <w:bottom w:w="60" w:type="dxa"/>
              <w:end w:w="100" w:type="dxa"/>
            </w:tcMar>
          </w:tcPr>
          <w:p>
            <w:pPr>
              <w:spacing w:after="0" w:line="276" w:lineRule="auto"/>
            </w:pPr>
            <w:r>
              <w:rPr>
                <w:rFonts w:ascii="JetBrains Mono" w:hAnsi="JetBrains Mono" w:cs="JetBrains Mono" w:eastAsia="JetBrains Mono"/>
                <w:b/>
                <w:i w:val="0"/>
                <w:color w:val="0A1A3A"/>
                <w:sz w:val="16"/>
              </w:rPr>
              <w:t>GET /series</w:t>
            </w:r>
          </w:p>
        </w:tc>
        <w:tc>
          <w:tcPr>
            <w:tcW w:type="dxa" w:w="7260"/>
            <w:tcMar>
              <w:top w:w="60" w:type="dxa"/>
              <w:start w:w="100" w:type="dxa"/>
              <w:bottom w:w="60" w:type="dxa"/>
              <w:end w:w="100" w:type="dxa"/>
            </w:tcMar>
          </w:tcPr>
          <w:p>
            <w:pPr>
              <w:spacing w:after="0" w:line="276" w:lineRule="auto"/>
            </w:pPr>
            <w:r>
              <w:rPr>
                <w:rFonts w:ascii="Inter" w:hAnsi="Inter" w:cs="Inter" w:eastAsia="Inter"/>
                <w:b w:val="0"/>
                <w:i w:val="0"/>
                <w:color w:val="43506B"/>
                <w:sz w:val="16"/>
              </w:rPr>
              <w:t>Series canónicas normalizadas con período, unidad, frecuencia y linaje.</w:t>
            </w:r>
          </w:p>
        </w:tc>
      </w:tr>
      <w:tr>
        <w:trPr>
          <w:cantSplit/>
        </w:trPr>
        <w:tc>
          <w:tcPr>
            <w:tcW w:type="dxa" w:w="2532"/>
            <w:shd w:val="clear" w:color="auto" w:fill="F5F8FC"/>
            <w:tcMar>
              <w:top w:w="60" w:type="dxa"/>
              <w:start w:w="100" w:type="dxa"/>
              <w:bottom w:w="60" w:type="dxa"/>
              <w:end w:w="100" w:type="dxa"/>
            </w:tcMar>
          </w:tcPr>
          <w:p>
            <w:pPr>
              <w:spacing w:after="0" w:line="276" w:lineRule="auto"/>
            </w:pPr>
            <w:r>
              <w:rPr>
                <w:rFonts w:ascii="JetBrains Mono" w:hAnsi="JetBrains Mono" w:cs="JetBrains Mono" w:eastAsia="JetBrains Mono"/>
                <w:b/>
                <w:i w:val="0"/>
                <w:color w:val="0A1A3A"/>
                <w:sz w:val="16"/>
              </w:rPr>
              <w:t>GET /scores/{sector}</w:t>
            </w:r>
          </w:p>
        </w:tc>
        <w:tc>
          <w:tcPr>
            <w:tcW w:type="dxa" w:w="7260"/>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Desglose dimensional numérico del score. Jamás narrativa.</w:t>
            </w:r>
          </w:p>
        </w:tc>
      </w:tr>
      <w:tr>
        <w:trPr>
          <w:cantSplit/>
        </w:trPr>
        <w:tc>
          <w:tcPr>
            <w:tcW w:type="dxa" w:w="2532"/>
            <w:tcMar>
              <w:top w:w="60" w:type="dxa"/>
              <w:start w:w="100" w:type="dxa"/>
              <w:bottom w:w="60" w:type="dxa"/>
              <w:end w:w="100" w:type="dxa"/>
            </w:tcMar>
          </w:tcPr>
          <w:p>
            <w:pPr>
              <w:spacing w:after="0" w:line="276" w:lineRule="auto"/>
            </w:pPr>
            <w:r>
              <w:rPr>
                <w:rFonts w:ascii="JetBrains Mono" w:hAnsi="JetBrains Mono" w:cs="JetBrains Mono" w:eastAsia="JetBrains Mono"/>
                <w:b/>
                <w:i w:val="0"/>
                <w:color w:val="0A1A3A"/>
                <w:sz w:val="16"/>
              </w:rPr>
              <w:t>GET /signals/{sector}</w:t>
            </w:r>
          </w:p>
        </w:tc>
        <w:tc>
          <w:tcPr>
            <w:tcW w:type="dxa" w:w="7260"/>
            <w:tcMar>
              <w:top w:w="60" w:type="dxa"/>
              <w:start w:w="100" w:type="dxa"/>
              <w:bottom w:w="60" w:type="dxa"/>
              <w:end w:w="100" w:type="dxa"/>
            </w:tcMar>
          </w:tcPr>
          <w:p>
            <w:pPr>
              <w:spacing w:after="0" w:line="276" w:lineRule="auto"/>
            </w:pPr>
            <w:r>
              <w:rPr>
                <w:rFonts w:ascii="Inter" w:hAnsi="Inter" w:cs="Inter" w:eastAsia="Inter"/>
                <w:b w:val="0"/>
                <w:i w:val="0"/>
                <w:color w:val="43506B"/>
                <w:sz w:val="16"/>
              </w:rPr>
              <w:t>Señales del motor determinista.</w:t>
            </w:r>
          </w:p>
        </w:tc>
      </w:tr>
      <w:tr>
        <w:trPr>
          <w:cantSplit/>
        </w:trPr>
        <w:tc>
          <w:tcPr>
            <w:tcW w:type="dxa" w:w="2532"/>
            <w:shd w:val="clear" w:color="auto" w:fill="F5F8FC"/>
            <w:tcMar>
              <w:top w:w="60" w:type="dxa"/>
              <w:start w:w="100" w:type="dxa"/>
              <w:bottom w:w="60" w:type="dxa"/>
              <w:end w:w="100" w:type="dxa"/>
            </w:tcMar>
          </w:tcPr>
          <w:p>
            <w:pPr>
              <w:spacing w:after="0" w:line="276" w:lineRule="auto"/>
            </w:pPr>
            <w:r>
              <w:rPr>
                <w:rFonts w:ascii="JetBrains Mono" w:hAnsi="JetBrains Mono" w:cs="JetBrains Mono" w:eastAsia="JetBrains Mono"/>
                <w:b/>
                <w:i w:val="0"/>
                <w:color w:val="0A1A3A"/>
                <w:sz w:val="16"/>
              </w:rPr>
              <w:t>GET /quality/{sector}</w:t>
            </w:r>
          </w:p>
        </w:tc>
        <w:tc>
          <w:tcPr>
            <w:tcW w:type="dxa" w:w="7260"/>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El registro de honestidad servido al cliente.</w:t>
            </w:r>
          </w:p>
        </w:tc>
      </w:tr>
      <w:tr>
        <w:trPr>
          <w:cantSplit/>
        </w:trPr>
        <w:tc>
          <w:tcPr>
            <w:tcW w:type="dxa" w:w="2532"/>
            <w:tcMar>
              <w:top w:w="60" w:type="dxa"/>
              <w:start w:w="100" w:type="dxa"/>
              <w:bottom w:w="60" w:type="dxa"/>
              <w:end w:w="100" w:type="dxa"/>
            </w:tcMar>
          </w:tcPr>
          <w:p>
            <w:pPr>
              <w:spacing w:after="0" w:line="276" w:lineRule="auto"/>
            </w:pPr>
            <w:r>
              <w:rPr>
                <w:rFonts w:ascii="JetBrains Mono" w:hAnsi="JetBrains Mono" w:cs="JetBrains Mono" w:eastAsia="JetBrains Mono"/>
                <w:b/>
                <w:i w:val="0"/>
                <w:color w:val="0A1A3A"/>
                <w:sz w:val="16"/>
              </w:rPr>
              <w:t>GET /forecasts/{sector}</w:t>
            </w:r>
          </w:p>
        </w:tc>
        <w:tc>
          <w:tcPr>
            <w:tcW w:type="dxa" w:w="7260"/>
            <w:tcMar>
              <w:top w:w="60" w:type="dxa"/>
              <w:start w:w="100" w:type="dxa"/>
              <w:bottom w:w="60" w:type="dxa"/>
              <w:end w:w="100" w:type="dxa"/>
            </w:tcMar>
          </w:tcPr>
          <w:p>
            <w:pPr>
              <w:spacing w:after="0" w:line="276" w:lineRule="auto"/>
            </w:pPr>
            <w:r>
              <w:rPr>
                <w:rFonts w:ascii="Inter" w:hAnsi="Inter" w:cs="Inter" w:eastAsia="Inter"/>
                <w:b w:val="0"/>
                <w:i w:val="0"/>
                <w:color w:val="43506B"/>
                <w:sz w:val="16"/>
              </w:rPr>
              <w:t>Pronósticos donde el eje los produce.</w:t>
            </w:r>
          </w:p>
        </w:tc>
      </w:tr>
    </w:tbl>
    <w:p>
      <w:pPr>
        <w:spacing w:after="120" w:before="0"/>
      </w:pPr>
    </w:p>
    <w:p>
      <w:pPr>
        <w:spacing w:after="120" w:before="0"/>
      </w:pPr>
      <w:r>
        <w:rPr>
          <w:rFonts w:ascii="Inter" w:hAnsi="Inter" w:cs="Inter" w:eastAsia="Inter"/>
          <w:b w:val="0"/>
          <w:i w:val="0"/>
          <w:color w:val="43506B"/>
          <w:sz w:val="19"/>
        </w:rPr>
        <w:t>Cuatro exclusiones, y solo esas: el payload crudo del conector, la narrativa completa del informe (servirla por API canibalizaría el producto de reporte), el núcleo de propiedad intelectual —prompts, doctrina, pesos del modelo entrenado, rúbricas internas— y todo activo cuya licencia de origen no conste. Las llaves tienen cuota y bitácora de uso.</w:t>
      </w:r>
    </w:p>
    <w:p>
      <w:pPr>
        <w:keepNext/>
        <w:spacing w:before="260" w:after="60"/>
      </w:pPr>
      <w:r>
        <w:rPr>
          <w:rFonts w:ascii="Plus Jakarta Sans" w:hAnsi="Plus Jakarta Sans" w:cs="Plus Jakarta Sans" w:eastAsia="Plus Jakarta Sans"/>
          <w:b/>
          <w:i w:val="0"/>
          <w:color w:val="0A1A3A"/>
          <w:spacing w:val="-8"/>
          <w:sz w:val="25"/>
        </w:rPr>
        <w:t>5.4 Research a Medida — la pregunta libre</w:t>
      </w:r>
    </w:p>
    <w:p>
      <w:pPr>
        <w:spacing w:after="120" w:before="0"/>
      </w:pPr>
      <w:r>
        <w:rPr>
          <w:rFonts w:ascii="Inter" w:hAnsi="Inter" w:cs="Inter" w:eastAsia="Inter"/>
          <w:b w:val="0"/>
          <w:i w:val="0"/>
          <w:color w:val="43506B"/>
          <w:sz w:val="19"/>
        </w:rPr>
        <w:t>El comprador escribe una pregunta en lenguaje natural en vez de elegir una plantilla. El motor resuelve qué ejes y qué entidad nombra, trae el resultado ya computado de esos motores, descompone la pregunta en sub-preguntas con metodología y procedencia, y escribe la respuesta usando SOLO ese dato. Lo que ningún motor computa —una proyección a futuro— se declara brecha, no se rellena. Es el ancla de precio más alta del catálogo.</w:t>
      </w:r>
    </w:p>
    <w:p>
      <w:pPr>
        <w:keepNext/>
        <w:spacing w:before="260" w:after="60"/>
      </w:pPr>
      <w:r>
        <w:rPr>
          <w:rFonts w:ascii="Plus Jakarta Sans" w:hAnsi="Plus Jakarta Sans" w:cs="Plus Jakarta Sans" w:eastAsia="Plus Jakarta Sans"/>
          <w:b/>
          <w:i w:val="0"/>
          <w:color w:val="0A1A3A"/>
          <w:spacing w:val="-8"/>
          <w:sz w:val="25"/>
        </w:rPr>
        <w:t>5.5 Deal Scoring</w:t>
      </w:r>
    </w:p>
    <w:p>
      <w:pPr>
        <w:spacing w:after="120" w:before="0"/>
      </w:pPr>
      <w:r>
        <w:rPr>
          <w:rFonts w:ascii="Inter" w:hAnsi="Inter" w:cs="Inter" w:eastAsia="Inter"/>
          <w:b w:val="0"/>
          <w:i w:val="0"/>
          <w:color w:val="43506B"/>
          <w:sz w:val="19"/>
        </w:rPr>
        <w:t>Índice de atractivo de una operación concreta, sobre una rúbrica de siete ejes anclada a los índices reales de la plataforma: el atractivo del sector alimenta la validación de mercado, el riesgo país alimenta la preparación regulatoria y la resiliencia climática alimenta el factor de clima. Se auto-rotula como rúbrica declarada, no como modelo entrenado.</w:t>
      </w:r>
    </w:p>
    <w:p>
      <w:pPr>
        <w:keepNext/>
        <w:spacing w:before="260" w:after="60"/>
      </w:pPr>
      <w:r>
        <w:rPr>
          <w:rFonts w:ascii="Plus Jakarta Sans" w:hAnsi="Plus Jakarta Sans" w:cs="Plus Jakarta Sans" w:eastAsia="Plus Jakarta Sans"/>
          <w:b/>
          <w:i w:val="0"/>
          <w:color w:val="0A1A3A"/>
          <w:spacing w:val="-8"/>
          <w:sz w:val="25"/>
        </w:rPr>
        <w:t>5.6 Contexto de Marca (Brand Intel)</w:t>
      </w:r>
    </w:p>
    <w:p>
      <w:pPr>
        <w:spacing w:after="120" w:before="0"/>
      </w:pPr>
      <w:r>
        <w:rPr>
          <w:rFonts w:ascii="Inter" w:hAnsi="Inter" w:cs="Inter" w:eastAsia="Inter"/>
          <w:b w:val="0"/>
          <w:i w:val="0"/>
          <w:color w:val="43506B"/>
          <w:sz w:val="19"/>
        </w:rPr>
        <w:t>El único módulo con datos privados de cliente: cada encargo está aislado por identificador y esa frontera se impone en la capa de datos, no se confía al que llama. Motores de atribución, categoría, deflactación, embudo, segmentos, significancia estadística, pronóstico, escenarios y vigilancia. Donde falta un insumo, el resultado es ausencia con motivo declarado — que es lo que permite distinguir «no hubo movimiento» de «no se midió».</w:t>
      </w:r>
    </w:p>
    <w:p>
      <w:pPr>
        <w:keepNext/>
        <w:spacing w:before="260" w:after="60"/>
      </w:pPr>
      <w:r>
        <w:rPr>
          <w:rFonts w:ascii="Plus Jakarta Sans" w:hAnsi="Plus Jakarta Sans" w:cs="Plus Jakarta Sans" w:eastAsia="Plus Jakarta Sans"/>
          <w:b/>
          <w:i w:val="0"/>
          <w:color w:val="0A1A3A"/>
          <w:spacing w:val="-8"/>
          <w:sz w:val="25"/>
        </w:rPr>
        <w:t>5.7 Herramientas y superficies de plataforma</w:t>
      </w:r>
    </w:p>
    <w:tbl>
      <w:tblPr>
        <w:tblW w:type="auto" w:w="0"/>
        <w:jc w:val="left"/>
        <w:tblBorders>
          <w:top w:val="single" w:sz="4" w:space="0" w:color="E7ECF3"/>
          <w:left w:val="single" w:sz="4" w:space="0" w:color="E7ECF3"/>
          <w:bottom w:val="single" w:sz="4" w:space="0" w:color="E7ECF3"/>
          <w:right w:val="single" w:sz="4" w:space="0" w:color="E7ECF3"/>
          <w:insideH w:val="single" w:sz="4" w:space="0" w:color="E7ECF3"/>
          <w:insideV w:val="single" w:sz="4" w:space="0" w:color="E7ECF3"/>
        </w:tblBorders>
        <w:tblLayout w:type="fixed"/>
        <w:tblLook w:firstColumn="1" w:firstRow="1" w:lastColumn="0" w:lastRow="0" w:noHBand="0" w:noVBand="1" w:val="04A0"/>
      </w:tblPr>
      <w:tblGrid>
        <w:gridCol w:w="2194"/>
        <w:gridCol w:w="7597"/>
      </w:tblGrid>
      <w:tr>
        <w:trPr>
          <w:tblHeader/>
        </w:trPr>
        <w:tc>
          <w:tcPr>
            <w:tcW w:type="dxa" w:w="2195"/>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SUPERFICIE</w:t>
            </w:r>
          </w:p>
        </w:tc>
        <w:tc>
          <w:tcPr>
            <w:tcW w:type="dxa" w:w="7597"/>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QUÉ ES</w:t>
            </w:r>
          </w:p>
        </w:tc>
      </w:tr>
      <w:tr>
        <w:trPr>
          <w:cantSplit/>
        </w:trPr>
        <w:tc>
          <w:tcPr>
            <w:tcW w:type="dxa" w:w="2195"/>
            <w:tcMar>
              <w:top w:w="60" w:type="dxa"/>
              <w:start w:w="100" w:type="dxa"/>
              <w:bottom w:w="60" w:type="dxa"/>
              <w:end w:w="100" w:type="dxa"/>
            </w:tcMar>
          </w:tcPr>
          <w:p>
            <w:pPr>
              <w:spacing w:after="0" w:line="276" w:lineRule="auto"/>
            </w:pPr>
            <w:r>
              <w:rPr>
                <w:rFonts w:ascii="Inter" w:hAnsi="Inter" w:cs="Inter" w:eastAsia="Inter"/>
                <w:b/>
                <w:i w:val="0"/>
                <w:color w:val="0A1A3A"/>
                <w:sz w:val="16"/>
              </w:rPr>
              <w:t>Resumen ejecutivo</w:t>
            </w:r>
          </w:p>
        </w:tc>
        <w:tc>
          <w:tcPr>
            <w:tcW w:type="dxa" w:w="7597"/>
            <w:tcMar>
              <w:top w:w="60" w:type="dxa"/>
              <w:start w:w="100" w:type="dxa"/>
              <w:bottom w:w="60" w:type="dxa"/>
              <w:end w:w="100" w:type="dxa"/>
            </w:tcMar>
          </w:tcPr>
          <w:p>
            <w:pPr>
              <w:spacing w:after="0" w:line="276" w:lineRule="auto"/>
            </w:pPr>
            <w:r>
              <w:rPr>
                <w:rFonts w:ascii="Inter" w:hAnsi="Inter" w:cs="Inter" w:eastAsia="Inter"/>
                <w:b w:val="0"/>
                <w:i w:val="0"/>
                <w:color w:val="43506B"/>
                <w:sz w:val="16"/>
              </w:rPr>
              <w:t>Vista transversal de todos los ejes activos.</w:t>
            </w:r>
          </w:p>
        </w:tc>
      </w:tr>
      <w:tr>
        <w:trPr>
          <w:cantSplit/>
        </w:trPr>
        <w:tc>
          <w:tcPr>
            <w:tcW w:type="dxa" w:w="2195"/>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Comparador</w:t>
            </w:r>
          </w:p>
        </w:tc>
        <w:tc>
          <w:tcPr>
            <w:tcW w:type="dxa" w:w="7597"/>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Comparación de sujetos entre ejes con lectura narrativa comparativa.</w:t>
            </w:r>
          </w:p>
        </w:tc>
      </w:tr>
      <w:tr>
        <w:trPr>
          <w:cantSplit/>
        </w:trPr>
        <w:tc>
          <w:tcPr>
            <w:tcW w:type="dxa" w:w="2195"/>
            <w:tcMar>
              <w:top w:w="60" w:type="dxa"/>
              <w:start w:w="100" w:type="dxa"/>
              <w:bottom w:w="60" w:type="dxa"/>
              <w:end w:w="100" w:type="dxa"/>
            </w:tcMar>
          </w:tcPr>
          <w:p>
            <w:pPr>
              <w:spacing w:after="0" w:line="276" w:lineRule="auto"/>
            </w:pPr>
            <w:r>
              <w:rPr>
                <w:rFonts w:ascii="Inter" w:hAnsi="Inter" w:cs="Inter" w:eastAsia="Inter"/>
                <w:b/>
                <w:i w:val="0"/>
                <w:color w:val="0A1A3A"/>
                <w:sz w:val="16"/>
              </w:rPr>
              <w:t>Market Brief</w:t>
            </w:r>
          </w:p>
        </w:tc>
        <w:tc>
          <w:tcPr>
            <w:tcW w:type="dxa" w:w="7597"/>
            <w:tcMar>
              <w:top w:w="60" w:type="dxa"/>
              <w:start w:w="100" w:type="dxa"/>
              <w:bottom w:w="60" w:type="dxa"/>
              <w:end w:w="100" w:type="dxa"/>
            </w:tcMar>
          </w:tcPr>
          <w:p>
            <w:pPr>
              <w:spacing w:after="0" w:line="276" w:lineRule="auto"/>
            </w:pPr>
            <w:r>
              <w:rPr>
                <w:rFonts w:ascii="Inter" w:hAnsi="Inter" w:cs="Inter" w:eastAsia="Inter"/>
                <w:b w:val="0"/>
                <w:i w:val="0"/>
                <w:color w:val="43506B"/>
                <w:sz w:val="16"/>
              </w:rPr>
              <w:t>Sesión informativa periódica generada sobre el corte vigente.</w:t>
            </w:r>
          </w:p>
        </w:tc>
      </w:tr>
      <w:tr>
        <w:trPr>
          <w:cantSplit/>
        </w:trPr>
        <w:tc>
          <w:tcPr>
            <w:tcW w:type="dxa" w:w="2195"/>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Metodología</w:t>
            </w:r>
          </w:p>
        </w:tc>
        <w:tc>
          <w:tcPr>
            <w:tcW w:type="dxa" w:w="7597"/>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Cómo se mide cada índice, con pesos y fuentes, servido al cliente.</w:t>
            </w:r>
          </w:p>
        </w:tc>
      </w:tr>
      <w:tr>
        <w:trPr>
          <w:cantSplit/>
        </w:trPr>
        <w:tc>
          <w:tcPr>
            <w:tcW w:type="dxa" w:w="2195"/>
            <w:tcMar>
              <w:top w:w="60" w:type="dxa"/>
              <w:start w:w="100" w:type="dxa"/>
              <w:bottom w:w="60" w:type="dxa"/>
              <w:end w:w="100" w:type="dxa"/>
            </w:tcMar>
          </w:tcPr>
          <w:p>
            <w:pPr>
              <w:spacing w:after="0" w:line="276" w:lineRule="auto"/>
            </w:pPr>
            <w:r>
              <w:rPr>
                <w:rFonts w:ascii="Inter" w:hAnsi="Inter" w:cs="Inter" w:eastAsia="Inter"/>
                <w:b/>
                <w:i w:val="0"/>
                <w:color w:val="0A1A3A"/>
                <w:sz w:val="16"/>
              </w:rPr>
              <w:t>Catálogo de productos</w:t>
            </w:r>
          </w:p>
        </w:tc>
        <w:tc>
          <w:tcPr>
            <w:tcW w:type="dxa" w:w="7597"/>
            <w:tcMar>
              <w:top w:w="60" w:type="dxa"/>
              <w:start w:w="100" w:type="dxa"/>
              <w:bottom w:w="60" w:type="dxa"/>
              <w:end w:w="100" w:type="dxa"/>
            </w:tcMar>
          </w:tcPr>
          <w:p>
            <w:pPr>
              <w:spacing w:after="0" w:line="276" w:lineRule="auto"/>
            </w:pPr>
            <w:r>
              <w:rPr>
                <w:rFonts w:ascii="Inter" w:hAnsi="Inter" w:cs="Inter" w:eastAsia="Inter"/>
                <w:b w:val="0"/>
                <w:i w:val="0"/>
                <w:color w:val="43506B"/>
                <w:sz w:val="16"/>
              </w:rPr>
              <w:t>La tienda: qué hay, qué nivel, qué incluye.</w:t>
            </w:r>
          </w:p>
        </w:tc>
      </w:tr>
      <w:tr>
        <w:trPr>
          <w:cantSplit/>
        </w:trPr>
        <w:tc>
          <w:tcPr>
            <w:tcW w:type="dxa" w:w="2195"/>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Mi plan</w:t>
            </w:r>
          </w:p>
        </w:tc>
        <w:tc>
          <w:tcPr>
            <w:tcW w:type="dxa" w:w="7597"/>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Qué compró el cliente y hasta cuándo.</w:t>
            </w:r>
          </w:p>
        </w:tc>
      </w:tr>
      <w:tr>
        <w:trPr>
          <w:cantSplit/>
        </w:trPr>
        <w:tc>
          <w:tcPr>
            <w:tcW w:type="dxa" w:w="2195"/>
            <w:tcMar>
              <w:top w:w="60" w:type="dxa"/>
              <w:start w:w="100" w:type="dxa"/>
              <w:bottom w:w="60" w:type="dxa"/>
              <w:end w:w="100" w:type="dxa"/>
            </w:tcMar>
          </w:tcPr>
          <w:p>
            <w:pPr>
              <w:spacing w:after="0" w:line="276" w:lineRule="auto"/>
            </w:pPr>
            <w:r>
              <w:rPr>
                <w:rFonts w:ascii="Inter" w:hAnsi="Inter" w:cs="Inter" w:eastAsia="Inter"/>
                <w:b/>
                <w:i w:val="0"/>
                <w:color w:val="0A1A3A"/>
                <w:sz w:val="16"/>
              </w:rPr>
              <w:t>Mis vigilancias</w:t>
            </w:r>
          </w:p>
        </w:tc>
        <w:tc>
          <w:tcPr>
            <w:tcW w:type="dxa" w:w="7597"/>
            <w:tcMar>
              <w:top w:w="60" w:type="dxa"/>
              <w:start w:w="100" w:type="dxa"/>
              <w:bottom w:w="60" w:type="dxa"/>
              <w:end w:w="100" w:type="dxa"/>
            </w:tcMar>
          </w:tcPr>
          <w:p>
            <w:pPr>
              <w:spacing w:after="0" w:line="276" w:lineRule="auto"/>
            </w:pPr>
            <w:r>
              <w:rPr>
                <w:rFonts w:ascii="Inter" w:hAnsi="Inter" w:cs="Inter" w:eastAsia="Inter"/>
                <w:b w:val="0"/>
                <w:i w:val="0"/>
                <w:color w:val="43506B"/>
                <w:sz w:val="16"/>
              </w:rPr>
              <w:t>La watchlist de alertas.</w:t>
            </w:r>
          </w:p>
        </w:tc>
      </w:tr>
      <w:tr>
        <w:trPr>
          <w:cantSplit/>
        </w:trPr>
        <w:tc>
          <w:tcPr>
            <w:tcW w:type="dxa" w:w="2195"/>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Búsqueda global</w:t>
            </w:r>
          </w:p>
        </w:tc>
        <w:tc>
          <w:tcPr>
            <w:tcW w:type="dxa" w:w="7597"/>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Paleta de comandos con ⌘K sobre entidades, sectores y países.</w:t>
            </w:r>
          </w:p>
        </w:tc>
      </w:tr>
      <w:tr>
        <w:trPr>
          <w:cantSplit/>
        </w:trPr>
        <w:tc>
          <w:tcPr>
            <w:tcW w:type="dxa" w:w="2195"/>
            <w:tcMar>
              <w:top w:w="60" w:type="dxa"/>
              <w:start w:w="100" w:type="dxa"/>
              <w:bottom w:w="60" w:type="dxa"/>
              <w:end w:w="100" w:type="dxa"/>
            </w:tcMar>
          </w:tcPr>
          <w:p>
            <w:pPr>
              <w:spacing w:after="0" w:line="276" w:lineRule="auto"/>
            </w:pPr>
            <w:r>
              <w:rPr>
                <w:rFonts w:ascii="Inter" w:hAnsi="Inter" w:cs="Inter" w:eastAsia="Inter"/>
                <w:b/>
                <w:i w:val="0"/>
                <w:color w:val="0A1A3A"/>
                <w:sz w:val="16"/>
              </w:rPr>
              <w:t>Monitor de productos</w:t>
            </w:r>
          </w:p>
        </w:tc>
        <w:tc>
          <w:tcPr>
            <w:tcW w:type="dxa" w:w="7597"/>
            <w:tcMar>
              <w:top w:w="60" w:type="dxa"/>
              <w:start w:w="100" w:type="dxa"/>
              <w:bottom w:w="60" w:type="dxa"/>
              <w:end w:w="100" w:type="dxa"/>
            </w:tcMar>
          </w:tcPr>
          <w:p>
            <w:pPr>
              <w:spacing w:after="0" w:line="276" w:lineRule="auto"/>
            </w:pPr>
            <w:r>
              <w:rPr>
                <w:rFonts w:ascii="Inter" w:hAnsi="Inter" w:cs="Inter" w:eastAsia="Inter"/>
                <w:b w:val="0"/>
                <w:i w:val="0"/>
                <w:color w:val="43506B"/>
                <w:sz w:val="16"/>
              </w:rPr>
              <w:t>Interno: readiness y activación pública por celda.</w:t>
            </w:r>
          </w:p>
        </w:tc>
      </w:tr>
      <w:tr>
        <w:trPr>
          <w:cantSplit/>
        </w:trPr>
        <w:tc>
          <w:tcPr>
            <w:tcW w:type="dxa" w:w="2195"/>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Inteligencia de Fuentes</w:t>
            </w:r>
          </w:p>
        </w:tc>
        <w:tc>
          <w:tcPr>
            <w:tcW w:type="dxa" w:w="7597"/>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Interno: sugerir, evaluar e integrar fuentes nuevas.</w:t>
            </w:r>
          </w:p>
        </w:tc>
      </w:tr>
      <w:tr>
        <w:trPr>
          <w:cantSplit/>
        </w:trPr>
        <w:tc>
          <w:tcPr>
            <w:tcW w:type="dxa" w:w="2195"/>
            <w:tcMar>
              <w:top w:w="60" w:type="dxa"/>
              <w:start w:w="100" w:type="dxa"/>
              <w:bottom w:w="60" w:type="dxa"/>
              <w:end w:w="100" w:type="dxa"/>
            </w:tcMar>
          </w:tcPr>
          <w:p>
            <w:pPr>
              <w:spacing w:after="0" w:line="276" w:lineRule="auto"/>
            </w:pPr>
            <w:r>
              <w:rPr>
                <w:rFonts w:ascii="Inter" w:hAnsi="Inter" w:cs="Inter" w:eastAsia="Inter"/>
                <w:b/>
                <w:i w:val="0"/>
                <w:color w:val="0A1A3A"/>
                <w:sz w:val="16"/>
              </w:rPr>
              <w:t>Consola de operaciones</w:t>
            </w:r>
          </w:p>
        </w:tc>
        <w:tc>
          <w:tcPr>
            <w:tcW w:type="dxa" w:w="7597"/>
            <w:tcMar>
              <w:top w:w="60" w:type="dxa"/>
              <w:start w:w="100" w:type="dxa"/>
              <w:bottom w:w="60" w:type="dxa"/>
              <w:end w:w="100" w:type="dxa"/>
            </w:tcMar>
          </w:tcPr>
          <w:p>
            <w:pPr>
              <w:spacing w:after="0" w:line="276" w:lineRule="auto"/>
            </w:pPr>
            <w:r>
              <w:rPr>
                <w:rFonts w:ascii="Inter" w:hAnsi="Inter" w:cs="Inter" w:eastAsia="Inter"/>
                <w:b w:val="0"/>
                <w:i w:val="0"/>
                <w:color w:val="43506B"/>
                <w:sz w:val="16"/>
              </w:rPr>
              <w:t>Interno: 91 operaciones con cadencia, historial y reintento.</w:t>
            </w:r>
          </w:p>
        </w:tc>
      </w:tr>
    </w:tbl>
    <w:p>
      <w:pPr>
        <w:spacing w:after="120" w:before="0"/>
      </w:pPr>
    </w:p>
    <w:p>
      <w:pPr>
        <w:keepNext/>
        <w:spacing w:before="260" w:after="60"/>
      </w:pPr>
      <w:r>
        <w:rPr>
          <w:rFonts w:ascii="Plus Jakarta Sans" w:hAnsi="Plus Jakarta Sans" w:cs="Plus Jakarta Sans" w:eastAsia="Plus Jakarta Sans"/>
          <w:b/>
          <w:i w:val="0"/>
          <w:color w:val="0A1A3A"/>
          <w:spacing w:val="-8"/>
          <w:sz w:val="25"/>
        </w:rPr>
        <w:t>5.8 El gate de publicación (readiness G1–G5)</w:t>
      </w:r>
    </w:p>
    <w:p>
      <w:pPr>
        <w:spacing w:after="120" w:before="0"/>
      </w:pPr>
      <w:r>
        <w:rPr>
          <w:rFonts w:ascii="Inter" w:hAnsi="Inter" w:cs="Inter" w:eastAsia="Inter"/>
          <w:b w:val="0"/>
          <w:i w:val="0"/>
          <w:color w:val="43506B"/>
          <w:sz w:val="19"/>
        </w:rPr>
        <w:t>Un producto puede estar cableado y funcionando internamente sin estar disponible para el público. La activación es siempre manual y explícita, y el monitor la bloquea si el producto no cruza el umbral de calidad de su nivel.</w:t>
      </w:r>
    </w:p>
    <w:tbl>
      <w:tblPr>
        <w:tblW w:type="auto" w:w="0"/>
        <w:jc w:val="left"/>
        <w:tblBorders>
          <w:top w:val="single" w:sz="4" w:space="0" w:color="E7ECF3"/>
          <w:left w:val="single" w:sz="4" w:space="0" w:color="E7ECF3"/>
          <w:bottom w:val="single" w:sz="4" w:space="0" w:color="E7ECF3"/>
          <w:right w:val="single" w:sz="4" w:space="0" w:color="E7ECF3"/>
          <w:insideH w:val="single" w:sz="4" w:space="0" w:color="E7ECF3"/>
          <w:insideV w:val="single" w:sz="4" w:space="0" w:color="E7ECF3"/>
        </w:tblBorders>
        <w:tblLayout w:type="fixed"/>
        <w:tblLook w:firstColumn="1" w:firstRow="1" w:lastColumn="0" w:lastRow="0" w:noHBand="0" w:noVBand="1" w:val="04A0"/>
      </w:tblPr>
      <w:tblGrid>
        <w:gridCol w:w="1857"/>
        <w:gridCol w:w="6753"/>
        <w:gridCol w:w="1181"/>
      </w:tblGrid>
      <w:tr>
        <w:trPr>
          <w:tblHeader/>
        </w:trPr>
        <w:tc>
          <w:tcPr>
            <w:tcW w:type="dxa" w:w="1857"/>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GATE</w:t>
            </w:r>
          </w:p>
        </w:tc>
        <w:tc>
          <w:tcPr>
            <w:tcW w:type="dxa" w:w="6753"/>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QUÉ MIDE</w:t>
            </w:r>
          </w:p>
        </w:tc>
        <w:tc>
          <w:tcPr>
            <w:tcW w:type="dxa" w:w="1182"/>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PESO</w:t>
            </w:r>
          </w:p>
        </w:tc>
      </w:tr>
      <w:tr>
        <w:trPr>
          <w:cantSplit/>
        </w:trPr>
        <w:tc>
          <w:tcPr>
            <w:tcW w:type="dxa" w:w="1857"/>
            <w:tcMar>
              <w:top w:w="60" w:type="dxa"/>
              <w:start w:w="100" w:type="dxa"/>
              <w:bottom w:w="60" w:type="dxa"/>
              <w:end w:w="100" w:type="dxa"/>
            </w:tcMar>
          </w:tcPr>
          <w:p>
            <w:pPr>
              <w:spacing w:after="0" w:line="276" w:lineRule="auto"/>
            </w:pPr>
            <w:r>
              <w:rPr>
                <w:rFonts w:ascii="Inter" w:hAnsi="Inter" w:cs="Inter" w:eastAsia="Inter"/>
                <w:b/>
                <w:i w:val="0"/>
                <w:color w:val="0A1A3A"/>
                <w:sz w:val="16"/>
              </w:rPr>
              <w:t>G1 · Datos</w:t>
            </w:r>
          </w:p>
        </w:tc>
        <w:tc>
          <w:tcPr>
            <w:tcW w:type="dxa" w:w="6753"/>
            <w:tcMar>
              <w:top w:w="60" w:type="dxa"/>
              <w:start w:w="100" w:type="dxa"/>
              <w:bottom w:w="60" w:type="dxa"/>
              <w:end w:w="100" w:type="dxa"/>
            </w:tcMar>
          </w:tcPr>
          <w:p>
            <w:pPr>
              <w:spacing w:after="0" w:line="276" w:lineRule="auto"/>
            </w:pPr>
            <w:r>
              <w:rPr>
                <w:rFonts w:ascii="Inter" w:hAnsi="Inter" w:cs="Inter" w:eastAsia="Inter"/>
                <w:b w:val="0"/>
                <w:i w:val="0"/>
                <w:color w:val="43506B"/>
                <w:sz w:val="16"/>
              </w:rPr>
              <w:t>Ingesta de la fuente autoritativa operativa y fresca</w:t>
            </w:r>
          </w:p>
        </w:tc>
        <w:tc>
          <w:tcPr>
            <w:tcW w:type="dxa" w:w="1182"/>
            <w:tcMar>
              <w:top w:w="60" w:type="dxa"/>
              <w:start w:w="100" w:type="dxa"/>
              <w:bottom w:w="60" w:type="dxa"/>
              <w:end w:w="100" w:type="dxa"/>
            </w:tcMar>
          </w:tcPr>
          <w:p>
            <w:pPr>
              <w:spacing w:after="0" w:line="276" w:lineRule="auto"/>
            </w:pPr>
            <w:r>
              <w:rPr>
                <w:rFonts w:ascii="Inter" w:hAnsi="Inter" w:cs="Inter" w:eastAsia="Inter"/>
                <w:b w:val="0"/>
                <w:i w:val="0"/>
                <w:color w:val="43506B"/>
                <w:sz w:val="16"/>
              </w:rPr>
              <w:t>30%</w:t>
            </w:r>
          </w:p>
        </w:tc>
      </w:tr>
      <w:tr>
        <w:trPr>
          <w:cantSplit/>
        </w:trPr>
        <w:tc>
          <w:tcPr>
            <w:tcW w:type="dxa" w:w="1857"/>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G2 · Motor</w:t>
            </w:r>
          </w:p>
        </w:tc>
        <w:tc>
          <w:tcPr>
            <w:tcW w:type="dxa" w:w="6753"/>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Índice explicable con el scoring corriendo</w:t>
            </w:r>
          </w:p>
        </w:tc>
        <w:tc>
          <w:tcPr>
            <w:tcW w:type="dxa" w:w="118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25%</w:t>
            </w:r>
          </w:p>
        </w:tc>
      </w:tr>
      <w:tr>
        <w:trPr>
          <w:cantSplit/>
        </w:trPr>
        <w:tc>
          <w:tcPr>
            <w:tcW w:type="dxa" w:w="1857"/>
            <w:tcMar>
              <w:top w:w="60" w:type="dxa"/>
              <w:start w:w="100" w:type="dxa"/>
              <w:bottom w:w="60" w:type="dxa"/>
              <w:end w:w="100" w:type="dxa"/>
            </w:tcMar>
          </w:tcPr>
          <w:p>
            <w:pPr>
              <w:spacing w:after="0" w:line="276" w:lineRule="auto"/>
            </w:pPr>
            <w:r>
              <w:rPr>
                <w:rFonts w:ascii="Inter" w:hAnsi="Inter" w:cs="Inter" w:eastAsia="Inter"/>
                <w:b/>
                <w:i w:val="0"/>
                <w:color w:val="0A1A3A"/>
                <w:sz w:val="16"/>
              </w:rPr>
              <w:t>G3 · Narrativa</w:t>
            </w:r>
          </w:p>
        </w:tc>
        <w:tc>
          <w:tcPr>
            <w:tcW w:type="dxa" w:w="6753"/>
            <w:tcMar>
              <w:top w:w="60" w:type="dxa"/>
              <w:start w:w="100" w:type="dxa"/>
              <w:bottom w:w="60" w:type="dxa"/>
              <w:end w:w="100" w:type="dxa"/>
            </w:tcMar>
          </w:tcPr>
          <w:p>
            <w:pPr>
              <w:spacing w:after="0" w:line="276" w:lineRule="auto"/>
            </w:pPr>
            <w:r>
              <w:rPr>
                <w:rFonts w:ascii="Inter" w:hAnsi="Inter" w:cs="Inter" w:eastAsia="Inter"/>
                <w:b w:val="0"/>
                <w:i w:val="0"/>
                <w:color w:val="43506B"/>
                <w:sz w:val="16"/>
              </w:rPr>
              <w:t>Marco SCQA operativo y guarda anti-alucinación en verde</w:t>
            </w:r>
          </w:p>
        </w:tc>
        <w:tc>
          <w:tcPr>
            <w:tcW w:type="dxa" w:w="1182"/>
            <w:tcMar>
              <w:top w:w="60" w:type="dxa"/>
              <w:start w:w="100" w:type="dxa"/>
              <w:bottom w:w="60" w:type="dxa"/>
              <w:end w:w="100" w:type="dxa"/>
            </w:tcMar>
          </w:tcPr>
          <w:p>
            <w:pPr>
              <w:spacing w:after="0" w:line="276" w:lineRule="auto"/>
            </w:pPr>
            <w:r>
              <w:rPr>
                <w:rFonts w:ascii="Inter" w:hAnsi="Inter" w:cs="Inter" w:eastAsia="Inter"/>
                <w:b w:val="0"/>
                <w:i w:val="0"/>
                <w:color w:val="43506B"/>
                <w:sz w:val="16"/>
              </w:rPr>
              <w:t>15%</w:t>
            </w:r>
          </w:p>
        </w:tc>
      </w:tr>
      <w:tr>
        <w:trPr>
          <w:cantSplit/>
        </w:trPr>
        <w:tc>
          <w:tcPr>
            <w:tcW w:type="dxa" w:w="1857"/>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G4 · Plantilla</w:t>
            </w:r>
          </w:p>
        </w:tc>
        <w:tc>
          <w:tcPr>
            <w:tcW w:type="dxa" w:w="6753"/>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El reporte del nivel renderiza</w:t>
            </w:r>
          </w:p>
        </w:tc>
        <w:tc>
          <w:tcPr>
            <w:tcW w:type="dxa" w:w="118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15%</w:t>
            </w:r>
          </w:p>
        </w:tc>
      </w:tr>
      <w:tr>
        <w:trPr>
          <w:cantSplit/>
        </w:trPr>
        <w:tc>
          <w:tcPr>
            <w:tcW w:type="dxa" w:w="1857"/>
            <w:tcMar>
              <w:top w:w="60" w:type="dxa"/>
              <w:start w:w="100" w:type="dxa"/>
              <w:bottom w:w="60" w:type="dxa"/>
              <w:end w:w="100" w:type="dxa"/>
            </w:tcMar>
          </w:tcPr>
          <w:p>
            <w:pPr>
              <w:spacing w:after="0" w:line="276" w:lineRule="auto"/>
            </w:pPr>
            <w:r>
              <w:rPr>
                <w:rFonts w:ascii="Inter" w:hAnsi="Inter" w:cs="Inter" w:eastAsia="Inter"/>
                <w:b/>
                <w:i w:val="0"/>
                <w:color w:val="0A1A3A"/>
                <w:sz w:val="16"/>
              </w:rPr>
              <w:t>G5 · Validación</w:t>
            </w:r>
          </w:p>
        </w:tc>
        <w:tc>
          <w:tcPr>
            <w:tcW w:type="dxa" w:w="6753"/>
            <w:tcMar>
              <w:top w:w="60" w:type="dxa"/>
              <w:start w:w="100" w:type="dxa"/>
              <w:bottom w:w="60" w:type="dxa"/>
              <w:end w:w="100" w:type="dxa"/>
            </w:tcMar>
          </w:tcPr>
          <w:p>
            <w:pPr>
              <w:spacing w:after="0" w:line="276" w:lineRule="auto"/>
            </w:pPr>
            <w:r>
              <w:rPr>
                <w:rFonts w:ascii="Inter" w:hAnsi="Inter" w:cs="Inter" w:eastAsia="Inter"/>
                <w:b w:val="0"/>
                <w:i w:val="0"/>
                <w:color w:val="43506B"/>
                <w:sz w:val="16"/>
              </w:rPr>
              <w:t>Estado de validación y doctrina firmados</w:t>
            </w:r>
          </w:p>
        </w:tc>
        <w:tc>
          <w:tcPr>
            <w:tcW w:type="dxa" w:w="1182"/>
            <w:tcMar>
              <w:top w:w="60" w:type="dxa"/>
              <w:start w:w="100" w:type="dxa"/>
              <w:bottom w:w="60" w:type="dxa"/>
              <w:end w:w="100" w:type="dxa"/>
            </w:tcMar>
          </w:tcPr>
          <w:p>
            <w:pPr>
              <w:spacing w:after="0" w:line="276" w:lineRule="auto"/>
            </w:pPr>
            <w:r>
              <w:rPr>
                <w:rFonts w:ascii="Inter" w:hAnsi="Inter" w:cs="Inter" w:eastAsia="Inter"/>
                <w:b w:val="0"/>
                <w:i w:val="0"/>
                <w:color w:val="43506B"/>
                <w:sz w:val="16"/>
              </w:rPr>
              <w:t>15%</w:t>
            </w:r>
          </w:p>
        </w:tc>
      </w:tr>
    </w:tbl>
    <w:p>
      <w:pPr>
        <w:spacing w:after="120" w:before="0"/>
      </w:pPr>
    </w:p>
    <w:p>
      <w:pPr>
        <w:spacing w:after="120" w:before="0"/>
      </w:pPr>
      <w:r>
        <w:rPr>
          <w:rFonts w:ascii="Inter" w:hAnsi="Inter" w:cs="Inter" w:eastAsia="Inter"/>
          <w:b w:val="0"/>
          <w:i w:val="0"/>
          <w:color w:val="43506B"/>
          <w:sz w:val="19"/>
        </w:rPr>
        <w:t>Umbral de activación: 0,75 para Pulse y 0,85 para Insight y Deep Dive — más exigente donde se nombra una entidad, porque ahí está la reputación.</w:t>
      </w:r>
    </w:p>
    <w:p>
      <w:pPr>
        <w:keepNext/>
        <w:spacing w:before="260" w:after="60"/>
      </w:pPr>
      <w:r>
        <w:rPr>
          <w:rFonts w:ascii="Plus Jakarta Sans" w:hAnsi="Plus Jakarta Sans" w:cs="Plus Jakarta Sans" w:eastAsia="Plus Jakarta Sans"/>
          <w:b/>
          <w:i w:val="0"/>
          <w:color w:val="0A1A3A"/>
          <w:spacing w:val="-8"/>
          <w:sz w:val="25"/>
        </w:rPr>
        <w:t>5.9 Acceso, roles y facturación</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Dos ejes de permiso independientes. </w:t>
      </w:r>
      <w:r>
        <w:rPr>
          <w:rFonts w:ascii="Inter" w:hAnsi="Inter" w:cs="Inter" w:eastAsia="Inter"/>
          <w:b w:val="0"/>
          <w:i w:val="0"/>
          <w:color w:val="43506B"/>
          <w:sz w:val="19"/>
        </w:rPr>
        <w:t>El ROL (viewer · analyst · admin · super_admin) gobierna qué puede hacer un usuario; el NIVEL DE ACCESO (free · pro · enterprise) gobierna qué contenido ve. No se mezclan.</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Acceso compuesto: </w:t>
      </w:r>
      <w:r>
        <w:rPr>
          <w:rFonts w:ascii="Inter" w:hAnsi="Inter" w:cs="Inter" w:eastAsia="Inter"/>
          <w:b w:val="0"/>
          <w:i w:val="0"/>
          <w:color w:val="43506B"/>
          <w:sz w:val="19"/>
        </w:rPr>
        <w:t>nivel manual, suscripción vigente o derecho otorgado — cualquiera de los tres concede, sin mutar los otros.</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Pasarela: </w:t>
      </w:r>
      <w:r>
        <w:rPr>
          <w:rFonts w:ascii="Inter" w:hAnsi="Inter" w:cs="Inter" w:eastAsia="Inter"/>
          <w:b w:val="0"/>
          <w:i w:val="0"/>
          <w:color w:val="43506B"/>
          <w:sz w:val="19"/>
        </w:rPr>
        <w:t>PayPal, con planes por SKU e intervalo, sincronización de planes y webhook idempotente del ciclo de vida.</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Fiscalidad dominicana resuelta: </w:t>
      </w:r>
      <w:r>
        <w:rPr>
          <w:rFonts w:ascii="Inter" w:hAnsi="Inter" w:cs="Inter" w:eastAsia="Inter"/>
          <w:b w:val="0"/>
          <w:i w:val="0"/>
          <w:color w:val="43506B"/>
          <w:sz w:val="19"/>
        </w:rPr>
        <w:t>desglose de ITBIS, secuencias de comprobantes, comprobante fiscal electrónico (e-CF) de la DGII con su XML, notas de crédito y reporte 607. Es una barrera de entrada real para un competidor extranjero.</w:t>
      </w:r>
    </w:p>
    <w:p>
      <w:r>
        <w:br w:type="page"/>
      </w:r>
    </w:p>
    <w:p>
      <w:pPr>
        <w:spacing w:before="40" w:after="20"/>
      </w:pPr>
      <w:r>
        <w:rPr>
          <w:rFonts w:ascii="JetBrains Mono" w:hAnsi="JetBrains Mono" w:cs="JetBrains Mono" w:eastAsia="JetBrains Mono"/>
          <w:b/>
          <w:i w:val="0"/>
          <w:color w:val="1E6FFF"/>
          <w:spacing w:val="26"/>
          <w:sz w:val="15"/>
        </w:rPr>
        <w:t>§6 · CÓMO SE COBRA</w:t>
      </w:r>
    </w:p>
    <w:p>
      <w:pPr>
        <w:keepNext/>
        <w:spacing w:before="0" w:after="60"/>
      </w:pPr>
      <w:r>
        <w:rPr>
          <w:rFonts w:ascii="Plus Jakarta Sans" w:hAnsi="Plus Jakarta Sans" w:cs="Plus Jakarta Sans" w:eastAsia="Plus Jakarta Sans"/>
          <w:b/>
          <w:i w:val="0"/>
          <w:color w:val="0A1A3A"/>
          <w:spacing w:val="-12"/>
          <w:sz w:val="38"/>
        </w:rPr>
        <w:t>Modelo comercial</w:t>
      </w:r>
    </w:p>
    <w:p>
      <w:pPr>
        <w:pBdr>
          <w:bottom w:val="single" w:sz="10" w:space="1" w:color="1E6FFF"/>
        </w:pBdr>
        <w:spacing w:before="20" w:after="200"/>
      </w:pPr>
    </w:p>
    <w:p>
      <w:pPr>
        <w:keepNext/>
        <w:spacing w:before="260" w:after="60"/>
      </w:pPr>
      <w:r>
        <w:rPr>
          <w:rFonts w:ascii="Plus Jakarta Sans" w:hAnsi="Plus Jakarta Sans" w:cs="Plus Jakarta Sans" w:eastAsia="Plus Jakarta Sans"/>
          <w:b/>
          <w:i w:val="0"/>
          <w:color w:val="0A1A3A"/>
          <w:spacing w:val="-8"/>
          <w:sz w:val="25"/>
        </w:rPr>
        <w:t>6.1 La estructura de SKU</w:t>
      </w:r>
    </w:p>
    <w:p>
      <w:pPr>
        <w:spacing w:after="120" w:before="0"/>
      </w:pPr>
      <w:r>
        <w:rPr>
          <w:rFonts w:ascii="Inter" w:hAnsi="Inter" w:cs="Inter" w:eastAsia="Inter"/>
          <w:b w:val="0"/>
          <w:i w:val="0"/>
          <w:color w:val="43506B"/>
          <w:sz w:val="19"/>
        </w:rPr>
        <w:t>Un SKU es lo que se cobra, independiente del proveedor de pago. Cinco familias cubren todo el catálogo, y cada una concede acceso a uno o más pares (sector, nivel) que el control de acceso compone. Un derecho de nivel N cubre los niveles inferiores del mismo alcance.</w:t>
      </w:r>
    </w:p>
    <w:tbl>
      <w:tblPr>
        <w:tblW w:type="auto" w:w="0"/>
        <w:jc w:val="left"/>
        <w:tblBorders>
          <w:top w:val="single" w:sz="4" w:space="0" w:color="E7ECF3"/>
          <w:left w:val="single" w:sz="4" w:space="0" w:color="E7ECF3"/>
          <w:bottom w:val="single" w:sz="4" w:space="0" w:color="E7ECF3"/>
          <w:right w:val="single" w:sz="4" w:space="0" w:color="E7ECF3"/>
          <w:insideH w:val="single" w:sz="4" w:space="0" w:color="E7ECF3"/>
          <w:insideV w:val="single" w:sz="4" w:space="0" w:color="E7ECF3"/>
        </w:tblBorders>
        <w:tblLayout w:type="fixed"/>
        <w:tblLook w:firstColumn="1" w:firstRow="1" w:lastColumn="0" w:lastRow="0" w:noHBand="0" w:noVBand="1" w:val="04A0"/>
      </w:tblPr>
      <w:tblGrid>
        <w:gridCol w:w="2363"/>
        <w:gridCol w:w="5740"/>
        <w:gridCol w:w="1688"/>
      </w:tblGrid>
      <w:tr>
        <w:trPr>
          <w:tblHeader/>
        </w:trPr>
        <w:tc>
          <w:tcPr>
            <w:tcW w:type="dxa" w:w="2364"/>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FAMILIA DE SKU</w:t>
            </w:r>
          </w:p>
        </w:tc>
        <w:tc>
          <w:tcPr>
            <w:tcW w:type="dxa" w:w="5740"/>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QUÉ CONCEDE</w:t>
            </w:r>
          </w:p>
        </w:tc>
        <w:tc>
          <w:tcPr>
            <w:tcW w:type="dxa" w:w="1688"/>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INTERVALO</w:t>
            </w:r>
          </w:p>
        </w:tc>
      </w:tr>
      <w:tr>
        <w:trPr>
          <w:cantSplit/>
        </w:trPr>
        <w:tc>
          <w:tcPr>
            <w:tcW w:type="dxa" w:w="2364"/>
            <w:tcMar>
              <w:top w:w="60" w:type="dxa"/>
              <w:start w:w="100" w:type="dxa"/>
              <w:bottom w:w="60" w:type="dxa"/>
              <w:end w:w="100" w:type="dxa"/>
            </w:tcMar>
          </w:tcPr>
          <w:p>
            <w:pPr>
              <w:spacing w:after="0" w:line="276" w:lineRule="auto"/>
            </w:pPr>
            <w:r>
              <w:rPr>
                <w:rFonts w:ascii="JetBrains Mono" w:hAnsi="JetBrains Mono" w:cs="JetBrains Mono" w:eastAsia="JetBrains Mono"/>
                <w:b/>
                <w:i w:val="0"/>
                <w:color w:val="0A1A3A"/>
                <w:sz w:val="16"/>
              </w:rPr>
              <w:t>insight:{sector}</w:t>
            </w:r>
          </w:p>
        </w:tc>
        <w:tc>
          <w:tcPr>
            <w:tcW w:type="dxa" w:w="5740"/>
            <w:tcMar>
              <w:top w:w="60" w:type="dxa"/>
              <w:start w:w="100" w:type="dxa"/>
              <w:bottom w:w="60" w:type="dxa"/>
              <w:end w:w="100" w:type="dxa"/>
            </w:tcMar>
          </w:tcPr>
          <w:p>
            <w:pPr>
              <w:spacing w:after="0" w:line="276" w:lineRule="auto"/>
            </w:pPr>
            <w:r>
              <w:rPr>
                <w:rFonts w:ascii="Inter" w:hAnsi="Inter" w:cs="Inter" w:eastAsia="Inter"/>
                <w:b w:val="0"/>
                <w:i w:val="0"/>
                <w:color w:val="43506B"/>
                <w:sz w:val="16"/>
              </w:rPr>
              <w:t>El Insight de UN eje</w:t>
            </w:r>
          </w:p>
        </w:tc>
        <w:tc>
          <w:tcPr>
            <w:tcW w:type="dxa" w:w="1688"/>
            <w:tcMar>
              <w:top w:w="60" w:type="dxa"/>
              <w:start w:w="100" w:type="dxa"/>
              <w:bottom w:w="60" w:type="dxa"/>
              <w:end w:w="100" w:type="dxa"/>
            </w:tcMar>
          </w:tcPr>
          <w:p>
            <w:pPr>
              <w:spacing w:after="0" w:line="276" w:lineRule="auto"/>
            </w:pPr>
            <w:r>
              <w:rPr>
                <w:rFonts w:ascii="Inter" w:hAnsi="Inter" w:cs="Inter" w:eastAsia="Inter"/>
                <w:b w:val="0"/>
                <w:i w:val="0"/>
                <w:color w:val="43506B"/>
                <w:sz w:val="16"/>
              </w:rPr>
              <w:t>mensual · anual</w:t>
            </w:r>
          </w:p>
        </w:tc>
      </w:tr>
      <w:tr>
        <w:trPr>
          <w:cantSplit/>
        </w:trPr>
        <w:tc>
          <w:tcPr>
            <w:tcW w:type="dxa" w:w="2364"/>
            <w:shd w:val="clear" w:color="auto" w:fill="F5F8FC"/>
            <w:tcMar>
              <w:top w:w="60" w:type="dxa"/>
              <w:start w:w="100" w:type="dxa"/>
              <w:bottom w:w="60" w:type="dxa"/>
              <w:end w:w="100" w:type="dxa"/>
            </w:tcMar>
          </w:tcPr>
          <w:p>
            <w:pPr>
              <w:spacing w:after="0" w:line="276" w:lineRule="auto"/>
            </w:pPr>
            <w:r>
              <w:rPr>
                <w:rFonts w:ascii="JetBrains Mono" w:hAnsi="JetBrains Mono" w:cs="JetBrains Mono" w:eastAsia="JetBrains Mono"/>
                <w:b/>
                <w:i w:val="0"/>
                <w:color w:val="0A1A3A"/>
                <w:sz w:val="16"/>
              </w:rPr>
              <w:t>deep_dive:{sector}</w:t>
            </w:r>
          </w:p>
        </w:tc>
        <w:tc>
          <w:tcPr>
            <w:tcW w:type="dxa" w:w="5740"/>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Un Deep Dive de UN eje</w:t>
            </w:r>
          </w:p>
        </w:tc>
        <w:tc>
          <w:tcPr>
            <w:tcW w:type="dxa" w:w="168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una vez</w:t>
            </w:r>
          </w:p>
        </w:tc>
      </w:tr>
      <w:tr>
        <w:trPr>
          <w:cantSplit/>
        </w:trPr>
        <w:tc>
          <w:tcPr>
            <w:tcW w:type="dxa" w:w="2364"/>
            <w:tcMar>
              <w:top w:w="60" w:type="dxa"/>
              <w:start w:w="100" w:type="dxa"/>
              <w:bottom w:w="60" w:type="dxa"/>
              <w:end w:w="100" w:type="dxa"/>
            </w:tcMar>
          </w:tcPr>
          <w:p>
            <w:pPr>
              <w:spacing w:after="0" w:line="276" w:lineRule="auto"/>
            </w:pPr>
            <w:r>
              <w:rPr>
                <w:rFonts w:ascii="JetBrains Mono" w:hAnsi="JetBrains Mono" w:cs="JetBrains Mono" w:eastAsia="JetBrains Mono"/>
                <w:b/>
                <w:i w:val="0"/>
                <w:color w:val="0A1A3A"/>
                <w:sz w:val="16"/>
              </w:rPr>
              <w:t>all_access</w:t>
            </w:r>
          </w:p>
        </w:tc>
        <w:tc>
          <w:tcPr>
            <w:tcW w:type="dxa" w:w="5740"/>
            <w:tcMar>
              <w:top w:w="60" w:type="dxa"/>
              <w:start w:w="100" w:type="dxa"/>
              <w:bottom w:w="60" w:type="dxa"/>
              <w:end w:w="100" w:type="dxa"/>
            </w:tcMar>
          </w:tcPr>
          <w:p>
            <w:pPr>
              <w:spacing w:after="0" w:line="276" w:lineRule="auto"/>
            </w:pPr>
            <w:r>
              <w:rPr>
                <w:rFonts w:ascii="Inter" w:hAnsi="Inter" w:cs="Inter" w:eastAsia="Inter"/>
                <w:b w:val="0"/>
                <w:i w:val="0"/>
                <w:color w:val="43506B"/>
                <w:sz w:val="16"/>
              </w:rPr>
              <w:t>El Insight de TODOS los ejes</w:t>
            </w:r>
          </w:p>
        </w:tc>
        <w:tc>
          <w:tcPr>
            <w:tcW w:type="dxa" w:w="1688"/>
            <w:tcMar>
              <w:top w:w="60" w:type="dxa"/>
              <w:start w:w="100" w:type="dxa"/>
              <w:bottom w:w="60" w:type="dxa"/>
              <w:end w:w="100" w:type="dxa"/>
            </w:tcMar>
          </w:tcPr>
          <w:p>
            <w:pPr>
              <w:spacing w:after="0" w:line="276" w:lineRule="auto"/>
            </w:pPr>
            <w:r>
              <w:rPr>
                <w:rFonts w:ascii="Inter" w:hAnsi="Inter" w:cs="Inter" w:eastAsia="Inter"/>
                <w:b w:val="0"/>
                <w:i w:val="0"/>
                <w:color w:val="43506B"/>
                <w:sz w:val="16"/>
              </w:rPr>
              <w:t>mensual · anual</w:t>
            </w:r>
          </w:p>
        </w:tc>
      </w:tr>
      <w:tr>
        <w:trPr>
          <w:cantSplit/>
        </w:trPr>
        <w:tc>
          <w:tcPr>
            <w:tcW w:type="dxa" w:w="2364"/>
            <w:shd w:val="clear" w:color="auto" w:fill="F5F8FC"/>
            <w:tcMar>
              <w:top w:w="60" w:type="dxa"/>
              <w:start w:w="100" w:type="dxa"/>
              <w:bottom w:w="60" w:type="dxa"/>
              <w:end w:w="100" w:type="dxa"/>
            </w:tcMar>
          </w:tcPr>
          <w:p>
            <w:pPr>
              <w:spacing w:after="0" w:line="276" w:lineRule="auto"/>
            </w:pPr>
            <w:r>
              <w:rPr>
                <w:rFonts w:ascii="JetBrains Mono" w:hAnsi="JetBrains Mono" w:cs="JetBrains Mono" w:eastAsia="JetBrains Mono"/>
                <w:b/>
                <w:i w:val="0"/>
                <w:color w:val="0A1A3A"/>
                <w:sz w:val="16"/>
              </w:rPr>
              <w:t>enterprise</w:t>
            </w:r>
          </w:p>
        </w:tc>
        <w:tc>
          <w:tcPr>
            <w:tcW w:type="dxa" w:w="5740"/>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Catálogo completo: Insight y Deep Dive de todos los ejes</w:t>
            </w:r>
          </w:p>
        </w:tc>
        <w:tc>
          <w:tcPr>
            <w:tcW w:type="dxa" w:w="168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mensual · anual</w:t>
            </w:r>
          </w:p>
        </w:tc>
      </w:tr>
      <w:tr>
        <w:trPr>
          <w:cantSplit/>
        </w:trPr>
        <w:tc>
          <w:tcPr>
            <w:tcW w:type="dxa" w:w="2364"/>
            <w:tcMar>
              <w:top w:w="60" w:type="dxa"/>
              <w:start w:w="100" w:type="dxa"/>
              <w:bottom w:w="60" w:type="dxa"/>
              <w:end w:w="100" w:type="dxa"/>
            </w:tcMar>
          </w:tcPr>
          <w:p>
            <w:pPr>
              <w:spacing w:after="0" w:line="276" w:lineRule="auto"/>
            </w:pPr>
            <w:r>
              <w:rPr>
                <w:rFonts w:ascii="JetBrains Mono" w:hAnsi="JetBrains Mono" w:cs="JetBrains Mono" w:eastAsia="JetBrains Mono"/>
                <w:b/>
                <w:i w:val="0"/>
                <w:color w:val="0A1A3A"/>
                <w:sz w:val="16"/>
              </w:rPr>
              <w:t>special:{slug}</w:t>
            </w:r>
          </w:p>
        </w:tc>
        <w:tc>
          <w:tcPr>
            <w:tcW w:type="dxa" w:w="5740"/>
            <w:tcMar>
              <w:top w:w="60" w:type="dxa"/>
              <w:start w:w="100" w:type="dxa"/>
              <w:bottom w:w="60" w:type="dxa"/>
              <w:end w:w="100" w:type="dxa"/>
            </w:tcMar>
          </w:tcPr>
          <w:p>
            <w:pPr>
              <w:spacing w:after="0" w:line="276" w:lineRule="auto"/>
            </w:pPr>
            <w:r>
              <w:rPr>
                <w:rFonts w:ascii="Inter" w:hAnsi="Inter" w:cs="Inter" w:eastAsia="Inter"/>
                <w:b w:val="0"/>
                <w:i w:val="0"/>
                <w:color w:val="43506B"/>
                <w:sz w:val="16"/>
              </w:rPr>
              <w:t>Informe especial cotizado a medida</w:t>
            </w:r>
          </w:p>
        </w:tc>
        <w:tc>
          <w:tcPr>
            <w:tcW w:type="dxa" w:w="1688"/>
            <w:tcMar>
              <w:top w:w="60" w:type="dxa"/>
              <w:start w:w="100" w:type="dxa"/>
              <w:bottom w:w="60" w:type="dxa"/>
              <w:end w:w="100" w:type="dxa"/>
            </w:tcMar>
          </w:tcPr>
          <w:p>
            <w:pPr>
              <w:spacing w:after="0" w:line="276" w:lineRule="auto"/>
            </w:pPr>
            <w:r>
              <w:rPr>
                <w:rFonts w:ascii="Inter" w:hAnsi="Inter" w:cs="Inter" w:eastAsia="Inter"/>
                <w:b w:val="0"/>
                <w:i w:val="0"/>
                <w:color w:val="43506B"/>
                <w:sz w:val="16"/>
              </w:rPr>
              <w:t>una vez</w:t>
            </w:r>
          </w:p>
        </w:tc>
      </w:tr>
    </w:tbl>
    <w:p>
      <w:pPr>
        <w:spacing w:after="120" w:before="0"/>
      </w:pPr>
    </w:p>
    <w:p>
      <w:pPr>
        <w:spacing w:after="120" w:before="0"/>
      </w:pPr>
      <w:r>
        <w:rPr>
          <w:rFonts w:ascii="Inter" w:hAnsi="Inter" w:cs="Inter" w:eastAsia="Inter"/>
          <w:b/>
          <w:i w:val="0"/>
          <w:color w:val="0A1A3A"/>
          <w:sz w:val="19"/>
        </w:rPr>
        <w:t xml:space="preserve">Tamaño del tarifario hoy: </w:t>
      </w:r>
      <w:r>
        <w:rPr>
          <w:rFonts w:ascii="Inter" w:hAnsi="Inter" w:cs="Inter" w:eastAsia="Inter"/>
          <w:b w:val="0"/>
          <w:i w:val="0"/>
          <w:color w:val="43506B"/>
          <w:sz w:val="19"/>
        </w:rPr>
        <w:t>34 SKU canónicos vendibles — 32 por producto (cada eje con su Insight y su Deep Dive) más los dos bundles. Los informes especiales no se enumeran porque son a medida.</w:t>
      </w:r>
    </w:p>
    <w:p>
      <w:pPr>
        <w:keepNext/>
        <w:spacing w:before="260" w:after="60"/>
      </w:pPr>
      <w:r>
        <w:rPr>
          <w:rFonts w:ascii="Plus Jakarta Sans" w:hAnsi="Plus Jakarta Sans" w:cs="Plus Jakarta Sans" w:eastAsia="Plus Jakarta Sans"/>
          <w:b/>
          <w:i w:val="0"/>
          <w:color w:val="0A1A3A"/>
          <w:spacing w:val="-8"/>
          <w:sz w:val="25"/>
        </w:rPr>
        <w:t>6.2 Tarifario — PROPUESTA</w:t>
      </w:r>
    </w:p>
    <w:tbl>
      <w:tblPr>
        <w:tblW w:type="auto" w:w="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72"/>
        <w:gridCol w:w="9720"/>
      </w:tblGrid>
      <w:tr>
        <w:trPr>
          <w:cantSplit/>
        </w:trPr>
        <w:tc>
          <w:tcPr>
            <w:tcW w:type="dxa" w:w="72"/>
            <w:shd w:val="clear" w:color="auto" w:fill="B7791F"/>
            <w:tcMar>
              <w:top w:w="0" w:type="dxa"/>
              <w:start w:w="0" w:type="dxa"/>
              <w:bottom w:w="0" w:type="dxa"/>
              <w:end w:w="0" w:type="dxa"/>
            </w:tcMar>
          </w:tcPr>
          <w:p>
            <w:pPr>
              <w:spacing w:after="0"/>
            </w:pPr>
          </w:p>
        </w:tc>
        <w:tc>
          <w:tcPr>
            <w:tcW w:type="dxa" w:w="9720"/>
            <w:shd w:val="clear" w:color="auto" w:fill="FBF1DD"/>
            <w:tcMar>
              <w:top w:w="120" w:type="dxa"/>
              <w:start w:w="160" w:type="dxa"/>
              <w:bottom w:w="120" w:type="dxa"/>
              <w:end w:w="160" w:type="dxa"/>
            </w:tcMar>
          </w:tcPr>
          <w:p>
            <w:pPr>
              <w:spacing w:after="40"/>
            </w:pPr>
            <w:r>
              <w:rPr>
                <w:rFonts w:ascii="JetBrains Mono" w:hAnsi="JetBrains Mono" w:cs="JetBrains Mono" w:eastAsia="JetBrains Mono"/>
                <w:b/>
                <w:i w:val="0"/>
                <w:color w:val="B7791F"/>
                <w:spacing w:val="24"/>
                <w:sz w:val="15"/>
              </w:rPr>
              <w:t>ESTADO DEL PRECIO</w:t>
            </w:r>
          </w:p>
          <w:p>
            <w:pPr>
              <w:spacing w:after="0"/>
            </w:pPr>
            <w:r>
              <w:rPr>
                <w:rFonts w:ascii="Inter" w:hAnsi="Inter" w:cs="Inter" w:eastAsia="Inter"/>
                <w:b w:val="0"/>
                <w:i w:val="0"/>
                <w:color w:val="0A1A3A"/>
                <w:sz w:val="19"/>
              </w:rPr>
              <w:t>Todos los importes de abajo son PROPUESTA para calibración del dueño, salvo el ancla del Research a Medida (US$3,500 por encargo, también provisional). Nada rige hasta publicarse en la consola de tarifario. En la presentación comercial: no imprima precios cerrados sin confirmarlos con Ricardo Mercado.</w:t>
            </w:r>
          </w:p>
        </w:tc>
      </w:tr>
    </w:tbl>
    <w:p>
      <w:pPr>
        <w:spacing w:after="80" w:before="0"/>
      </w:pPr>
    </w:p>
    <w:tbl>
      <w:tblPr>
        <w:tblW w:type="auto" w:w="0"/>
        <w:jc w:val="left"/>
        <w:tblBorders>
          <w:top w:val="single" w:sz="4" w:space="0" w:color="E7ECF3"/>
          <w:left w:val="single" w:sz="4" w:space="0" w:color="E7ECF3"/>
          <w:bottom w:val="single" w:sz="4" w:space="0" w:color="E7ECF3"/>
          <w:right w:val="single" w:sz="4" w:space="0" w:color="E7ECF3"/>
          <w:insideH w:val="single" w:sz="4" w:space="0" w:color="E7ECF3"/>
          <w:insideV w:val="single" w:sz="4" w:space="0" w:color="E7ECF3"/>
        </w:tblBorders>
        <w:tblLayout w:type="fixed"/>
        <w:tblLook w:firstColumn="1" w:firstRow="1" w:lastColumn="0" w:lastRow="0" w:noHBand="0" w:noVBand="1" w:val="04A0"/>
      </w:tblPr>
      <w:tblGrid>
        <w:gridCol w:w="1941"/>
        <w:gridCol w:w="2110"/>
        <w:gridCol w:w="1266"/>
        <w:gridCol w:w="1603"/>
        <w:gridCol w:w="2870"/>
      </w:tblGrid>
      <w:tr>
        <w:trPr>
          <w:tblHeader/>
        </w:trPr>
        <w:tc>
          <w:tcPr>
            <w:tcW w:type="dxa" w:w="1942"/>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PRODUCTO</w:t>
            </w:r>
          </w:p>
        </w:tc>
        <w:tc>
          <w:tcPr>
            <w:tcW w:type="dxa" w:w="2110"/>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SKU</w:t>
            </w:r>
          </w:p>
        </w:tc>
        <w:tc>
          <w:tcPr>
            <w:tcW w:type="dxa" w:w="1266"/>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INTERVALO</w:t>
            </w:r>
          </w:p>
        </w:tc>
        <w:tc>
          <w:tcPr>
            <w:tcW w:type="dxa" w:w="1604"/>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PRECIO PROPUESTO</w:t>
            </w:r>
          </w:p>
        </w:tc>
        <w:tc>
          <w:tcPr>
            <w:tcW w:type="dxa" w:w="2870"/>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NOTA</w:t>
            </w:r>
          </w:p>
        </w:tc>
      </w:tr>
      <w:tr>
        <w:trPr>
          <w:cantSplit/>
        </w:trPr>
        <w:tc>
          <w:tcPr>
            <w:tcW w:type="dxa" w:w="1942"/>
            <w:tcMar>
              <w:top w:w="60" w:type="dxa"/>
              <w:start w:w="100" w:type="dxa"/>
              <w:bottom w:w="60" w:type="dxa"/>
              <w:end w:w="100" w:type="dxa"/>
            </w:tcMar>
          </w:tcPr>
          <w:p>
            <w:pPr>
              <w:spacing w:after="0" w:line="276" w:lineRule="auto"/>
            </w:pPr>
            <w:r>
              <w:rPr>
                <w:rFonts w:ascii="Inter" w:hAnsi="Inter" w:cs="Inter" w:eastAsia="Inter"/>
                <w:b/>
                <w:i w:val="0"/>
                <w:color w:val="0A1A3A"/>
                <w:sz w:val="15"/>
              </w:rPr>
              <w:t>Insight · un sector</w:t>
            </w:r>
          </w:p>
        </w:tc>
        <w:tc>
          <w:tcPr>
            <w:tcW w:type="dxa" w:w="2110"/>
            <w:tcMar>
              <w:top w:w="60" w:type="dxa"/>
              <w:start w:w="100" w:type="dxa"/>
              <w:bottom w:w="60" w:type="dxa"/>
              <w:end w:w="100" w:type="dxa"/>
            </w:tcMar>
          </w:tcPr>
          <w:p>
            <w:pPr>
              <w:spacing w:after="0" w:line="276" w:lineRule="auto"/>
            </w:pPr>
            <w:r>
              <w:rPr>
                <w:rFonts w:ascii="JetBrains Mono" w:hAnsi="JetBrains Mono" w:cs="JetBrains Mono" w:eastAsia="JetBrains Mono"/>
                <w:b w:val="0"/>
                <w:i w:val="0"/>
                <w:color w:val="43506B"/>
                <w:sz w:val="15"/>
              </w:rPr>
              <w:t>insight:{sector}</w:t>
            </w:r>
          </w:p>
        </w:tc>
        <w:tc>
          <w:tcPr>
            <w:tcW w:type="dxa" w:w="1266"/>
            <w:tcMar>
              <w:top w:w="60" w:type="dxa"/>
              <w:start w:w="100" w:type="dxa"/>
              <w:bottom w:w="60" w:type="dxa"/>
              <w:end w:w="100" w:type="dxa"/>
            </w:tcMar>
          </w:tcPr>
          <w:p>
            <w:pPr>
              <w:spacing w:after="0" w:line="276" w:lineRule="auto"/>
            </w:pPr>
            <w:r>
              <w:rPr>
                <w:rFonts w:ascii="Inter" w:hAnsi="Inter" w:cs="Inter" w:eastAsia="Inter"/>
                <w:b w:val="0"/>
                <w:i w:val="0"/>
                <w:color w:val="43506B"/>
                <w:sz w:val="15"/>
              </w:rPr>
              <w:t>mensual</w:t>
            </w:r>
          </w:p>
        </w:tc>
        <w:tc>
          <w:tcPr>
            <w:tcW w:type="dxa" w:w="1604"/>
            <w:tcMar>
              <w:top w:w="60" w:type="dxa"/>
              <w:start w:w="100" w:type="dxa"/>
              <w:bottom w:w="60" w:type="dxa"/>
              <w:end w:w="100" w:type="dxa"/>
            </w:tcMar>
          </w:tcPr>
          <w:p>
            <w:pPr>
              <w:spacing w:after="0" w:line="276" w:lineRule="auto"/>
            </w:pPr>
            <w:r>
              <w:rPr>
                <w:rFonts w:ascii="JetBrains Mono" w:hAnsi="JetBrains Mono" w:cs="JetBrains Mono" w:eastAsia="JetBrains Mono"/>
                <w:b w:val="0"/>
                <w:i w:val="0"/>
                <w:color w:val="43506B"/>
                <w:sz w:val="15"/>
              </w:rPr>
              <w:t>US$149</w:t>
            </w:r>
          </w:p>
        </w:tc>
        <w:tc>
          <w:tcPr>
            <w:tcW w:type="dxa" w:w="2870"/>
            <w:tcMar>
              <w:top w:w="60" w:type="dxa"/>
              <w:start w:w="100" w:type="dxa"/>
              <w:bottom w:w="60" w:type="dxa"/>
              <w:end w:w="100" w:type="dxa"/>
            </w:tcMar>
          </w:tcPr>
          <w:p>
            <w:pPr>
              <w:spacing w:after="0" w:line="276" w:lineRule="auto"/>
            </w:pPr>
            <w:r>
              <w:rPr>
                <w:rFonts w:ascii="Inter" w:hAnsi="Inter" w:cs="Inter" w:eastAsia="Inter"/>
                <w:b w:val="0"/>
                <w:i w:val="0"/>
                <w:color w:val="43506B"/>
                <w:sz w:val="15"/>
              </w:rPr>
              <w:t>Suscripción por eje; entidad nombrada.</w:t>
            </w:r>
          </w:p>
        </w:tc>
      </w:tr>
      <w:tr>
        <w:trPr>
          <w:cantSplit/>
        </w:trPr>
        <w:tc>
          <w:tcPr>
            <w:tcW w:type="dxa" w:w="1942"/>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Insight · un sector</w:t>
            </w:r>
          </w:p>
        </w:tc>
        <w:tc>
          <w:tcPr>
            <w:tcW w:type="dxa" w:w="2110"/>
            <w:shd w:val="clear" w:color="auto" w:fill="F5F8FC"/>
            <w:tcMar>
              <w:top w:w="60" w:type="dxa"/>
              <w:start w:w="100" w:type="dxa"/>
              <w:bottom w:w="60" w:type="dxa"/>
              <w:end w:w="100" w:type="dxa"/>
            </w:tcMar>
          </w:tcPr>
          <w:p>
            <w:pPr>
              <w:spacing w:after="0" w:line="276" w:lineRule="auto"/>
            </w:pPr>
            <w:r>
              <w:rPr>
                <w:rFonts w:ascii="JetBrains Mono" w:hAnsi="JetBrains Mono" w:cs="JetBrains Mono" w:eastAsia="JetBrains Mono"/>
                <w:b w:val="0"/>
                <w:i w:val="0"/>
                <w:color w:val="43506B"/>
                <w:sz w:val="15"/>
              </w:rPr>
              <w:t>insight:{sector}</w:t>
            </w:r>
          </w:p>
        </w:tc>
        <w:tc>
          <w:tcPr>
            <w:tcW w:type="dxa" w:w="1266"/>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anual</w:t>
            </w:r>
          </w:p>
        </w:tc>
        <w:tc>
          <w:tcPr>
            <w:tcW w:type="dxa" w:w="1604"/>
            <w:shd w:val="clear" w:color="auto" w:fill="F5F8FC"/>
            <w:tcMar>
              <w:top w:w="60" w:type="dxa"/>
              <w:start w:w="100" w:type="dxa"/>
              <w:bottom w:w="60" w:type="dxa"/>
              <w:end w:w="100" w:type="dxa"/>
            </w:tcMar>
          </w:tcPr>
          <w:p>
            <w:pPr>
              <w:spacing w:after="0" w:line="276" w:lineRule="auto"/>
            </w:pPr>
            <w:r>
              <w:rPr>
                <w:rFonts w:ascii="JetBrains Mono" w:hAnsi="JetBrains Mono" w:cs="JetBrains Mono" w:eastAsia="JetBrains Mono"/>
                <w:b w:val="0"/>
                <w:i w:val="0"/>
                <w:color w:val="43506B"/>
                <w:sz w:val="15"/>
              </w:rPr>
              <w:t>US$1,490</w:t>
            </w:r>
          </w:p>
        </w:tc>
        <w:tc>
          <w:tcPr>
            <w:tcW w:type="dxa" w:w="2870"/>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Equivale a 10 meses; ~17% de descuento.</w:t>
            </w:r>
          </w:p>
        </w:tc>
      </w:tr>
      <w:tr>
        <w:trPr>
          <w:cantSplit/>
        </w:trPr>
        <w:tc>
          <w:tcPr>
            <w:tcW w:type="dxa" w:w="1942"/>
            <w:tcMar>
              <w:top w:w="60" w:type="dxa"/>
              <w:start w:w="100" w:type="dxa"/>
              <w:bottom w:w="60" w:type="dxa"/>
              <w:end w:w="100" w:type="dxa"/>
            </w:tcMar>
          </w:tcPr>
          <w:p>
            <w:pPr>
              <w:spacing w:after="0" w:line="276" w:lineRule="auto"/>
            </w:pPr>
            <w:r>
              <w:rPr>
                <w:rFonts w:ascii="Inter" w:hAnsi="Inter" w:cs="Inter" w:eastAsia="Inter"/>
                <w:b/>
                <w:i w:val="0"/>
                <w:color w:val="0A1A3A"/>
                <w:sz w:val="15"/>
              </w:rPr>
              <w:t>Deep Dive · un sector</w:t>
            </w:r>
          </w:p>
        </w:tc>
        <w:tc>
          <w:tcPr>
            <w:tcW w:type="dxa" w:w="2110"/>
            <w:tcMar>
              <w:top w:w="60" w:type="dxa"/>
              <w:start w:w="100" w:type="dxa"/>
              <w:bottom w:w="60" w:type="dxa"/>
              <w:end w:w="100" w:type="dxa"/>
            </w:tcMar>
          </w:tcPr>
          <w:p>
            <w:pPr>
              <w:spacing w:after="0" w:line="276" w:lineRule="auto"/>
            </w:pPr>
            <w:r>
              <w:rPr>
                <w:rFonts w:ascii="JetBrains Mono" w:hAnsi="JetBrains Mono" w:cs="JetBrains Mono" w:eastAsia="JetBrains Mono"/>
                <w:b w:val="0"/>
                <w:i w:val="0"/>
                <w:color w:val="43506B"/>
                <w:sz w:val="15"/>
              </w:rPr>
              <w:t>deep_dive:{sector}</w:t>
            </w:r>
          </w:p>
        </w:tc>
        <w:tc>
          <w:tcPr>
            <w:tcW w:type="dxa" w:w="1266"/>
            <w:tcMar>
              <w:top w:w="60" w:type="dxa"/>
              <w:start w:w="100" w:type="dxa"/>
              <w:bottom w:w="60" w:type="dxa"/>
              <w:end w:w="100" w:type="dxa"/>
            </w:tcMar>
          </w:tcPr>
          <w:p>
            <w:pPr>
              <w:spacing w:after="0" w:line="276" w:lineRule="auto"/>
            </w:pPr>
            <w:r>
              <w:rPr>
                <w:rFonts w:ascii="Inter" w:hAnsi="Inter" w:cs="Inter" w:eastAsia="Inter"/>
                <w:b w:val="0"/>
                <w:i w:val="0"/>
                <w:color w:val="43506B"/>
                <w:sz w:val="15"/>
              </w:rPr>
              <w:t>una vez</w:t>
            </w:r>
          </w:p>
        </w:tc>
        <w:tc>
          <w:tcPr>
            <w:tcW w:type="dxa" w:w="1604"/>
            <w:tcMar>
              <w:top w:w="60" w:type="dxa"/>
              <w:start w:w="100" w:type="dxa"/>
              <w:bottom w:w="60" w:type="dxa"/>
              <w:end w:w="100" w:type="dxa"/>
            </w:tcMar>
          </w:tcPr>
          <w:p>
            <w:pPr>
              <w:spacing w:after="0" w:line="276" w:lineRule="auto"/>
            </w:pPr>
            <w:r>
              <w:rPr>
                <w:rFonts w:ascii="JetBrains Mono" w:hAnsi="JetBrains Mono" w:cs="JetBrains Mono" w:eastAsia="JetBrains Mono"/>
                <w:b w:val="0"/>
                <w:i w:val="0"/>
                <w:color w:val="43506B"/>
                <w:sz w:val="15"/>
              </w:rPr>
              <w:t>US$450</w:t>
            </w:r>
          </w:p>
        </w:tc>
        <w:tc>
          <w:tcPr>
            <w:tcW w:type="dxa" w:w="2870"/>
            <w:tcMar>
              <w:top w:w="60" w:type="dxa"/>
              <w:start w:w="100" w:type="dxa"/>
              <w:bottom w:w="60" w:type="dxa"/>
              <w:end w:w="100" w:type="dxa"/>
            </w:tcMar>
          </w:tcPr>
          <w:p>
            <w:pPr>
              <w:spacing w:after="0" w:line="276" w:lineRule="auto"/>
            </w:pPr>
            <w:r>
              <w:rPr>
                <w:rFonts w:ascii="Inter" w:hAnsi="Inter" w:cs="Inter" w:eastAsia="Inter"/>
                <w:b w:val="0"/>
                <w:i w:val="0"/>
                <w:color w:val="43506B"/>
                <w:sz w:val="15"/>
              </w:rPr>
              <w:t>Informe on-demand, 8–15 páginas.</w:t>
            </w:r>
          </w:p>
        </w:tc>
      </w:tr>
      <w:tr>
        <w:trPr>
          <w:cantSplit/>
        </w:trPr>
        <w:tc>
          <w:tcPr>
            <w:tcW w:type="dxa" w:w="1942"/>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All-Access</w:t>
            </w:r>
          </w:p>
        </w:tc>
        <w:tc>
          <w:tcPr>
            <w:tcW w:type="dxa" w:w="2110"/>
            <w:shd w:val="clear" w:color="auto" w:fill="F5F8FC"/>
            <w:tcMar>
              <w:top w:w="60" w:type="dxa"/>
              <w:start w:w="100" w:type="dxa"/>
              <w:bottom w:w="60" w:type="dxa"/>
              <w:end w:w="100" w:type="dxa"/>
            </w:tcMar>
          </w:tcPr>
          <w:p>
            <w:pPr>
              <w:spacing w:after="0" w:line="276" w:lineRule="auto"/>
            </w:pPr>
            <w:r>
              <w:rPr>
                <w:rFonts w:ascii="JetBrains Mono" w:hAnsi="JetBrains Mono" w:cs="JetBrains Mono" w:eastAsia="JetBrains Mono"/>
                <w:b w:val="0"/>
                <w:i w:val="0"/>
                <w:color w:val="43506B"/>
                <w:sz w:val="15"/>
              </w:rPr>
              <w:t>all_access</w:t>
            </w:r>
          </w:p>
        </w:tc>
        <w:tc>
          <w:tcPr>
            <w:tcW w:type="dxa" w:w="1266"/>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mensual</w:t>
            </w:r>
          </w:p>
        </w:tc>
        <w:tc>
          <w:tcPr>
            <w:tcW w:type="dxa" w:w="1604"/>
            <w:shd w:val="clear" w:color="auto" w:fill="F5F8FC"/>
            <w:tcMar>
              <w:top w:w="60" w:type="dxa"/>
              <w:start w:w="100" w:type="dxa"/>
              <w:bottom w:w="60" w:type="dxa"/>
              <w:end w:w="100" w:type="dxa"/>
            </w:tcMar>
          </w:tcPr>
          <w:p>
            <w:pPr>
              <w:spacing w:after="0" w:line="276" w:lineRule="auto"/>
            </w:pPr>
            <w:r>
              <w:rPr>
                <w:rFonts w:ascii="JetBrains Mono" w:hAnsi="JetBrains Mono" w:cs="JetBrains Mono" w:eastAsia="JetBrains Mono"/>
                <w:b w:val="0"/>
                <w:i w:val="0"/>
                <w:color w:val="43506B"/>
                <w:sz w:val="15"/>
              </w:rPr>
              <w:t>US$690</w:t>
            </w:r>
          </w:p>
        </w:tc>
        <w:tc>
          <w:tcPr>
            <w:tcW w:type="dxa" w:w="2870"/>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Insight de los 16 ejes.</w:t>
            </w:r>
          </w:p>
        </w:tc>
      </w:tr>
      <w:tr>
        <w:trPr>
          <w:cantSplit/>
        </w:trPr>
        <w:tc>
          <w:tcPr>
            <w:tcW w:type="dxa" w:w="1942"/>
            <w:tcMar>
              <w:top w:w="60" w:type="dxa"/>
              <w:start w:w="100" w:type="dxa"/>
              <w:bottom w:w="60" w:type="dxa"/>
              <w:end w:w="100" w:type="dxa"/>
            </w:tcMar>
          </w:tcPr>
          <w:p>
            <w:pPr>
              <w:spacing w:after="0" w:line="276" w:lineRule="auto"/>
            </w:pPr>
            <w:r>
              <w:rPr>
                <w:rFonts w:ascii="Inter" w:hAnsi="Inter" w:cs="Inter" w:eastAsia="Inter"/>
                <w:b/>
                <w:i w:val="0"/>
                <w:color w:val="0A1A3A"/>
                <w:sz w:val="15"/>
              </w:rPr>
              <w:t>All-Access</w:t>
            </w:r>
          </w:p>
        </w:tc>
        <w:tc>
          <w:tcPr>
            <w:tcW w:type="dxa" w:w="2110"/>
            <w:tcMar>
              <w:top w:w="60" w:type="dxa"/>
              <w:start w:w="100" w:type="dxa"/>
              <w:bottom w:w="60" w:type="dxa"/>
              <w:end w:w="100" w:type="dxa"/>
            </w:tcMar>
          </w:tcPr>
          <w:p>
            <w:pPr>
              <w:spacing w:after="0" w:line="276" w:lineRule="auto"/>
            </w:pPr>
            <w:r>
              <w:rPr>
                <w:rFonts w:ascii="JetBrains Mono" w:hAnsi="JetBrains Mono" w:cs="JetBrains Mono" w:eastAsia="JetBrains Mono"/>
                <w:b w:val="0"/>
                <w:i w:val="0"/>
                <w:color w:val="43506B"/>
                <w:sz w:val="15"/>
              </w:rPr>
              <w:t>all_access</w:t>
            </w:r>
          </w:p>
        </w:tc>
        <w:tc>
          <w:tcPr>
            <w:tcW w:type="dxa" w:w="1266"/>
            <w:tcMar>
              <w:top w:w="60" w:type="dxa"/>
              <w:start w:w="100" w:type="dxa"/>
              <w:bottom w:w="60" w:type="dxa"/>
              <w:end w:w="100" w:type="dxa"/>
            </w:tcMar>
          </w:tcPr>
          <w:p>
            <w:pPr>
              <w:spacing w:after="0" w:line="276" w:lineRule="auto"/>
            </w:pPr>
            <w:r>
              <w:rPr>
                <w:rFonts w:ascii="Inter" w:hAnsi="Inter" w:cs="Inter" w:eastAsia="Inter"/>
                <w:b w:val="0"/>
                <w:i w:val="0"/>
                <w:color w:val="43506B"/>
                <w:sz w:val="15"/>
              </w:rPr>
              <w:t>anual</w:t>
            </w:r>
          </w:p>
        </w:tc>
        <w:tc>
          <w:tcPr>
            <w:tcW w:type="dxa" w:w="1604"/>
            <w:tcMar>
              <w:top w:w="60" w:type="dxa"/>
              <w:start w:w="100" w:type="dxa"/>
              <w:bottom w:w="60" w:type="dxa"/>
              <w:end w:w="100" w:type="dxa"/>
            </w:tcMar>
          </w:tcPr>
          <w:p>
            <w:pPr>
              <w:spacing w:after="0" w:line="276" w:lineRule="auto"/>
            </w:pPr>
            <w:r>
              <w:rPr>
                <w:rFonts w:ascii="JetBrains Mono" w:hAnsi="JetBrains Mono" w:cs="JetBrains Mono" w:eastAsia="JetBrains Mono"/>
                <w:b w:val="0"/>
                <w:i w:val="0"/>
                <w:color w:val="43506B"/>
                <w:sz w:val="15"/>
              </w:rPr>
              <w:t>US$6,900</w:t>
            </w:r>
          </w:p>
        </w:tc>
        <w:tc>
          <w:tcPr>
            <w:tcW w:type="dxa" w:w="2870"/>
            <w:tcMar>
              <w:top w:w="60" w:type="dxa"/>
              <w:start w:w="100" w:type="dxa"/>
              <w:bottom w:w="60" w:type="dxa"/>
              <w:end w:w="100" w:type="dxa"/>
            </w:tcMar>
          </w:tcPr>
          <w:p>
            <w:pPr>
              <w:spacing w:after="0" w:line="276" w:lineRule="auto"/>
            </w:pPr>
            <w:r>
              <w:rPr>
                <w:rFonts w:ascii="Inter" w:hAnsi="Inter" w:cs="Inter" w:eastAsia="Inter"/>
                <w:b w:val="0"/>
                <w:i w:val="0"/>
                <w:color w:val="43506B"/>
                <w:sz w:val="15"/>
              </w:rPr>
              <w:t>Bundle anual.</w:t>
            </w:r>
          </w:p>
        </w:tc>
      </w:tr>
      <w:tr>
        <w:trPr>
          <w:cantSplit/>
        </w:trPr>
        <w:tc>
          <w:tcPr>
            <w:tcW w:type="dxa" w:w="1942"/>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Enterprise</w:t>
            </w:r>
          </w:p>
        </w:tc>
        <w:tc>
          <w:tcPr>
            <w:tcW w:type="dxa" w:w="2110"/>
            <w:shd w:val="clear" w:color="auto" w:fill="F5F8FC"/>
            <w:tcMar>
              <w:top w:w="60" w:type="dxa"/>
              <w:start w:w="100" w:type="dxa"/>
              <w:bottom w:w="60" w:type="dxa"/>
              <w:end w:w="100" w:type="dxa"/>
            </w:tcMar>
          </w:tcPr>
          <w:p>
            <w:pPr>
              <w:spacing w:after="0" w:line="276" w:lineRule="auto"/>
            </w:pPr>
            <w:r>
              <w:rPr>
                <w:rFonts w:ascii="JetBrains Mono" w:hAnsi="JetBrains Mono" w:cs="JetBrains Mono" w:eastAsia="JetBrains Mono"/>
                <w:b w:val="0"/>
                <w:i w:val="0"/>
                <w:color w:val="43506B"/>
                <w:sz w:val="15"/>
              </w:rPr>
              <w:t>enterprise</w:t>
            </w:r>
          </w:p>
        </w:tc>
        <w:tc>
          <w:tcPr>
            <w:tcW w:type="dxa" w:w="1266"/>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mensual</w:t>
            </w:r>
          </w:p>
        </w:tc>
        <w:tc>
          <w:tcPr>
            <w:tcW w:type="dxa" w:w="1604"/>
            <w:shd w:val="clear" w:color="auto" w:fill="F5F8FC"/>
            <w:tcMar>
              <w:top w:w="60" w:type="dxa"/>
              <w:start w:w="100" w:type="dxa"/>
              <w:bottom w:w="60" w:type="dxa"/>
              <w:end w:w="100" w:type="dxa"/>
            </w:tcMar>
          </w:tcPr>
          <w:p>
            <w:pPr>
              <w:spacing w:after="0" w:line="276" w:lineRule="auto"/>
            </w:pPr>
            <w:r>
              <w:rPr>
                <w:rFonts w:ascii="JetBrains Mono" w:hAnsi="JetBrains Mono" w:cs="JetBrains Mono" w:eastAsia="JetBrains Mono"/>
                <w:b w:val="0"/>
                <w:i w:val="0"/>
                <w:color w:val="43506B"/>
                <w:sz w:val="15"/>
              </w:rPr>
              <w:t>US$1,450</w:t>
            </w:r>
          </w:p>
        </w:tc>
        <w:tc>
          <w:tcPr>
            <w:tcW w:type="dxa" w:w="2870"/>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Catálogo completo: Insight + Deep Dive.</w:t>
            </w:r>
          </w:p>
        </w:tc>
      </w:tr>
      <w:tr>
        <w:trPr>
          <w:cantSplit/>
        </w:trPr>
        <w:tc>
          <w:tcPr>
            <w:tcW w:type="dxa" w:w="1942"/>
            <w:tcMar>
              <w:top w:w="60" w:type="dxa"/>
              <w:start w:w="100" w:type="dxa"/>
              <w:bottom w:w="60" w:type="dxa"/>
              <w:end w:w="100" w:type="dxa"/>
            </w:tcMar>
          </w:tcPr>
          <w:p>
            <w:pPr>
              <w:spacing w:after="0" w:line="276" w:lineRule="auto"/>
            </w:pPr>
            <w:r>
              <w:rPr>
                <w:rFonts w:ascii="Inter" w:hAnsi="Inter" w:cs="Inter" w:eastAsia="Inter"/>
                <w:b/>
                <w:i w:val="0"/>
                <w:color w:val="0A1A3A"/>
                <w:sz w:val="15"/>
              </w:rPr>
              <w:t>Enterprise</w:t>
            </w:r>
          </w:p>
        </w:tc>
        <w:tc>
          <w:tcPr>
            <w:tcW w:type="dxa" w:w="2110"/>
            <w:tcMar>
              <w:top w:w="60" w:type="dxa"/>
              <w:start w:w="100" w:type="dxa"/>
              <w:bottom w:w="60" w:type="dxa"/>
              <w:end w:w="100" w:type="dxa"/>
            </w:tcMar>
          </w:tcPr>
          <w:p>
            <w:pPr>
              <w:spacing w:after="0" w:line="276" w:lineRule="auto"/>
            </w:pPr>
            <w:r>
              <w:rPr>
                <w:rFonts w:ascii="JetBrains Mono" w:hAnsi="JetBrains Mono" w:cs="JetBrains Mono" w:eastAsia="JetBrains Mono"/>
                <w:b w:val="0"/>
                <w:i w:val="0"/>
                <w:color w:val="43506B"/>
                <w:sz w:val="15"/>
              </w:rPr>
              <w:t>enterprise</w:t>
            </w:r>
          </w:p>
        </w:tc>
        <w:tc>
          <w:tcPr>
            <w:tcW w:type="dxa" w:w="1266"/>
            <w:tcMar>
              <w:top w:w="60" w:type="dxa"/>
              <w:start w:w="100" w:type="dxa"/>
              <w:bottom w:w="60" w:type="dxa"/>
              <w:end w:w="100" w:type="dxa"/>
            </w:tcMar>
          </w:tcPr>
          <w:p>
            <w:pPr>
              <w:spacing w:after="0" w:line="276" w:lineRule="auto"/>
            </w:pPr>
            <w:r>
              <w:rPr>
                <w:rFonts w:ascii="Inter" w:hAnsi="Inter" w:cs="Inter" w:eastAsia="Inter"/>
                <w:b w:val="0"/>
                <w:i w:val="0"/>
                <w:color w:val="43506B"/>
                <w:sz w:val="15"/>
              </w:rPr>
              <w:t>anual</w:t>
            </w:r>
          </w:p>
        </w:tc>
        <w:tc>
          <w:tcPr>
            <w:tcW w:type="dxa" w:w="1604"/>
            <w:tcMar>
              <w:top w:w="60" w:type="dxa"/>
              <w:start w:w="100" w:type="dxa"/>
              <w:bottom w:w="60" w:type="dxa"/>
              <w:end w:w="100" w:type="dxa"/>
            </w:tcMar>
          </w:tcPr>
          <w:p>
            <w:pPr>
              <w:spacing w:after="0" w:line="276" w:lineRule="auto"/>
            </w:pPr>
            <w:r>
              <w:rPr>
                <w:rFonts w:ascii="JetBrains Mono" w:hAnsi="JetBrains Mono" w:cs="JetBrains Mono" w:eastAsia="JetBrains Mono"/>
                <w:b w:val="0"/>
                <w:i w:val="0"/>
                <w:color w:val="43506B"/>
                <w:sz w:val="15"/>
              </w:rPr>
              <w:t>US$14,500</w:t>
            </w:r>
          </w:p>
        </w:tc>
        <w:tc>
          <w:tcPr>
            <w:tcW w:type="dxa" w:w="2870"/>
            <w:tcMar>
              <w:top w:w="60" w:type="dxa"/>
              <w:start w:w="100" w:type="dxa"/>
              <w:bottom w:w="60" w:type="dxa"/>
              <w:end w:w="100" w:type="dxa"/>
            </w:tcMar>
          </w:tcPr>
          <w:p>
            <w:pPr>
              <w:spacing w:after="0" w:line="276" w:lineRule="auto"/>
            </w:pPr>
            <w:r>
              <w:rPr>
                <w:rFonts w:ascii="Inter" w:hAnsi="Inter" w:cs="Inter" w:eastAsia="Inter"/>
                <w:b w:val="0"/>
                <w:i w:val="0"/>
                <w:color w:val="43506B"/>
                <w:sz w:val="15"/>
              </w:rPr>
              <w:t>Bundle anual.</w:t>
            </w:r>
          </w:p>
        </w:tc>
      </w:tr>
      <w:tr>
        <w:trPr>
          <w:cantSplit/>
        </w:trPr>
        <w:tc>
          <w:tcPr>
            <w:tcW w:type="dxa" w:w="1942"/>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Research a Medida</w:t>
            </w:r>
          </w:p>
        </w:tc>
        <w:tc>
          <w:tcPr>
            <w:tcW w:type="dxa" w:w="2110"/>
            <w:shd w:val="clear" w:color="auto" w:fill="F5F8FC"/>
            <w:tcMar>
              <w:top w:w="60" w:type="dxa"/>
              <w:start w:w="100" w:type="dxa"/>
              <w:bottom w:w="60" w:type="dxa"/>
              <w:end w:w="100" w:type="dxa"/>
            </w:tcMar>
          </w:tcPr>
          <w:p>
            <w:pPr>
              <w:spacing w:after="0" w:line="276" w:lineRule="auto"/>
            </w:pPr>
            <w:r>
              <w:rPr>
                <w:rFonts w:ascii="JetBrains Mono" w:hAnsi="JetBrains Mono" w:cs="JetBrains Mono" w:eastAsia="JetBrains Mono"/>
                <w:b w:val="0"/>
                <w:i w:val="0"/>
                <w:color w:val="43506B"/>
                <w:sz w:val="15"/>
              </w:rPr>
              <w:t>special:research-custom</w:t>
            </w:r>
          </w:p>
        </w:tc>
        <w:tc>
          <w:tcPr>
            <w:tcW w:type="dxa" w:w="1266"/>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por encargo</w:t>
            </w:r>
          </w:p>
        </w:tc>
        <w:tc>
          <w:tcPr>
            <w:tcW w:type="dxa" w:w="1604"/>
            <w:shd w:val="clear" w:color="auto" w:fill="F5F8FC"/>
            <w:tcMar>
              <w:top w:w="60" w:type="dxa"/>
              <w:start w:w="100" w:type="dxa"/>
              <w:bottom w:w="60" w:type="dxa"/>
              <w:end w:w="100" w:type="dxa"/>
            </w:tcMar>
          </w:tcPr>
          <w:p>
            <w:pPr>
              <w:spacing w:after="0" w:line="276" w:lineRule="auto"/>
            </w:pPr>
            <w:r>
              <w:rPr>
                <w:rFonts w:ascii="JetBrains Mono" w:hAnsi="JetBrains Mono" w:cs="JetBrains Mono" w:eastAsia="JetBrains Mono"/>
                <w:b w:val="0"/>
                <w:i w:val="0"/>
                <w:color w:val="43506B"/>
                <w:sz w:val="15"/>
              </w:rPr>
              <w:t>US$3,500</w:t>
            </w:r>
          </w:p>
        </w:tc>
        <w:tc>
          <w:tcPr>
            <w:tcW w:type="dxa" w:w="2870"/>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ANCLA decidida (provisional). Consultoría tradicional: US$7,000–25,000+.</w:t>
            </w:r>
          </w:p>
        </w:tc>
      </w:tr>
    </w:tbl>
    <w:p>
      <w:pPr>
        <w:spacing w:after="120" w:before="0"/>
      </w:pPr>
    </w:p>
    <w:p>
      <w:pPr>
        <w:spacing w:after="120" w:before="0"/>
      </w:pPr>
      <w:r>
        <w:rPr>
          <w:rFonts w:ascii="Inter" w:hAnsi="Inter" w:cs="Inter" w:eastAsia="Inter"/>
          <w:b w:val="0"/>
          <w:i w:val="0"/>
          <w:color w:val="43506B"/>
          <w:sz w:val="19"/>
        </w:rPr>
        <w:t>Referencia de mercado para el encuadre: un encargo de consultoría tradicional equivalente cuesta entre US$7.000 y US$25.000 o más, y no entrega ni procedencia por variable ni actualización.</w:t>
      </w:r>
    </w:p>
    <w:p>
      <w:pPr>
        <w:keepNext/>
        <w:spacing w:before="260" w:after="60"/>
      </w:pPr>
      <w:r>
        <w:rPr>
          <w:rFonts w:ascii="Plus Jakarta Sans" w:hAnsi="Plus Jakarta Sans" w:cs="Plus Jakarta Sans" w:eastAsia="Plus Jakarta Sans"/>
          <w:b/>
          <w:i w:val="0"/>
          <w:color w:val="0A1A3A"/>
          <w:spacing w:val="-8"/>
          <w:sz w:val="25"/>
        </w:rPr>
        <w:t>6.3 Estado operativo del cobro</w:t>
      </w:r>
    </w:p>
    <w:p>
      <w:pPr>
        <w:spacing w:after="120" w:before="0"/>
      </w:pPr>
      <w:r>
        <w:rPr>
          <w:rFonts w:ascii="Inter" w:hAnsi="Inter" w:cs="Inter" w:eastAsia="Inter"/>
          <w:b w:val="0"/>
          <w:i w:val="0"/>
          <w:color w:val="43506B"/>
          <w:sz w:val="19"/>
        </w:rPr>
        <w:t>Para que la presentación no prometa un flujo que hoy no está encendido:</w:t>
      </w:r>
    </w:p>
    <w:tbl>
      <w:tblPr>
        <w:tblW w:type="auto" w:w="0"/>
        <w:jc w:val="left"/>
        <w:tblBorders>
          <w:top w:val="single" w:sz="4" w:space="0" w:color="E7ECF3"/>
          <w:left w:val="single" w:sz="4" w:space="0" w:color="E7ECF3"/>
          <w:bottom w:val="single" w:sz="4" w:space="0" w:color="E7ECF3"/>
          <w:right w:val="single" w:sz="4" w:space="0" w:color="E7ECF3"/>
          <w:insideH w:val="single" w:sz="4" w:space="0" w:color="E7ECF3"/>
          <w:insideV w:val="single" w:sz="4" w:space="0" w:color="E7ECF3"/>
        </w:tblBorders>
        <w:tblLayout w:type="fixed"/>
        <w:tblLook w:firstColumn="1" w:firstRow="1" w:lastColumn="0" w:lastRow="0" w:noHBand="0" w:noVBand="1" w:val="04A0"/>
      </w:tblPr>
      <w:tblGrid>
        <w:gridCol w:w="3376"/>
        <w:gridCol w:w="6415"/>
      </w:tblGrid>
      <w:tr>
        <w:trPr>
          <w:tblHeader/>
        </w:trPr>
        <w:tc>
          <w:tcPr>
            <w:tcW w:type="dxa" w:w="3377"/>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PIEZA</w:t>
            </w:r>
          </w:p>
        </w:tc>
        <w:tc>
          <w:tcPr>
            <w:tcW w:type="dxa" w:w="6415"/>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ESTADO</w:t>
            </w:r>
          </w:p>
        </w:tc>
      </w:tr>
      <w:tr>
        <w:trPr>
          <w:cantSplit/>
        </w:trPr>
        <w:tc>
          <w:tcPr>
            <w:tcW w:type="dxa" w:w="3377"/>
            <w:tcMar>
              <w:top w:w="60" w:type="dxa"/>
              <w:start w:w="100" w:type="dxa"/>
              <w:bottom w:w="60" w:type="dxa"/>
              <w:end w:w="100" w:type="dxa"/>
            </w:tcMar>
          </w:tcPr>
          <w:p>
            <w:pPr>
              <w:spacing w:after="0" w:line="276" w:lineRule="auto"/>
            </w:pPr>
            <w:r>
              <w:rPr>
                <w:rFonts w:ascii="Inter" w:hAnsi="Inter" w:cs="Inter" w:eastAsia="Inter"/>
                <w:b/>
                <w:i w:val="0"/>
                <w:color w:val="0A1A3A"/>
                <w:sz w:val="16"/>
              </w:rPr>
              <w:t>Código de checkout y suscripción</w:t>
            </w:r>
          </w:p>
        </w:tc>
        <w:tc>
          <w:tcPr>
            <w:tcW w:type="dxa" w:w="6415"/>
            <w:tcMar>
              <w:top w:w="60" w:type="dxa"/>
              <w:start w:w="100" w:type="dxa"/>
              <w:bottom w:w="60" w:type="dxa"/>
              <w:end w:w="100" w:type="dxa"/>
            </w:tcMar>
          </w:tcPr>
          <w:p>
            <w:pPr>
              <w:spacing w:after="0" w:line="276" w:lineRule="auto"/>
            </w:pPr>
            <w:r>
              <w:rPr>
                <w:rFonts w:ascii="Inter" w:hAnsi="Inter" w:cs="Inter" w:eastAsia="Inter"/>
                <w:b w:val="0"/>
                <w:i w:val="0"/>
                <w:color w:val="43506B"/>
                <w:sz w:val="16"/>
              </w:rPr>
              <w:t>Listo; ambiente sandbox y producción por configuración.</w:t>
            </w:r>
          </w:p>
        </w:tc>
      </w:tr>
      <w:tr>
        <w:trPr>
          <w:cantSplit/>
        </w:trPr>
        <w:tc>
          <w:tcPr>
            <w:tcW w:type="dxa" w:w="3377"/>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Desglose de ITBIS y facturación</w:t>
            </w:r>
          </w:p>
        </w:tc>
        <w:tc>
          <w:tcPr>
            <w:tcW w:type="dxa" w:w="641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Listo.</w:t>
            </w:r>
          </w:p>
        </w:tc>
      </w:tr>
      <w:tr>
        <w:trPr>
          <w:cantSplit/>
        </w:trPr>
        <w:tc>
          <w:tcPr>
            <w:tcW w:type="dxa" w:w="3377"/>
            <w:tcMar>
              <w:top w:w="60" w:type="dxa"/>
              <w:start w:w="100" w:type="dxa"/>
              <w:bottom w:w="60" w:type="dxa"/>
              <w:end w:w="100" w:type="dxa"/>
            </w:tcMar>
          </w:tcPr>
          <w:p>
            <w:pPr>
              <w:spacing w:after="0" w:line="276" w:lineRule="auto"/>
            </w:pPr>
            <w:r>
              <w:rPr>
                <w:rFonts w:ascii="Inter" w:hAnsi="Inter" w:cs="Inter" w:eastAsia="Inter"/>
                <w:b/>
                <w:i w:val="0"/>
                <w:color w:val="0A1A3A"/>
                <w:sz w:val="16"/>
              </w:rPr>
              <w:t>Comprobante fiscal electrónico (e-CF)</w:t>
            </w:r>
          </w:p>
        </w:tc>
        <w:tc>
          <w:tcPr>
            <w:tcW w:type="dxa" w:w="6415"/>
            <w:tcMar>
              <w:top w:w="60" w:type="dxa"/>
              <w:start w:w="100" w:type="dxa"/>
              <w:bottom w:w="60" w:type="dxa"/>
              <w:end w:w="100" w:type="dxa"/>
            </w:tcMar>
          </w:tcPr>
          <w:p>
            <w:pPr>
              <w:spacing w:after="0" w:line="276" w:lineRule="auto"/>
            </w:pPr>
            <w:r>
              <w:rPr>
                <w:rFonts w:ascii="Inter" w:hAnsi="Inter" w:cs="Inter" w:eastAsia="Inter"/>
                <w:b w:val="0"/>
                <w:i w:val="0"/>
                <w:color w:val="43506B"/>
                <w:sz w:val="16"/>
              </w:rPr>
              <w:t>Implementado.</w:t>
            </w:r>
          </w:p>
        </w:tc>
      </w:tr>
      <w:tr>
        <w:trPr>
          <w:cantSplit/>
        </w:trPr>
        <w:tc>
          <w:tcPr>
            <w:tcW w:type="dxa" w:w="3377"/>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Credenciales de la pasarela</w:t>
            </w:r>
          </w:p>
        </w:tc>
        <w:tc>
          <w:tcPr>
            <w:tcW w:type="dxa" w:w="641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Pendientes del dueño: falta el secreto y activar la bandera.</w:t>
            </w:r>
          </w:p>
        </w:tc>
      </w:tr>
      <w:tr>
        <w:trPr>
          <w:cantSplit/>
        </w:trPr>
        <w:tc>
          <w:tcPr>
            <w:tcW w:type="dxa" w:w="3377"/>
            <w:tcMar>
              <w:top w:w="60" w:type="dxa"/>
              <w:start w:w="100" w:type="dxa"/>
              <w:bottom w:w="60" w:type="dxa"/>
              <w:end w:w="100" w:type="dxa"/>
            </w:tcMar>
          </w:tcPr>
          <w:p>
            <w:pPr>
              <w:spacing w:after="0" w:line="276" w:lineRule="auto"/>
            </w:pPr>
            <w:r>
              <w:rPr>
                <w:rFonts w:ascii="Inter" w:hAnsi="Inter" w:cs="Inter" w:eastAsia="Inter"/>
                <w:b/>
                <w:i w:val="0"/>
                <w:color w:val="0A1A3A"/>
                <w:sz w:val="16"/>
              </w:rPr>
              <w:t>Planes de cobro por SKU e intervalo</w:t>
            </w:r>
          </w:p>
        </w:tc>
        <w:tc>
          <w:tcPr>
            <w:tcW w:type="dxa" w:w="6415"/>
            <w:tcMar>
              <w:top w:w="60" w:type="dxa"/>
              <w:start w:w="100" w:type="dxa"/>
              <w:bottom w:w="60" w:type="dxa"/>
              <w:end w:w="100" w:type="dxa"/>
            </w:tcMar>
          </w:tcPr>
          <w:p>
            <w:pPr>
              <w:spacing w:after="0" w:line="276" w:lineRule="auto"/>
            </w:pPr>
            <w:r>
              <w:rPr>
                <w:rFonts w:ascii="Inter" w:hAnsi="Inter" w:cs="Inter" w:eastAsia="Inter"/>
                <w:b w:val="0"/>
                <w:i w:val="0"/>
                <w:color w:val="43506B"/>
                <w:sz w:val="16"/>
              </w:rPr>
              <w:t>Pendientes de crear en el panel del proveedor.</w:t>
            </w:r>
          </w:p>
        </w:tc>
      </w:tr>
      <w:tr>
        <w:trPr>
          <w:cantSplit/>
        </w:trPr>
        <w:tc>
          <w:tcPr>
            <w:tcW w:type="dxa" w:w="3377"/>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Tarifario publicado</w:t>
            </w:r>
          </w:p>
        </w:tc>
        <w:tc>
          <w:tcPr>
            <w:tcW w:type="dxa" w:w="641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Pendiente: sin precios publicados no hay venta posible.</w:t>
            </w:r>
          </w:p>
        </w:tc>
      </w:tr>
    </w:tbl>
    <w:p>
      <w:pPr>
        <w:spacing w:after="120" w:before="0"/>
      </w:pPr>
    </w:p>
    <w:p>
      <w:pPr>
        <w:keepNext/>
        <w:spacing w:before="260" w:after="60"/>
      </w:pPr>
      <w:r>
        <w:rPr>
          <w:rFonts w:ascii="Plus Jakarta Sans" w:hAnsi="Plus Jakarta Sans" w:cs="Plus Jakarta Sans" w:eastAsia="Plus Jakarta Sans"/>
          <w:b/>
          <w:i w:val="0"/>
          <w:color w:val="0A1A3A"/>
          <w:spacing w:val="-8"/>
          <w:sz w:val="25"/>
        </w:rPr>
        <w:t>6.4 El argumento de la escalera</w:t>
      </w:r>
    </w:p>
    <w:p>
      <w:pPr>
        <w:spacing w:after="120" w:before="0"/>
      </w:pPr>
      <w:r>
        <w:rPr>
          <w:rFonts w:ascii="Inter" w:hAnsi="Inter" w:cs="Inter" w:eastAsia="Inter"/>
          <w:b w:val="0"/>
          <w:i w:val="0"/>
          <w:color w:val="43506B"/>
          <w:sz w:val="19"/>
        </w:rPr>
        <w:t>La estructura de tres niveles no es solo empaquetado; es el recorrido comercial y conviene dibujarlo así en la presentación.</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Pulse abre el mercado. </w:t>
      </w:r>
      <w:r>
        <w:rPr>
          <w:rFonts w:ascii="Inter" w:hAnsi="Inter" w:cs="Inter" w:eastAsia="Inter"/>
          <w:b w:val="0"/>
          <w:i w:val="0"/>
          <w:color w:val="43506B"/>
          <w:sz w:val="19"/>
        </w:rPr>
        <w:t>Es publicable, citable por la prensa y no expone a ninguna entidad. Genera la reputación de la casa y el tráfico.</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Insight monetiza el nombre. </w:t>
      </w:r>
      <w:r>
        <w:rPr>
          <w:rFonts w:ascii="Inter" w:hAnsi="Inter" w:cs="Inter" w:eastAsia="Inter"/>
          <w:b w:val="0"/>
          <w:i w:val="0"/>
          <w:color w:val="43506B"/>
          <w:sz w:val="19"/>
        </w:rPr>
        <w:t>El salto de la banda a la entidad nombrada es exactamente lo que el cliente institucional necesita y no puede publicar solo.</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Deep Dive y Research capturan el encargo. </w:t>
      </w:r>
      <w:r>
        <w:rPr>
          <w:rFonts w:ascii="Inter" w:hAnsi="Inter" w:cs="Inter" w:eastAsia="Inter"/>
          <w:b w:val="0"/>
          <w:i w:val="0"/>
          <w:color w:val="43506B"/>
          <w:sz w:val="19"/>
        </w:rPr>
        <w:t>Es donde se compite contra la consultoría tradicional, con una fracción del precio y con procedencia auditable que la consultoría no entrega.</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Las alertas y la API retienen. </w:t>
      </w:r>
      <w:r>
        <w:rPr>
          <w:rFonts w:ascii="Inter" w:hAnsi="Inter" w:cs="Inter" w:eastAsia="Inter"/>
          <w:b w:val="0"/>
          <w:i w:val="0"/>
          <w:color w:val="43506B"/>
          <w:sz w:val="19"/>
        </w:rPr>
        <w:t>Convierten una compra puntual en una dependencia operativa: cuando el modelo de riesgo del cliente consume la serie de SDQ, el costo de cambio deja de ser el precio.</w:t>
      </w:r>
    </w:p>
    <w:p>
      <w:r>
        <w:br w:type="page"/>
      </w:r>
    </w:p>
    <w:p>
      <w:pPr>
        <w:spacing w:before="40" w:after="20"/>
      </w:pPr>
      <w:r>
        <w:rPr>
          <w:rFonts w:ascii="JetBrains Mono" w:hAnsi="JetBrains Mono" w:cs="JetBrains Mono" w:eastAsia="JetBrains Mono"/>
          <w:b/>
          <w:i w:val="0"/>
          <w:color w:val="1E6FFF"/>
          <w:spacing w:val="26"/>
          <w:sz w:val="15"/>
        </w:rPr>
        <w:t>§7 · FILTRO OBLIGATORIO DE MENSAJE</w:t>
      </w:r>
    </w:p>
    <w:p>
      <w:pPr>
        <w:keepNext/>
        <w:spacing w:before="0" w:after="60"/>
      </w:pPr>
      <w:r>
        <w:rPr>
          <w:rFonts w:ascii="Plus Jakarta Sans" w:hAnsi="Plus Jakarta Sans" w:cs="Plus Jakarta Sans" w:eastAsia="Plus Jakarta Sans"/>
          <w:b/>
          <w:i w:val="0"/>
          <w:color w:val="0A1A3A"/>
          <w:spacing w:val="-12"/>
          <w:sz w:val="38"/>
        </w:rPr>
        <w:t>Qué se puede afirmar y qué no</w:t>
      </w:r>
    </w:p>
    <w:p>
      <w:pPr>
        <w:pBdr>
          <w:bottom w:val="single" w:sz="10" w:space="1" w:color="1E6FFF"/>
        </w:pBdr>
        <w:spacing w:before="20" w:after="200"/>
      </w:pPr>
    </w:p>
    <w:tbl>
      <w:tblPr>
        <w:tblW w:type="auto" w:w="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72"/>
        <w:gridCol w:w="9720"/>
      </w:tblGrid>
      <w:tr>
        <w:trPr>
          <w:cantSplit/>
        </w:trPr>
        <w:tc>
          <w:tcPr>
            <w:tcW w:type="dxa" w:w="72"/>
            <w:shd w:val="clear" w:color="auto" w:fill="C8392E"/>
            <w:tcMar>
              <w:top w:w="0" w:type="dxa"/>
              <w:start w:w="0" w:type="dxa"/>
              <w:bottom w:w="0" w:type="dxa"/>
              <w:end w:w="0" w:type="dxa"/>
            </w:tcMar>
          </w:tcPr>
          <w:p>
            <w:pPr>
              <w:spacing w:after="0"/>
            </w:pPr>
          </w:p>
        </w:tc>
        <w:tc>
          <w:tcPr>
            <w:tcW w:type="dxa" w:w="9720"/>
            <w:shd w:val="clear" w:color="auto" w:fill="FBEAE8"/>
            <w:tcMar>
              <w:top w:w="120" w:type="dxa"/>
              <w:start w:w="160" w:type="dxa"/>
              <w:bottom w:w="120" w:type="dxa"/>
              <w:end w:w="160" w:type="dxa"/>
            </w:tcMar>
          </w:tcPr>
          <w:p>
            <w:pPr>
              <w:spacing w:after="40"/>
            </w:pPr>
            <w:r>
              <w:rPr>
                <w:rFonts w:ascii="JetBrains Mono" w:hAnsi="JetBrains Mono" w:cs="JetBrains Mono" w:eastAsia="JetBrains Mono"/>
                <w:b/>
                <w:i w:val="0"/>
                <w:color w:val="C8392E"/>
                <w:spacing w:val="24"/>
                <w:sz w:val="15"/>
              </w:rPr>
              <w:t>POR QUÉ ESTA SECCIÓN EXISTE</w:t>
            </w:r>
          </w:p>
          <w:p>
            <w:pPr>
              <w:spacing w:after="0"/>
            </w:pPr>
            <w:r>
              <w:rPr>
                <w:rFonts w:ascii="Inter" w:hAnsi="Inter" w:cs="Inter" w:eastAsia="Inter"/>
                <w:b w:val="0"/>
                <w:i w:val="0"/>
                <w:color w:val="0A1A3A"/>
                <w:sz w:val="19"/>
              </w:rPr>
              <w:t>Un comprador institucional puede auditar. El mayor riesgo reputacional de SDQ·MIP es una brecha entre el material de venta y lo que el código sostiene. Toda pieza de la presentación pasa por acá antes de salir.</w:t>
            </w:r>
          </w:p>
        </w:tc>
      </w:tr>
    </w:tbl>
    <w:p>
      <w:pPr>
        <w:spacing w:after="80" w:before="0"/>
      </w:pPr>
    </w:p>
    <w:p>
      <w:pPr>
        <w:keepNext/>
        <w:spacing w:before="260" w:after="60"/>
      </w:pPr>
      <w:r>
        <w:rPr>
          <w:rFonts w:ascii="Plus Jakarta Sans" w:hAnsi="Plus Jakarta Sans" w:cs="Plus Jakarta Sans" w:eastAsia="Plus Jakarta Sans"/>
          <w:b/>
          <w:i w:val="0"/>
          <w:color w:val="0A1A3A"/>
          <w:spacing w:val="-8"/>
          <w:sz w:val="25"/>
        </w:rPr>
        <w:t>7.1 La regla madre</w:t>
      </w:r>
    </w:p>
    <w:p>
      <w:pPr>
        <w:spacing w:after="120" w:before="0"/>
      </w:pPr>
      <w:r>
        <w:rPr>
          <w:rFonts w:ascii="Inter" w:hAnsi="Inter" w:cs="Inter" w:eastAsia="Inter"/>
          <w:b w:val="0"/>
          <w:i w:val="0"/>
          <w:color w:val="43506B"/>
          <w:sz w:val="19"/>
        </w:rPr>
        <w:t>En cualquier material se distinguen siempre tres cosas, y no se confunden:</w:t>
      </w:r>
    </w:p>
    <w:tbl>
      <w:tblPr>
        <w:tblW w:type="auto" w:w="0"/>
        <w:jc w:val="left"/>
        <w:tblBorders>
          <w:top w:val="single" w:sz="4" w:space="0" w:color="E7ECF3"/>
          <w:left w:val="single" w:sz="4" w:space="0" w:color="E7ECF3"/>
          <w:bottom w:val="single" w:sz="4" w:space="0" w:color="E7ECF3"/>
          <w:right w:val="single" w:sz="4" w:space="0" w:color="E7ECF3"/>
          <w:insideH w:val="single" w:sz="4" w:space="0" w:color="E7ECF3"/>
          <w:insideV w:val="single" w:sz="4" w:space="0" w:color="E7ECF3"/>
        </w:tblBorders>
        <w:tblLayout w:type="fixed"/>
        <w:tblLook w:firstColumn="1" w:firstRow="1" w:lastColumn="0" w:lastRow="0" w:noHBand="0" w:noVBand="1" w:val="04A0"/>
      </w:tblPr>
      <w:tblGrid>
        <w:gridCol w:w="1688"/>
        <w:gridCol w:w="6415"/>
        <w:gridCol w:w="1688"/>
      </w:tblGrid>
      <w:tr>
        <w:trPr>
          <w:tblHeader/>
        </w:trPr>
        <w:tc>
          <w:tcPr>
            <w:tcW w:type="dxa" w:w="1688"/>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CATEGORÍA</w:t>
            </w:r>
          </w:p>
        </w:tc>
        <w:tc>
          <w:tcPr>
            <w:tcW w:type="dxa" w:w="6415"/>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QUÉ ES</w:t>
            </w:r>
          </w:p>
        </w:tc>
        <w:tc>
          <w:tcPr>
            <w:tcW w:type="dxa" w:w="1688"/>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CÓMO SE ROTULA</w:t>
            </w:r>
          </w:p>
        </w:tc>
      </w:tr>
      <w:tr>
        <w:trPr>
          <w:cantSplit/>
        </w:trPr>
        <w:tc>
          <w:tcPr>
            <w:tcW w:type="dxa" w:w="1688"/>
            <w:tcMar>
              <w:top w:w="60" w:type="dxa"/>
              <w:start w:w="100" w:type="dxa"/>
              <w:bottom w:w="60" w:type="dxa"/>
              <w:end w:w="100" w:type="dxa"/>
            </w:tcMar>
          </w:tcPr>
          <w:p>
            <w:pPr>
              <w:spacing w:after="0" w:line="276" w:lineRule="auto"/>
            </w:pPr>
            <w:r>
              <w:rPr>
                <w:rFonts w:ascii="Inter" w:hAnsi="Inter" w:cs="Inter" w:eastAsia="Inter"/>
                <w:b/>
                <w:i w:val="0"/>
                <w:color w:val="0A1A3A"/>
                <w:sz w:val="16"/>
              </w:rPr>
              <w:t>Dato medido</w:t>
            </w:r>
          </w:p>
        </w:tc>
        <w:tc>
          <w:tcPr>
            <w:tcW w:type="dxa" w:w="6415"/>
            <w:tcMar>
              <w:top w:w="60" w:type="dxa"/>
              <w:start w:w="100" w:type="dxa"/>
              <w:bottom w:w="60" w:type="dxa"/>
              <w:end w:w="100" w:type="dxa"/>
            </w:tcMar>
          </w:tcPr>
          <w:p>
            <w:pPr>
              <w:spacing w:after="0" w:line="276" w:lineRule="auto"/>
            </w:pPr>
            <w:r>
              <w:rPr>
                <w:rFonts w:ascii="Inter" w:hAnsi="Inter" w:cs="Inter" w:eastAsia="Inter"/>
                <w:b w:val="0"/>
                <w:i w:val="0"/>
                <w:color w:val="43506B"/>
                <w:sz w:val="16"/>
              </w:rPr>
              <w:t>Viene de una fuente externa verificable</w:t>
            </w:r>
          </w:p>
        </w:tc>
        <w:tc>
          <w:tcPr>
            <w:tcW w:type="dxa" w:w="1688"/>
            <w:tcMar>
              <w:top w:w="60" w:type="dxa"/>
              <w:start w:w="100" w:type="dxa"/>
              <w:bottom w:w="60" w:type="dxa"/>
              <w:end w:w="100" w:type="dxa"/>
            </w:tcMar>
          </w:tcPr>
          <w:p>
            <w:pPr>
              <w:spacing w:after="0" w:line="276" w:lineRule="auto"/>
            </w:pPr>
            <w:r>
              <w:rPr>
                <w:rFonts w:ascii="JetBrains Mono" w:hAnsi="JetBrains Mono" w:cs="JetBrains Mono" w:eastAsia="JetBrains Mono"/>
                <w:b w:val="0"/>
                <w:i w:val="0"/>
                <w:color w:val="43506B"/>
                <w:sz w:val="16"/>
              </w:rPr>
              <w:t>live</w:t>
            </w:r>
          </w:p>
        </w:tc>
      </w:tr>
      <w:tr>
        <w:trPr>
          <w:cantSplit/>
        </w:trPr>
        <w:tc>
          <w:tcPr>
            <w:tcW w:type="dxa" w:w="1688"/>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Juicio experto</w:t>
            </w:r>
          </w:p>
        </w:tc>
        <w:tc>
          <w:tcPr>
            <w:tcW w:type="dxa" w:w="641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Valor de criterio de la casa, declarado, fechado y atribuido</w:t>
            </w:r>
          </w:p>
        </w:tc>
        <w:tc>
          <w:tcPr>
            <w:tcW w:type="dxa" w:w="1688"/>
            <w:shd w:val="clear" w:color="auto" w:fill="F5F8FC"/>
            <w:tcMar>
              <w:top w:w="60" w:type="dxa"/>
              <w:start w:w="100" w:type="dxa"/>
              <w:bottom w:w="60" w:type="dxa"/>
              <w:end w:w="100" w:type="dxa"/>
            </w:tcMar>
          </w:tcPr>
          <w:p>
            <w:pPr>
              <w:spacing w:after="0" w:line="276" w:lineRule="auto"/>
            </w:pPr>
            <w:r>
              <w:rPr>
                <w:rFonts w:ascii="JetBrains Mono" w:hAnsi="JetBrains Mono" w:cs="JetBrains Mono" w:eastAsia="JetBrains Mono"/>
                <w:b w:val="0"/>
                <w:i w:val="0"/>
                <w:color w:val="43506B"/>
                <w:sz w:val="16"/>
              </w:rPr>
              <w:t>rubric</w:t>
            </w:r>
          </w:p>
        </w:tc>
      </w:tr>
      <w:tr>
        <w:trPr>
          <w:cantSplit/>
        </w:trPr>
        <w:tc>
          <w:tcPr>
            <w:tcW w:type="dxa" w:w="1688"/>
            <w:tcMar>
              <w:top w:w="60" w:type="dxa"/>
              <w:start w:w="100" w:type="dxa"/>
              <w:bottom w:w="60" w:type="dxa"/>
              <w:end w:w="100" w:type="dxa"/>
            </w:tcMar>
          </w:tcPr>
          <w:p>
            <w:pPr>
              <w:spacing w:after="0" w:line="276" w:lineRule="auto"/>
            </w:pPr>
            <w:r>
              <w:rPr>
                <w:rFonts w:ascii="Inter" w:hAnsi="Inter" w:cs="Inter" w:eastAsia="Inter"/>
                <w:b/>
                <w:i w:val="0"/>
                <w:color w:val="0A1A3A"/>
                <w:sz w:val="16"/>
              </w:rPr>
              <w:t>Modelo</w:t>
            </w:r>
          </w:p>
        </w:tc>
        <w:tc>
          <w:tcPr>
            <w:tcW w:type="dxa" w:w="6415"/>
            <w:tcMar>
              <w:top w:w="60" w:type="dxa"/>
              <w:start w:w="100" w:type="dxa"/>
              <w:bottom w:w="60" w:type="dxa"/>
              <w:end w:w="100" w:type="dxa"/>
            </w:tcMar>
          </w:tcPr>
          <w:p>
            <w:pPr>
              <w:spacing w:after="0" w:line="276" w:lineRule="auto"/>
            </w:pPr>
            <w:r>
              <w:rPr>
                <w:rFonts w:ascii="Inter" w:hAnsi="Inter" w:cs="Inter" w:eastAsia="Inter"/>
                <w:b w:val="0"/>
                <w:i w:val="0"/>
                <w:color w:val="43506B"/>
                <w:sz w:val="16"/>
              </w:rPr>
              <w:t>O es ENTRENADO —aprende de un desenlace externo y tiene backtest honesto— o es un ÍNDICE EXPLICABLE (fórmula transparente). De un índice no se dice «predictivo».</w:t>
            </w:r>
          </w:p>
        </w:tc>
        <w:tc>
          <w:tcPr>
            <w:tcW w:type="dxa" w:w="1688"/>
            <w:tcMar>
              <w:top w:w="60" w:type="dxa"/>
              <w:start w:w="100" w:type="dxa"/>
              <w:bottom w:w="60" w:type="dxa"/>
              <w:end w:w="100" w:type="dxa"/>
            </w:tcMar>
          </w:tcPr>
          <w:p>
            <w:pPr>
              <w:spacing w:after="0" w:line="276" w:lineRule="auto"/>
            </w:pPr>
            <w:r>
              <w:rPr>
                <w:rFonts w:ascii="JetBrains Mono" w:hAnsi="JetBrains Mono" w:cs="JetBrains Mono" w:eastAsia="JetBrains Mono"/>
                <w:b w:val="0"/>
                <w:i w:val="0"/>
                <w:color w:val="43506B"/>
                <w:sz w:val="16"/>
              </w:rPr>
              <w:t>según el caso</w:t>
            </w:r>
          </w:p>
        </w:tc>
      </w:tr>
    </w:tbl>
    <w:p>
      <w:pPr>
        <w:spacing w:after="120" w:before="0"/>
      </w:pPr>
    </w:p>
    <w:p>
      <w:pPr>
        <w:keepNext/>
        <w:spacing w:before="260" w:after="60"/>
      </w:pPr>
      <w:r>
        <w:rPr>
          <w:rFonts w:ascii="Plus Jakarta Sans" w:hAnsi="Plus Jakarta Sans" w:cs="Plus Jakarta Sans" w:eastAsia="Plus Jakarta Sans"/>
          <w:b/>
          <w:i w:val="0"/>
          <w:color w:val="0A1A3A"/>
          <w:spacing w:val="-8"/>
          <w:sz w:val="25"/>
        </w:rPr>
        <w:t>7.2 Reglas duras por producto</w:t>
      </w:r>
    </w:p>
    <w:tbl>
      <w:tblPr>
        <w:tblW w:type="auto" w:w="0"/>
        <w:jc w:val="left"/>
        <w:tblBorders>
          <w:top w:val="single" w:sz="4" w:space="0" w:color="E7ECF3"/>
          <w:left w:val="single" w:sz="4" w:space="0" w:color="E7ECF3"/>
          <w:bottom w:val="single" w:sz="4" w:space="0" w:color="E7ECF3"/>
          <w:right w:val="single" w:sz="4" w:space="0" w:color="E7ECF3"/>
          <w:insideH w:val="single" w:sz="4" w:space="0" w:color="E7ECF3"/>
          <w:insideV w:val="single" w:sz="4" w:space="0" w:color="E7ECF3"/>
        </w:tblBorders>
        <w:tblLayout w:type="fixed"/>
        <w:tblLook w:firstColumn="1" w:firstRow="1" w:lastColumn="0" w:lastRow="0" w:noHBand="0" w:noVBand="1" w:val="04A0"/>
      </w:tblPr>
      <w:tblGrid>
        <w:gridCol w:w="1772"/>
        <w:gridCol w:w="4051"/>
        <w:gridCol w:w="3967"/>
      </w:tblGrid>
      <w:tr>
        <w:trPr>
          <w:tblHeader/>
        </w:trPr>
        <w:tc>
          <w:tcPr>
            <w:tcW w:type="dxa" w:w="1773"/>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PRODUCTO</w:t>
            </w:r>
          </w:p>
        </w:tc>
        <w:tc>
          <w:tcPr>
            <w:tcW w:type="dxa" w:w="4052"/>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SE PUEDE DECIR</w:t>
            </w:r>
          </w:p>
        </w:tc>
        <w:tc>
          <w:tcPr>
            <w:tcW w:type="dxa" w:w="3967"/>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NO SE PUEDE DECIR</w:t>
            </w:r>
          </w:p>
        </w:tc>
      </w:tr>
      <w:tr>
        <w:trPr>
          <w:cantSplit/>
        </w:trPr>
        <w:tc>
          <w:tcPr>
            <w:tcW w:type="dxa" w:w="1773"/>
            <w:tcMar>
              <w:top w:w="60" w:type="dxa"/>
              <w:start w:w="100" w:type="dxa"/>
              <w:bottom w:w="60" w:type="dxa"/>
              <w:end w:w="100" w:type="dxa"/>
            </w:tcMar>
          </w:tcPr>
          <w:p>
            <w:pPr>
              <w:spacing w:after="0" w:line="276" w:lineRule="auto"/>
            </w:pPr>
            <w:r>
              <w:rPr>
                <w:rFonts w:ascii="Inter" w:hAnsi="Inter" w:cs="Inter" w:eastAsia="Inter"/>
                <w:b/>
                <w:i w:val="0"/>
                <w:color w:val="0A1A3A"/>
                <w:sz w:val="15"/>
              </w:rPr>
              <w:t>Rating bancario</w:t>
            </w:r>
          </w:p>
        </w:tc>
        <w:tc>
          <w:tcPr>
            <w:tcW w:type="dxa" w:w="4052"/>
            <w:tcMar>
              <w:top w:w="60" w:type="dxa"/>
              <w:start w:w="100" w:type="dxa"/>
              <w:bottom w:w="60" w:type="dxa"/>
              <w:end w:w="100" w:type="dxa"/>
            </w:tcMar>
          </w:tcPr>
          <w:p>
            <w:pPr>
              <w:spacing w:after="0" w:line="276" w:lineRule="auto"/>
            </w:pPr>
            <w:r>
              <w:rPr>
                <w:rFonts w:ascii="Inter" w:hAnsi="Inter" w:cs="Inter" w:eastAsia="Inter"/>
                <w:b w:val="0"/>
                <w:i w:val="0"/>
                <w:color w:val="43506B"/>
                <w:sz w:val="15"/>
              </w:rPr>
              <w:t>«Scoring de entidad explicable y auditable, con evidencia por eje y procedencia por variable». «Aproximador del método SDQ que preserva la explicabilidad».</w:t>
            </w:r>
          </w:p>
        </w:tc>
        <w:tc>
          <w:tcPr>
            <w:tcW w:type="dxa" w:w="3967"/>
            <w:tcMar>
              <w:top w:w="60" w:type="dxa"/>
              <w:start w:w="100" w:type="dxa"/>
              <w:bottom w:w="60" w:type="dxa"/>
              <w:end w:w="100" w:type="dxa"/>
            </w:tcMar>
          </w:tcPr>
          <w:p>
            <w:pPr>
              <w:spacing w:after="0" w:line="276" w:lineRule="auto"/>
            </w:pPr>
            <w:r>
              <w:rPr>
                <w:rFonts w:ascii="Inter" w:hAnsi="Inter" w:cs="Inter" w:eastAsia="Inter"/>
                <w:b w:val="0"/>
                <w:i w:val="0"/>
                <w:color w:val="43506B"/>
                <w:sz w:val="15"/>
              </w:rPr>
              <w:t>«Modelo predictivo de default o quiebra». El modelo aprende a reproducir la rúbrica determinista; su precisión mide fidelidad a la fórmula, no poder predictivo. El foso es la explicabilidad, no el aprendizaje automático.</w:t>
            </w:r>
          </w:p>
        </w:tc>
      </w:tr>
      <w:tr>
        <w:trPr>
          <w:cantSplit/>
        </w:trPr>
        <w:tc>
          <w:tcPr>
            <w:tcW w:type="dxa" w:w="1773"/>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Política monetaria / TPM</w:t>
            </w:r>
          </w:p>
        </w:tc>
        <w:tc>
          <w:tcPr>
            <w:tcW w:type="dxa" w:w="405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«Modelo predictivo con backtest honesto», «expanding-window one-step-ahead», «panel point-in-time», «track record en vivo».</w:t>
            </w:r>
          </w:p>
        </w:tc>
        <w:tc>
          <w:tcPr>
            <w:tcW w:type="dxa" w:w="3967"/>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«Track record probado». El registro en vivo arranca vacío y crece a razón de un dato por reunión: se dice «en construcción». Declarar el leakage residual conocido.</w:t>
            </w:r>
          </w:p>
        </w:tc>
      </w:tr>
      <w:tr>
        <w:trPr>
          <w:cantSplit/>
        </w:trPr>
        <w:tc>
          <w:tcPr>
            <w:tcW w:type="dxa" w:w="1773"/>
            <w:tcMar>
              <w:top w:w="60" w:type="dxa"/>
              <w:start w:w="100" w:type="dxa"/>
              <w:bottom w:w="60" w:type="dxa"/>
              <w:end w:w="100" w:type="dxa"/>
            </w:tcMar>
          </w:tcPr>
          <w:p>
            <w:pPr>
              <w:spacing w:after="0" w:line="276" w:lineRule="auto"/>
            </w:pPr>
            <w:r>
              <w:rPr>
                <w:rFonts w:ascii="Inter" w:hAnsi="Inter" w:cs="Inter" w:eastAsia="Inter"/>
                <w:b/>
                <w:i w:val="0"/>
                <w:color w:val="0A1A3A"/>
                <w:sz w:val="15"/>
              </w:rPr>
              <w:t>Deal Scoring</w:t>
            </w:r>
          </w:p>
        </w:tc>
        <w:tc>
          <w:tcPr>
            <w:tcW w:type="dxa" w:w="4052"/>
            <w:tcMar>
              <w:top w:w="60" w:type="dxa"/>
              <w:start w:w="100" w:type="dxa"/>
              <w:bottom w:w="60" w:type="dxa"/>
              <w:end w:w="100" w:type="dxa"/>
            </w:tcMar>
          </w:tcPr>
          <w:p>
            <w:pPr>
              <w:spacing w:after="0" w:line="276" w:lineRule="auto"/>
            </w:pPr>
            <w:r>
              <w:rPr>
                <w:rFonts w:ascii="Inter" w:hAnsi="Inter" w:cs="Inter" w:eastAsia="Inter"/>
                <w:b w:val="0"/>
                <w:i w:val="0"/>
                <w:color w:val="43506B"/>
                <w:sz w:val="15"/>
              </w:rPr>
              <w:t>«Índice de atractivo explicable», «rúbrica de siete ejes anclada a índices reales», «propiedad intelectual metodológica de la casa».</w:t>
            </w:r>
          </w:p>
        </w:tc>
        <w:tc>
          <w:tcPr>
            <w:tcW w:type="dxa" w:w="3967"/>
            <w:tcMar>
              <w:top w:w="60" w:type="dxa"/>
              <w:start w:w="100" w:type="dxa"/>
              <w:bottom w:w="60" w:type="dxa"/>
              <w:end w:w="100" w:type="dxa"/>
            </w:tcMar>
          </w:tcPr>
          <w:p>
            <w:pPr>
              <w:spacing w:after="0" w:line="276" w:lineRule="auto"/>
            </w:pPr>
            <w:r>
              <w:rPr>
                <w:rFonts w:ascii="Inter" w:hAnsi="Inter" w:cs="Inter" w:eastAsia="Inter"/>
                <w:b w:val="0"/>
                <w:i w:val="0"/>
                <w:color w:val="43506B"/>
                <w:sz w:val="15"/>
              </w:rPr>
              <w:t>«Probabilidad de éxito» ni «modelo predictivo». Es rúbrica declarada y el código se auto-rotula como no entrenado.</w:t>
            </w:r>
          </w:p>
        </w:tc>
      </w:tr>
      <w:tr>
        <w:trPr>
          <w:cantSplit/>
        </w:trPr>
        <w:tc>
          <w:tcPr>
            <w:tcW w:type="dxa" w:w="1773"/>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IRMP (riesgo macro-político)</w:t>
            </w:r>
          </w:p>
        </w:tc>
        <w:tc>
          <w:tcPr>
            <w:tcW w:type="dxa" w:w="405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«Índice de riesgo país sobre dato real de gobernanza, macro, calificación soberana y eventos, MÁS juicio experto declarado en tres variables institucionales».</w:t>
            </w:r>
          </w:p>
        </w:tc>
        <w:tc>
          <w:tcPr>
            <w:tcW w:type="dxa" w:w="3967"/>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«100% dato» ni «cero rúbrica». Tres insumos son juicio experto y pesan cerca de un tercio. Es legítimo y estándar en rating; presentarlo como medición pura no lo es.</w:t>
            </w:r>
          </w:p>
        </w:tc>
      </w:tr>
      <w:tr>
        <w:trPr>
          <w:cantSplit/>
        </w:trPr>
        <w:tc>
          <w:tcPr>
            <w:tcW w:type="dxa" w:w="1773"/>
            <w:tcMar>
              <w:top w:w="60" w:type="dxa"/>
              <w:start w:w="100" w:type="dxa"/>
              <w:bottom w:w="60" w:type="dxa"/>
              <w:end w:w="100" w:type="dxa"/>
            </w:tcMar>
          </w:tcPr>
          <w:p>
            <w:pPr>
              <w:spacing w:after="0" w:line="276" w:lineRule="auto"/>
            </w:pPr>
            <w:r>
              <w:rPr>
                <w:rFonts w:ascii="Inter" w:hAnsi="Inter" w:cs="Inter" w:eastAsia="Inter"/>
                <w:b/>
                <w:i w:val="0"/>
                <w:color w:val="0A1A3A"/>
                <w:sz w:val="15"/>
              </w:rPr>
              <w:t>Índices sectoriales, seguros, pensiones, ESG, social</w:t>
            </w:r>
          </w:p>
        </w:tc>
        <w:tc>
          <w:tcPr>
            <w:tcW w:type="dxa" w:w="4052"/>
            <w:tcMar>
              <w:top w:w="60" w:type="dxa"/>
              <w:start w:w="100" w:type="dxa"/>
              <w:bottom w:w="60" w:type="dxa"/>
              <w:end w:w="100" w:type="dxa"/>
            </w:tcMar>
          </w:tcPr>
          <w:p>
            <w:pPr>
              <w:spacing w:after="0" w:line="276" w:lineRule="auto"/>
            </w:pPr>
            <w:r>
              <w:rPr>
                <w:rFonts w:ascii="Inter" w:hAnsi="Inter" w:cs="Inter" w:eastAsia="Inter"/>
                <w:b w:val="0"/>
                <w:i w:val="0"/>
                <w:color w:val="43506B"/>
                <w:sz w:val="15"/>
              </w:rPr>
              <w:t>«Compuesto de dato real con procedencia por variable». «Las dimensiones sin dato se declaran brecha y se excluyen, no se rellenan».</w:t>
            </w:r>
          </w:p>
        </w:tc>
        <w:tc>
          <w:tcPr>
            <w:tcW w:type="dxa" w:w="3967"/>
            <w:tcMar>
              <w:top w:w="60" w:type="dxa"/>
              <w:start w:w="100" w:type="dxa"/>
              <w:bottom w:w="60" w:type="dxa"/>
              <w:end w:w="100" w:type="dxa"/>
            </w:tcMar>
          </w:tcPr>
          <w:p>
            <w:pPr>
              <w:spacing w:after="0" w:line="276" w:lineRule="auto"/>
            </w:pPr>
            <w:r>
              <w:rPr>
                <w:rFonts w:ascii="Inter" w:hAnsi="Inter" w:cs="Inter" w:eastAsia="Inter"/>
                <w:b w:val="0"/>
                <w:i w:val="0"/>
                <w:color w:val="43506B"/>
                <w:sz w:val="15"/>
              </w:rPr>
              <w:t>Ocultar los rótulos de rúbrica donde los hay. El material debe ser consistente con lo que la interfaz ya muestra.</w:t>
            </w:r>
          </w:p>
        </w:tc>
      </w:tr>
    </w:tbl>
    <w:p>
      <w:pPr>
        <w:spacing w:after="120" w:before="0"/>
      </w:pPr>
    </w:p>
    <w:p>
      <w:pPr>
        <w:keepNext/>
        <w:spacing w:before="260" w:after="60"/>
      </w:pPr>
      <w:r>
        <w:rPr>
          <w:rFonts w:ascii="Plus Jakarta Sans" w:hAnsi="Plus Jakarta Sans" w:cs="Plus Jakarta Sans" w:eastAsia="Plus Jakarta Sans"/>
          <w:b/>
          <w:i w:val="0"/>
          <w:color w:val="0A1A3A"/>
          <w:spacing w:val="-8"/>
          <w:sz w:val="25"/>
        </w:rPr>
        <w:t>7.3 Los seis grupos de validación (y por qué no se mezclan)</w:t>
      </w:r>
    </w:p>
    <w:p>
      <w:pPr>
        <w:spacing w:after="120" w:before="0"/>
      </w:pPr>
      <w:r>
        <w:rPr>
          <w:rFonts w:ascii="Inter" w:hAnsi="Inter" w:cs="Inter" w:eastAsia="Inter"/>
          <w:b w:val="0"/>
          <w:i w:val="0"/>
          <w:color w:val="43506B"/>
          <w:sz w:val="19"/>
        </w:rPr>
        <w:t>«Tiene validación» abarca cosas que no sostienen el mismo argumento de venta. La plataforma las separa en seis grupos y el material comercial tiene que respetar esa separación.</w:t>
      </w:r>
    </w:p>
    <w:tbl>
      <w:tblPr>
        <w:tblW w:type="auto" w:w="0"/>
        <w:jc w:val="left"/>
        <w:tblBorders>
          <w:top w:val="single" w:sz="4" w:space="0" w:color="E7ECF3"/>
          <w:left w:val="single" w:sz="4" w:space="0" w:color="E7ECF3"/>
          <w:bottom w:val="single" w:sz="4" w:space="0" w:color="E7ECF3"/>
          <w:right w:val="single" w:sz="4" w:space="0" w:color="E7ECF3"/>
          <w:insideH w:val="single" w:sz="4" w:space="0" w:color="E7ECF3"/>
          <w:insideV w:val="single" w:sz="4" w:space="0" w:color="E7ECF3"/>
        </w:tblBorders>
        <w:tblLayout w:type="fixed"/>
        <w:tblLook w:firstColumn="1" w:firstRow="1" w:lastColumn="0" w:lastRow="0" w:noHBand="0" w:noVBand="1" w:val="04A0"/>
      </w:tblPr>
      <w:tblGrid>
        <w:gridCol w:w="2363"/>
        <w:gridCol w:w="7428"/>
      </w:tblGrid>
      <w:tr>
        <w:trPr>
          <w:tblHeader/>
        </w:trPr>
        <w:tc>
          <w:tcPr>
            <w:tcW w:type="dxa" w:w="2364"/>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GRUPO</w:t>
            </w:r>
          </w:p>
        </w:tc>
        <w:tc>
          <w:tcPr>
            <w:tcW w:type="dxa" w:w="7428"/>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QUÉ AUTORIZA A DECIR</w:t>
            </w:r>
          </w:p>
        </w:tc>
      </w:tr>
      <w:tr>
        <w:trPr>
          <w:cantSplit/>
        </w:trPr>
        <w:tc>
          <w:tcPr>
            <w:tcW w:type="dxa" w:w="2364"/>
            <w:tcMar>
              <w:top w:w="60" w:type="dxa"/>
              <w:start w:w="100" w:type="dxa"/>
              <w:bottom w:w="60" w:type="dxa"/>
              <w:end w:w="100" w:type="dxa"/>
            </w:tcMar>
          </w:tcPr>
          <w:p>
            <w:pPr>
              <w:spacing w:after="0" w:line="276" w:lineRule="auto"/>
            </w:pPr>
            <w:r>
              <w:rPr>
                <w:rFonts w:ascii="Inter" w:hAnsi="Inter" w:cs="Inter" w:eastAsia="Inter"/>
                <w:b/>
                <w:i w:val="0"/>
                <w:color w:val="0A1A3A"/>
                <w:sz w:val="16"/>
              </w:rPr>
              <w:t>A · evento real</w:t>
            </w:r>
          </w:p>
        </w:tc>
        <w:tc>
          <w:tcPr>
            <w:tcW w:type="dxa" w:w="7428"/>
            <w:tcMar>
              <w:top w:w="60" w:type="dxa"/>
              <w:start w:w="100" w:type="dxa"/>
              <w:bottom w:w="60" w:type="dxa"/>
              <w:end w:w="100" w:type="dxa"/>
            </w:tcMar>
          </w:tcPr>
          <w:p>
            <w:pPr>
              <w:spacing w:after="0" w:line="276" w:lineRule="auto"/>
            </w:pPr>
            <w:r>
              <w:rPr>
                <w:rFonts w:ascii="Inter" w:hAnsi="Inter" w:cs="Inter" w:eastAsia="Inter"/>
                <w:b w:val="0"/>
                <w:i w:val="0"/>
                <w:color w:val="43506B"/>
                <w:sz w:val="16"/>
              </w:rPr>
              <w:t>Discriminación contra desenlaces reales de entidades.</w:t>
            </w:r>
          </w:p>
        </w:tc>
      </w:tr>
      <w:tr>
        <w:trPr>
          <w:cantSplit/>
        </w:trPr>
        <w:tc>
          <w:tcPr>
            <w:tcW w:type="dxa" w:w="2364"/>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B · concluyente</w:t>
            </w:r>
          </w:p>
        </w:tc>
        <w:tc>
          <w:tcPr>
            <w:tcW w:type="dxa" w:w="742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Discriminación contra un desenlace realizado, con intervalo que no cruza cero.</w:t>
            </w:r>
          </w:p>
        </w:tc>
      </w:tr>
      <w:tr>
        <w:trPr>
          <w:cantSplit/>
        </w:trPr>
        <w:tc>
          <w:tcPr>
            <w:tcW w:type="dxa" w:w="2364"/>
            <w:tcMar>
              <w:top w:w="60" w:type="dxa"/>
              <w:start w:w="100" w:type="dxa"/>
              <w:bottom w:w="60" w:type="dxa"/>
              <w:end w:w="100" w:type="dxa"/>
            </w:tcMar>
          </w:tcPr>
          <w:p>
            <w:pPr>
              <w:spacing w:after="0" w:line="276" w:lineRule="auto"/>
            </w:pPr>
            <w:r>
              <w:rPr>
                <w:rFonts w:ascii="Inter" w:hAnsi="Inter" w:cs="Inter" w:eastAsia="Inter"/>
                <w:b/>
                <w:i w:val="0"/>
                <w:color w:val="0A1A3A"/>
                <w:sz w:val="16"/>
              </w:rPr>
              <w:t>C · convergente</w:t>
            </w:r>
          </w:p>
        </w:tc>
        <w:tc>
          <w:tcPr>
            <w:tcW w:type="dxa" w:w="7428"/>
            <w:tcMar>
              <w:top w:w="60" w:type="dxa"/>
              <w:start w:w="100" w:type="dxa"/>
              <w:bottom w:w="60" w:type="dxa"/>
              <w:end w:w="100" w:type="dxa"/>
            </w:tcMar>
          </w:tcPr>
          <w:p>
            <w:pPr>
              <w:spacing w:after="0" w:line="276" w:lineRule="auto"/>
            </w:pPr>
            <w:r>
              <w:rPr>
                <w:rFonts w:ascii="Inter" w:hAnsi="Inter" w:cs="Inter" w:eastAsia="Inter"/>
                <w:b w:val="0"/>
                <w:i w:val="0"/>
                <w:color w:val="43506B"/>
                <w:sz w:val="16"/>
              </w:rPr>
              <w:t>Coincide con una medida independiente del mismo período. NO es backtest temporal y no se vende como tal.</w:t>
            </w:r>
          </w:p>
        </w:tc>
      </w:tr>
      <w:tr>
        <w:trPr>
          <w:cantSplit/>
        </w:trPr>
        <w:tc>
          <w:tcPr>
            <w:tcW w:type="dxa" w:w="2364"/>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D · parcial</w:t>
            </w:r>
          </w:p>
        </w:tc>
        <w:tc>
          <w:tcPr>
            <w:tcW w:type="dxa" w:w="742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Metodología exigente con resultado acotado, declarado.</w:t>
            </w:r>
          </w:p>
        </w:tc>
      </w:tr>
      <w:tr>
        <w:trPr>
          <w:cantSplit/>
        </w:trPr>
        <w:tc>
          <w:tcPr>
            <w:tcW w:type="dxa" w:w="2364"/>
            <w:tcMar>
              <w:top w:w="60" w:type="dxa"/>
              <w:start w:w="100" w:type="dxa"/>
              <w:bottom w:w="60" w:type="dxa"/>
              <w:end w:w="100" w:type="dxa"/>
            </w:tcMar>
          </w:tcPr>
          <w:p>
            <w:pPr>
              <w:spacing w:after="0" w:line="276" w:lineRule="auto"/>
            </w:pPr>
            <w:r>
              <w:rPr>
                <w:rFonts w:ascii="Inter" w:hAnsi="Inter" w:cs="Inter" w:eastAsia="Inter"/>
                <w:b/>
                <w:i w:val="0"/>
                <w:color w:val="0A1A3A"/>
                <w:sz w:val="16"/>
              </w:rPr>
              <w:t>E · corrida sin credencial a favor</w:t>
            </w:r>
          </w:p>
        </w:tc>
        <w:tc>
          <w:tcPr>
            <w:tcW w:type="dxa" w:w="7428"/>
            <w:tcMar>
              <w:top w:w="60" w:type="dxa"/>
              <w:start w:w="100" w:type="dxa"/>
              <w:bottom w:w="60" w:type="dxa"/>
              <w:end w:w="100" w:type="dxa"/>
            </w:tcMar>
          </w:tcPr>
          <w:p>
            <w:pPr>
              <w:spacing w:after="0" w:line="276" w:lineRule="auto"/>
            </w:pPr>
            <w:r>
              <w:rPr>
                <w:rFonts w:ascii="Inter" w:hAnsi="Inter" w:cs="Inter" w:eastAsia="Inter"/>
                <w:b w:val="0"/>
                <w:i w:val="0"/>
                <w:color w:val="43506B"/>
                <w:sz w:val="16"/>
              </w:rPr>
              <w:t>El motor se aplicó y no dejó una afirmación vendible: o el intervalo cruza cero, o no lo cruza pero está del lado equivocado (la señal ordena invertido, que es un hallazgo, no una ausencia). Honesto; no es credencial.</w:t>
            </w:r>
          </w:p>
        </w:tc>
      </w:tr>
      <w:tr>
        <w:trPr>
          <w:cantSplit/>
        </w:trPr>
        <w:tc>
          <w:tcPr>
            <w:tcW w:type="dxa" w:w="2364"/>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F · sin backtest transversal</w:t>
            </w:r>
          </w:p>
        </w:tc>
        <w:tc>
          <w:tcPr>
            <w:tcW w:type="dxa" w:w="742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Descriptivo, con el obstáculo declarado.</w:t>
            </w:r>
          </w:p>
        </w:tc>
      </w:tr>
    </w:tbl>
    <w:p>
      <w:pPr>
        <w:spacing w:after="120" w:before="0"/>
      </w:pPr>
    </w:p>
    <w:p>
      <w:pPr>
        <w:keepNext/>
        <w:spacing w:before="180" w:after="40"/>
      </w:pPr>
      <w:r>
        <w:rPr>
          <w:rFonts w:ascii="Plus Jakarta Sans" w:hAnsi="Plus Jakarta Sans" w:cs="Plus Jakarta Sans" w:eastAsia="Plus Jakarta Sans"/>
          <w:b/>
          <w:i w:val="0"/>
          <w:color w:val="1551C0"/>
          <w:sz w:val="21"/>
        </w:rPr>
        <w:t>Qué clase de validación admite cada eje</w:t>
      </w:r>
    </w:p>
    <w:p>
      <w:pPr>
        <w:spacing w:after="80" w:before="0"/>
      </w:pPr>
      <w:r>
        <w:rPr>
          <w:rFonts w:ascii="Inter" w:hAnsi="Inter" w:cs="Inter" w:eastAsia="Inter"/>
          <w:b w:val="0"/>
          <w:i w:val="0"/>
          <w:color w:val="43506B"/>
          <w:sz w:val="19"/>
        </w:rPr>
        <w:t>Esto es un hecho de DISEÑO —si el eje tiene motor de validación, contra qué desenlace, y qué lo impide cuando no lo tiene— y por eso sí se puede escribir. El VEREDICTO de la última corrida no: ese envejece y se lee en vivo.</w:t>
      </w:r>
    </w:p>
    <w:tbl>
      <w:tblPr>
        <w:tblW w:type="auto" w:w="0"/>
        <w:jc w:val="left"/>
        <w:tblBorders>
          <w:top w:val="single" w:sz="4" w:space="0" w:color="E7ECF3"/>
          <w:left w:val="single" w:sz="4" w:space="0" w:color="E7ECF3"/>
          <w:bottom w:val="single" w:sz="4" w:space="0" w:color="E7ECF3"/>
          <w:right w:val="single" w:sz="4" w:space="0" w:color="E7ECF3"/>
          <w:insideH w:val="single" w:sz="4" w:space="0" w:color="E7ECF3"/>
          <w:insideV w:val="single" w:sz="4" w:space="0" w:color="E7ECF3"/>
        </w:tblBorders>
        <w:tblLayout w:type="fixed"/>
        <w:tblLook w:firstColumn="1" w:firstRow="1" w:lastColumn="0" w:lastRow="0" w:noHBand="0" w:noVBand="1" w:val="04A0"/>
      </w:tblPr>
      <w:tblGrid>
        <w:gridCol w:w="2363"/>
        <w:gridCol w:w="7428"/>
      </w:tblGrid>
      <w:tr>
        <w:trPr>
          <w:tblHeader/>
        </w:trPr>
        <w:tc>
          <w:tcPr>
            <w:tcW w:type="dxa" w:w="2364"/>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EJE</w:t>
            </w:r>
          </w:p>
        </w:tc>
        <w:tc>
          <w:tcPr>
            <w:tcW w:type="dxa" w:w="7428"/>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ESTADO ESTRUCTURAL DE VALIDACIÓN</w:t>
            </w:r>
          </w:p>
        </w:tc>
      </w:tr>
      <w:tr>
        <w:trPr>
          <w:cantSplit/>
        </w:trPr>
        <w:tc>
          <w:tcPr>
            <w:tcW w:type="dxa" w:w="2364"/>
            <w:tcMar>
              <w:top w:w="60" w:type="dxa"/>
              <w:start w:w="100" w:type="dxa"/>
              <w:bottom w:w="60" w:type="dxa"/>
              <w:end w:w="100" w:type="dxa"/>
            </w:tcMar>
          </w:tcPr>
          <w:p>
            <w:pPr>
              <w:spacing w:after="0" w:line="276" w:lineRule="auto"/>
            </w:pPr>
            <w:r>
              <w:rPr>
                <w:rFonts w:ascii="Inter" w:hAnsi="Inter" w:cs="Inter" w:eastAsia="Inter"/>
                <w:b/>
                <w:i w:val="0"/>
                <w:color w:val="0A1A3A"/>
                <w:sz w:val="15"/>
              </w:rPr>
              <w:t>Banking Intelligence</w:t>
            </w:r>
          </w:p>
        </w:tc>
        <w:tc>
          <w:tcPr>
            <w:tcW w:type="dxa" w:w="7428"/>
            <w:tcMar>
              <w:top w:w="60" w:type="dxa"/>
              <w:start w:w="100" w:type="dxa"/>
              <w:bottom w:w="60" w:type="dxa"/>
              <w:end w:w="100" w:type="dxa"/>
            </w:tcMar>
          </w:tcPr>
          <w:p>
            <w:pPr>
              <w:spacing w:after="0" w:line="276" w:lineRule="auto"/>
            </w:pPr>
            <w:r>
              <w:rPr>
                <w:rFonts w:ascii="Inter" w:hAnsi="Inter" w:cs="Inter" w:eastAsia="Inter"/>
                <w:b w:val="0"/>
                <w:i w:val="0"/>
                <w:color w:val="43506B"/>
                <w:sz w:val="15"/>
              </w:rPr>
              <w:t>Motor con corte transversal real (entidad × trimestre) + cohorte de eventos</w:t>
            </w:r>
          </w:p>
        </w:tc>
      </w:tr>
      <w:tr>
        <w:trPr>
          <w:cantSplit/>
        </w:trPr>
        <w:tc>
          <w:tcPr>
            <w:tcW w:type="dxa" w:w="2364"/>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Macro &amp; Country Risk</w:t>
            </w:r>
          </w:p>
        </w:tc>
        <w:tc>
          <w:tcPr>
            <w:tcW w:type="dxa" w:w="742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Motor de discriminación con corte transversal de países</w:t>
            </w:r>
          </w:p>
        </w:tc>
      </w:tr>
      <w:tr>
        <w:trPr>
          <w:cantSplit/>
        </w:trPr>
        <w:tc>
          <w:tcPr>
            <w:tcW w:type="dxa" w:w="2364"/>
            <w:tcMar>
              <w:top w:w="60" w:type="dxa"/>
              <w:start w:w="100" w:type="dxa"/>
              <w:bottom w:w="60" w:type="dxa"/>
              <w:end w:w="100" w:type="dxa"/>
            </w:tcMar>
          </w:tcPr>
          <w:p>
            <w:pPr>
              <w:spacing w:after="0" w:line="276" w:lineRule="auto"/>
            </w:pPr>
            <w:r>
              <w:rPr>
                <w:rFonts w:ascii="Inter" w:hAnsi="Inter" w:cs="Inter" w:eastAsia="Inter"/>
                <w:b/>
                <w:i w:val="0"/>
                <w:color w:val="0A1A3A"/>
                <w:sz w:val="15"/>
              </w:rPr>
              <w:t>Política Monetaria</w:t>
            </w:r>
          </w:p>
        </w:tc>
        <w:tc>
          <w:tcPr>
            <w:tcW w:type="dxa" w:w="7428"/>
            <w:tcMar>
              <w:top w:w="60" w:type="dxa"/>
              <w:start w:w="100" w:type="dxa"/>
              <w:bottom w:w="60" w:type="dxa"/>
              <w:end w:w="100" w:type="dxa"/>
            </w:tcMar>
          </w:tcPr>
          <w:p>
            <w:pPr>
              <w:spacing w:after="0" w:line="276" w:lineRule="auto"/>
            </w:pPr>
            <w:r>
              <w:rPr>
                <w:rFonts w:ascii="Inter" w:hAnsi="Inter" w:cs="Inter" w:eastAsia="Inter"/>
                <w:b w:val="0"/>
                <w:i w:val="0"/>
                <w:color w:val="43506B"/>
                <w:sz w:val="15"/>
              </w:rPr>
              <w:t>Backtest expanding-window one-step-ahead sobre decisiones de política</w:t>
            </w:r>
          </w:p>
        </w:tc>
      </w:tr>
      <w:tr>
        <w:trPr>
          <w:cantSplit/>
        </w:trPr>
        <w:tc>
          <w:tcPr>
            <w:tcW w:type="dxa" w:w="2364"/>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Trade &amp; Logistics</w:t>
            </w:r>
          </w:p>
        </w:tc>
        <w:tc>
          <w:tcPr>
            <w:tcW w:type="dxa" w:w="742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Motor sobre panel de 24 países LatAm+Caribe</w:t>
            </w:r>
          </w:p>
        </w:tc>
      </w:tr>
      <w:tr>
        <w:trPr>
          <w:cantSplit/>
        </w:trPr>
        <w:tc>
          <w:tcPr>
            <w:tcW w:type="dxa" w:w="2364"/>
            <w:tcMar>
              <w:top w:w="60" w:type="dxa"/>
              <w:start w:w="100" w:type="dxa"/>
              <w:bottom w:w="60" w:type="dxa"/>
              <w:end w:w="100" w:type="dxa"/>
            </w:tcMar>
          </w:tcPr>
          <w:p>
            <w:pPr>
              <w:spacing w:after="0" w:line="276" w:lineRule="auto"/>
            </w:pPr>
            <w:r>
              <w:rPr>
                <w:rFonts w:ascii="Inter" w:hAnsi="Inter" w:cs="Inter" w:eastAsia="Inter"/>
                <w:b/>
                <w:i w:val="0"/>
                <w:color w:val="0A1A3A"/>
                <w:sz w:val="15"/>
              </w:rPr>
              <w:t>ESG &amp; Climate</w:t>
            </w:r>
          </w:p>
        </w:tc>
        <w:tc>
          <w:tcPr>
            <w:tcW w:type="dxa" w:w="7428"/>
            <w:tcMar>
              <w:top w:w="60" w:type="dxa"/>
              <w:start w:w="100" w:type="dxa"/>
              <w:bottom w:w="60" w:type="dxa"/>
              <w:end w:w="100" w:type="dxa"/>
            </w:tcMar>
          </w:tcPr>
          <w:p>
            <w:pPr>
              <w:spacing w:after="0" w:line="276" w:lineRule="auto"/>
            </w:pPr>
            <w:r>
              <w:rPr>
                <w:rFonts w:ascii="Inter" w:hAnsi="Inter" w:cs="Inter" w:eastAsia="Inter"/>
                <w:b w:val="0"/>
                <w:i w:val="0"/>
                <w:color w:val="43506B"/>
                <w:sz w:val="15"/>
              </w:rPr>
              <w:t>Motor transversal de países contra mortalidad por desastres</w:t>
            </w:r>
          </w:p>
        </w:tc>
      </w:tr>
      <w:tr>
        <w:trPr>
          <w:cantSplit/>
        </w:trPr>
        <w:tc>
          <w:tcPr>
            <w:tcW w:type="dxa" w:w="2364"/>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Pensiones (SIPEN)</w:t>
            </w:r>
          </w:p>
        </w:tc>
        <w:tc>
          <w:tcPr>
            <w:tcW w:type="dxa" w:w="742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Motor transversal de AFP × períodos</w:t>
            </w:r>
          </w:p>
        </w:tc>
      </w:tr>
      <w:tr>
        <w:trPr>
          <w:cantSplit/>
        </w:trPr>
        <w:tc>
          <w:tcPr>
            <w:tcW w:type="dxa" w:w="2364"/>
            <w:tcMar>
              <w:top w:w="60" w:type="dxa"/>
              <w:start w:w="100" w:type="dxa"/>
              <w:bottom w:w="60" w:type="dxa"/>
              <w:end w:w="100" w:type="dxa"/>
            </w:tcMar>
          </w:tcPr>
          <w:p>
            <w:pPr>
              <w:spacing w:after="0" w:line="276" w:lineRule="auto"/>
            </w:pPr>
            <w:r>
              <w:rPr>
                <w:rFonts w:ascii="Inter" w:hAnsi="Inter" w:cs="Inter" w:eastAsia="Inter"/>
                <w:b/>
                <w:i w:val="0"/>
                <w:color w:val="0A1A3A"/>
                <w:sz w:val="15"/>
              </w:rPr>
              <w:t>Seguros (SIS)</w:t>
            </w:r>
          </w:p>
        </w:tc>
        <w:tc>
          <w:tcPr>
            <w:tcW w:type="dxa" w:w="7428"/>
            <w:tcMar>
              <w:top w:w="60" w:type="dxa"/>
              <w:start w:w="100" w:type="dxa"/>
              <w:bottom w:w="60" w:type="dxa"/>
              <w:end w:w="100" w:type="dxa"/>
            </w:tcMar>
          </w:tcPr>
          <w:p>
            <w:pPr>
              <w:spacing w:after="0" w:line="276" w:lineRule="auto"/>
            </w:pPr>
            <w:r>
              <w:rPr>
                <w:rFonts w:ascii="Inter" w:hAnsi="Inter" w:cs="Inter" w:eastAsia="Inter"/>
                <w:b w:val="0"/>
                <w:i w:val="0"/>
                <w:color w:val="43506B"/>
                <w:sz w:val="15"/>
              </w:rPr>
              <w:t>Motor transversal de aseguradoras × años auditados</w:t>
            </w:r>
          </w:p>
        </w:tc>
      </w:tr>
      <w:tr>
        <w:trPr>
          <w:cantSplit/>
        </w:trPr>
        <w:tc>
          <w:tcPr>
            <w:tcW w:type="dxa" w:w="2364"/>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Desarrollo Social</w:t>
            </w:r>
          </w:p>
        </w:tc>
        <w:tc>
          <w:tcPr>
            <w:tcW w:type="dxa" w:w="742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Validez CONVERGENTE contra el IDH regional del PNUD</w:t>
            </w:r>
          </w:p>
        </w:tc>
      </w:tr>
      <w:tr>
        <w:trPr>
          <w:cantSplit/>
        </w:trPr>
        <w:tc>
          <w:tcPr>
            <w:tcW w:type="dxa" w:w="2364"/>
            <w:tcMar>
              <w:top w:w="60" w:type="dxa"/>
              <w:start w:w="100" w:type="dxa"/>
              <w:bottom w:w="60" w:type="dxa"/>
              <w:end w:w="100" w:type="dxa"/>
            </w:tcMar>
          </w:tcPr>
          <w:p>
            <w:pPr>
              <w:spacing w:after="0" w:line="276" w:lineRule="auto"/>
            </w:pPr>
            <w:r>
              <w:rPr>
                <w:rFonts w:ascii="Inter" w:hAnsi="Inter" w:cs="Inter" w:eastAsia="Inter"/>
                <w:b/>
                <w:i w:val="0"/>
                <w:color w:val="0A1A3A"/>
                <w:sz w:val="15"/>
              </w:rPr>
              <w:t>Agribusiness / sectorial</w:t>
            </w:r>
          </w:p>
        </w:tc>
        <w:tc>
          <w:tcPr>
            <w:tcW w:type="dxa" w:w="7428"/>
            <w:tcMar>
              <w:top w:w="60" w:type="dxa"/>
              <w:start w:w="100" w:type="dxa"/>
              <w:bottom w:w="60" w:type="dxa"/>
              <w:end w:w="100" w:type="dxa"/>
            </w:tcMar>
          </w:tcPr>
          <w:p>
            <w:pPr>
              <w:spacing w:after="0" w:line="276" w:lineRule="auto"/>
            </w:pPr>
            <w:r>
              <w:rPr>
                <w:rFonts w:ascii="Inter" w:hAnsi="Inter" w:cs="Inter" w:eastAsia="Inter"/>
                <w:b w:val="0"/>
                <w:i w:val="0"/>
                <w:color w:val="43506B"/>
                <w:sz w:val="15"/>
              </w:rPr>
              <w:t>Motor sobre ramas × años; se ofrece como DESCRIPTIVO</w:t>
            </w:r>
          </w:p>
        </w:tc>
      </w:tr>
      <w:tr>
        <w:trPr>
          <w:cantSplit/>
        </w:trPr>
        <w:tc>
          <w:tcPr>
            <w:tcW w:type="dxa" w:w="2364"/>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Tourism Intelligence</w:t>
            </w:r>
          </w:p>
        </w:tc>
        <w:tc>
          <w:tcPr>
            <w:tcW w:type="dxa" w:w="742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Sin corte transversal: índice nacional, un sujeto por período</w:t>
            </w:r>
          </w:p>
        </w:tc>
      </w:tr>
      <w:tr>
        <w:trPr>
          <w:cantSplit/>
        </w:trPr>
        <w:tc>
          <w:tcPr>
            <w:tcW w:type="dxa" w:w="2364"/>
            <w:tcMar>
              <w:top w:w="60" w:type="dxa"/>
              <w:start w:w="100" w:type="dxa"/>
              <w:bottom w:w="60" w:type="dxa"/>
              <w:end w:w="100" w:type="dxa"/>
            </w:tcMar>
          </w:tcPr>
          <w:p>
            <w:pPr>
              <w:spacing w:after="0" w:line="276" w:lineRule="auto"/>
            </w:pPr>
            <w:r>
              <w:rPr>
                <w:rFonts w:ascii="Inter" w:hAnsi="Inter" w:cs="Inter" w:eastAsia="Inter"/>
                <w:b/>
                <w:i w:val="0"/>
                <w:color w:val="0A1A3A"/>
                <w:sz w:val="15"/>
              </w:rPr>
              <w:t>Free Zones &amp; Manufacturing</w:t>
            </w:r>
          </w:p>
        </w:tc>
        <w:tc>
          <w:tcPr>
            <w:tcW w:type="dxa" w:w="7428"/>
            <w:tcMar>
              <w:top w:w="60" w:type="dxa"/>
              <w:start w:w="100" w:type="dxa"/>
              <w:bottom w:w="60" w:type="dxa"/>
              <w:end w:w="100" w:type="dxa"/>
            </w:tcMar>
          </w:tcPr>
          <w:p>
            <w:pPr>
              <w:spacing w:after="0" w:line="276" w:lineRule="auto"/>
            </w:pPr>
            <w:r>
              <w:rPr>
                <w:rFonts w:ascii="Inter" w:hAnsi="Inter" w:cs="Inter" w:eastAsia="Inter"/>
                <w:b w:val="0"/>
                <w:i w:val="0"/>
                <w:color w:val="43506B"/>
                <w:sz w:val="15"/>
              </w:rPr>
              <w:t>Sin corte transversal: agregado nacional CNZFE</w:t>
            </w:r>
          </w:p>
        </w:tc>
      </w:tr>
      <w:tr>
        <w:trPr>
          <w:cantSplit/>
        </w:trPr>
        <w:tc>
          <w:tcPr>
            <w:tcW w:type="dxa" w:w="2364"/>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Energy Intelligence</w:t>
            </w:r>
          </w:p>
        </w:tc>
        <w:tc>
          <w:tcPr>
            <w:tcW w:type="dxa" w:w="742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Sin corte transversal: falta serie por distribuidora o circuito</w:t>
            </w:r>
          </w:p>
        </w:tc>
      </w:tr>
      <w:tr>
        <w:trPr>
          <w:cantSplit/>
        </w:trPr>
        <w:tc>
          <w:tcPr>
            <w:tcW w:type="dxa" w:w="2364"/>
            <w:tcMar>
              <w:top w:w="60" w:type="dxa"/>
              <w:start w:w="100" w:type="dxa"/>
              <w:bottom w:w="60" w:type="dxa"/>
              <w:end w:w="100" w:type="dxa"/>
            </w:tcMar>
          </w:tcPr>
          <w:p>
            <w:pPr>
              <w:spacing w:after="0" w:line="276" w:lineRule="auto"/>
            </w:pPr>
            <w:r>
              <w:rPr>
                <w:rFonts w:ascii="Inter" w:hAnsi="Inter" w:cs="Inter" w:eastAsia="Inter"/>
                <w:b/>
                <w:i w:val="0"/>
                <w:color w:val="0A1A3A"/>
                <w:sz w:val="15"/>
              </w:rPr>
              <w:t>Telecom Intelligence</w:t>
            </w:r>
          </w:p>
        </w:tc>
        <w:tc>
          <w:tcPr>
            <w:tcW w:type="dxa" w:w="7428"/>
            <w:tcMar>
              <w:top w:w="60" w:type="dxa"/>
              <w:start w:w="100" w:type="dxa"/>
              <w:bottom w:w="60" w:type="dxa"/>
              <w:end w:w="100" w:type="dxa"/>
            </w:tcMar>
          </w:tcPr>
          <w:p>
            <w:pPr>
              <w:spacing w:after="0" w:line="276" w:lineRule="auto"/>
            </w:pPr>
            <w:r>
              <w:rPr>
                <w:rFonts w:ascii="Inter" w:hAnsi="Inter" w:cs="Inter" w:eastAsia="Inter"/>
                <w:b w:val="0"/>
                <w:i w:val="0"/>
                <w:color w:val="43506B"/>
                <w:sz w:val="15"/>
              </w:rPr>
              <w:t>Dato pendiente: el boletín INDOTEL está congelado en 2022-Q1</w:t>
            </w:r>
          </w:p>
        </w:tc>
      </w:tr>
      <w:tr>
        <w:trPr>
          <w:cantSplit/>
        </w:trPr>
        <w:tc>
          <w:tcPr>
            <w:tcW w:type="dxa" w:w="2364"/>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Construction Intelligence</w:t>
            </w:r>
          </w:p>
        </w:tc>
        <w:tc>
          <w:tcPr>
            <w:tcW w:type="dxa" w:w="742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Sin ejecución realizada de permisos ni corte provincial con historia</w:t>
            </w:r>
          </w:p>
        </w:tc>
      </w:tr>
      <w:tr>
        <w:trPr>
          <w:cantSplit/>
        </w:trPr>
        <w:tc>
          <w:tcPr>
            <w:tcW w:type="dxa" w:w="2364"/>
            <w:tcMar>
              <w:top w:w="60" w:type="dxa"/>
              <w:start w:w="100" w:type="dxa"/>
              <w:bottom w:w="60" w:type="dxa"/>
              <w:end w:w="100" w:type="dxa"/>
            </w:tcMar>
          </w:tcPr>
          <w:p>
            <w:pPr>
              <w:spacing w:after="0" w:line="276" w:lineRule="auto"/>
            </w:pPr>
            <w:r>
              <w:rPr>
                <w:rFonts w:ascii="Inter" w:hAnsi="Inter" w:cs="Inter" w:eastAsia="Inter"/>
                <w:b/>
                <w:i w:val="0"/>
                <w:color w:val="0A1A3A"/>
                <w:sz w:val="15"/>
              </w:rPr>
              <w:t>Estructura de la Economía</w:t>
            </w:r>
          </w:p>
        </w:tc>
        <w:tc>
          <w:tcPr>
            <w:tcW w:type="dxa" w:w="7428"/>
            <w:tcMar>
              <w:top w:w="60" w:type="dxa"/>
              <w:start w:w="100" w:type="dxa"/>
              <w:bottom w:w="60" w:type="dxa"/>
              <w:end w:w="100" w:type="dxa"/>
            </w:tcMar>
          </w:tcPr>
          <w:p>
            <w:pPr>
              <w:spacing w:after="0" w:line="276" w:lineRule="auto"/>
            </w:pPr>
            <w:r>
              <w:rPr>
                <w:rFonts w:ascii="Inter" w:hAnsi="Inter" w:cs="Inter" w:eastAsia="Inter"/>
                <w:b w:val="0"/>
                <w:i w:val="0"/>
                <w:color w:val="43506B"/>
                <w:sz w:val="15"/>
              </w:rPr>
              <w:t>Descriptivo: no hay índice sintético que validar</w:t>
            </w:r>
          </w:p>
        </w:tc>
      </w:tr>
      <w:tr>
        <w:trPr>
          <w:cantSplit/>
        </w:trPr>
        <w:tc>
          <w:tcPr>
            <w:tcW w:type="dxa" w:w="2364"/>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Evaluación de Leyes</w:t>
            </w:r>
          </w:p>
        </w:tc>
        <w:tc>
          <w:tcPr>
            <w:tcW w:type="dxa" w:w="7428"/>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Autorreferencial: el desenlace de una ley es lo que el eje ya mide</w:t>
            </w:r>
          </w:p>
        </w:tc>
      </w:tr>
    </w:tbl>
    <w:p>
      <w:pPr>
        <w:spacing w:after="120" w:before="0"/>
      </w:pPr>
    </w:p>
    <w:p>
      <w:pPr>
        <w:keepNext/>
        <w:spacing w:before="260" w:after="60"/>
      </w:pPr>
      <w:r>
        <w:rPr>
          <w:rFonts w:ascii="Plus Jakarta Sans" w:hAnsi="Plus Jakarta Sans" w:cs="Plus Jakarta Sans" w:eastAsia="Plus Jakarta Sans"/>
          <w:b/>
          <w:i w:val="0"/>
          <w:color w:val="0A1A3A"/>
          <w:spacing w:val="-8"/>
          <w:sz w:val="25"/>
        </w:rPr>
        <w:t>7.4 La regla de oro: ninguna cifra de validación se escribe a mano</w:t>
      </w:r>
    </w:p>
    <w:tbl>
      <w:tblPr>
        <w:tblW w:type="auto" w:w="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72"/>
        <w:gridCol w:w="9720"/>
      </w:tblGrid>
      <w:tr>
        <w:trPr>
          <w:cantSplit/>
        </w:trPr>
        <w:tc>
          <w:tcPr>
            <w:tcW w:type="dxa" w:w="72"/>
            <w:shd w:val="clear" w:color="auto" w:fill="C8392E"/>
            <w:tcMar>
              <w:top w:w="0" w:type="dxa"/>
              <w:start w:w="0" w:type="dxa"/>
              <w:bottom w:w="0" w:type="dxa"/>
              <w:end w:w="0" w:type="dxa"/>
            </w:tcMar>
          </w:tcPr>
          <w:p>
            <w:pPr>
              <w:spacing w:after="0"/>
            </w:pPr>
          </w:p>
        </w:tc>
        <w:tc>
          <w:tcPr>
            <w:tcW w:type="dxa" w:w="9720"/>
            <w:shd w:val="clear" w:color="auto" w:fill="FBEAE8"/>
            <w:tcMar>
              <w:top w:w="120" w:type="dxa"/>
              <w:start w:w="160" w:type="dxa"/>
              <w:bottom w:w="120" w:type="dxa"/>
              <w:end w:w="160" w:type="dxa"/>
            </w:tcMar>
          </w:tcPr>
          <w:p>
            <w:pPr>
              <w:spacing w:after="40"/>
            </w:pPr>
            <w:r>
              <w:rPr>
                <w:rFonts w:ascii="JetBrains Mono" w:hAnsi="JetBrains Mono" w:cs="JetBrains Mono" w:eastAsia="JetBrains Mono"/>
                <w:b/>
                <w:i w:val="0"/>
                <w:color w:val="C8392E"/>
                <w:spacing w:val="24"/>
                <w:sz w:val="15"/>
              </w:rPr>
              <w:t>ESTO NO ES UNA PREFERENCIA DE ESTILO</w:t>
            </w:r>
          </w:p>
          <w:p>
            <w:pPr>
              <w:spacing w:after="0"/>
            </w:pPr>
            <w:r>
              <w:rPr>
                <w:rFonts w:ascii="Inter" w:hAnsi="Inter" w:cs="Inter" w:eastAsia="Inter"/>
                <w:b w:val="0"/>
                <w:i w:val="0"/>
                <w:color w:val="0A1A3A"/>
                <w:sz w:val="19"/>
              </w:rPr>
              <w:t>Producción sirvió durante diecinueve días una cifra de discriminación calculada con un score que ya no existía, mientras el material de venta citaba otra. La cura fue estructural: hay UNA sola fuente de la tabla comercial de validación, que computa la afirmación leyendo el reporte vigente de cada motor y veta lo que no puede verificar como fresco.</w:t>
            </w:r>
          </w:p>
        </w:tc>
      </w:tr>
    </w:tbl>
    <w:p>
      <w:pPr>
        <w:spacing w:after="80" w:before="0"/>
      </w:pPr>
    </w:p>
    <w:p>
      <w:pPr>
        <w:spacing w:after="120" w:before="0"/>
      </w:pPr>
      <w:r>
        <w:rPr>
          <w:rFonts w:ascii="Inter" w:hAnsi="Inter" w:cs="Inter" w:eastAsia="Inter"/>
          <w:b w:val="0"/>
          <w:i w:val="0"/>
          <w:color w:val="43506B"/>
          <w:sz w:val="19"/>
        </w:rPr>
        <w:t>En términos prácticos para quien arma la presentación:</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No copie ninguna cifra de validación de este documento. </w:t>
      </w:r>
      <w:r>
        <w:rPr>
          <w:rFonts w:ascii="Inter" w:hAnsi="Inter" w:cs="Inter" w:eastAsia="Inter"/>
          <w:b w:val="0"/>
          <w:i w:val="0"/>
          <w:color w:val="43506B"/>
          <w:sz w:val="19"/>
        </w:rPr>
        <w:t>No hay ninguna, a propósito.</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Pídala en el momento de maquetar. </w:t>
      </w:r>
      <w:r>
        <w:rPr>
          <w:rFonts w:ascii="Inter" w:hAnsi="Inter" w:cs="Inter" w:eastAsia="Inter"/>
          <w:b w:val="0"/>
          <w:i w:val="0"/>
          <w:color w:val="43506B"/>
          <w:sz w:val="19"/>
        </w:rPr>
        <w:t>Se lee de la propia plataforma, en el punto de credenciales de producto, y viene con su población al lado y su veredicto de frescura.</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Si una cifra viene vetada, no la use ni la esconda. </w:t>
      </w:r>
      <w:r>
        <w:rPr>
          <w:rFonts w:ascii="Inter" w:hAnsi="Inter" w:cs="Inter" w:eastAsia="Inter"/>
          <w:b w:val="0"/>
          <w:i w:val="0"/>
          <w:color w:val="43506B"/>
          <w:sz w:val="19"/>
        </w:rPr>
        <w:t>Las vetadas se listan con su motivo: un veto silencioso se lee como que el eje no tiene validación.</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Y si quiere saber cómo está un eje hoy, pregúntele a la plataforma. </w:t>
      </w:r>
      <w:r>
        <w:rPr>
          <w:rFonts w:ascii="Inter" w:hAnsi="Inter" w:cs="Inter" w:eastAsia="Inter"/>
          <w:b w:val="0"/>
          <w:i w:val="0"/>
          <w:color w:val="43506B"/>
          <w:sz w:val="19"/>
        </w:rPr>
        <w:t>Cualquier tabla escrita ya está vieja — incluida cualquier tabla de este documento que alguien copie a mano en el futuro.</w:t>
      </w:r>
    </w:p>
    <w:p>
      <w:pPr>
        <w:spacing w:after="120" w:before="0"/>
      </w:pPr>
    </w:p>
    <w:p>
      <w:pPr>
        <w:keepNext/>
        <w:spacing w:before="180" w:after="40"/>
      </w:pPr>
      <w:r>
        <w:rPr>
          <w:rFonts w:ascii="Plus Jakarta Sans" w:hAnsi="Plus Jakarta Sans" w:cs="Plus Jakarta Sans" w:eastAsia="Plus Jakarta Sans"/>
          <w:b/>
          <w:i w:val="0"/>
          <w:color w:val="1551C0"/>
          <w:sz w:val="21"/>
        </w:rPr>
        <w:t>Tres correcciones que el material anterior tenía mal</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El denominador de la cohorte bancaria. </w:t>
      </w:r>
      <w:r>
        <w:rPr>
          <w:rFonts w:ascii="Inter" w:hAnsi="Inter" w:cs="Inter" w:eastAsia="Inter"/>
          <w:b w:val="0"/>
          <w:i w:val="0"/>
          <w:color w:val="43506B"/>
          <w:sz w:val="19"/>
        </w:rPr>
        <w:t>Del universo de quiebras históricas del ledger, solo una parte es evaluable: el resto no puede disparar por construcción, porque el indicador que la regla exige no existía en ese período. Citar el total infla el denominador sin agregar evidencia.</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El desenlace del backtest bancario no es «quiebras». </w:t>
      </w:r>
      <w:r>
        <w:rPr>
          <w:rFonts w:ascii="Inter" w:hAnsi="Inter" w:cs="Inter" w:eastAsia="Inter"/>
          <w:b w:val="0"/>
          <w:i w:val="0"/>
          <w:color w:val="43506B"/>
          <w:sz w:val="19"/>
        </w:rPr>
        <w:t>Es distress financiero, y está compuesto en proporciones muy desiguales de pérdidas sostenidas, deterioro de crédito y solvencia — esta última nunca disparó. Citar el agregado sin decir de qué está hecho es la afirmación más frágil del catálogo.</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Sobre QUIÉN se midió. </w:t>
      </w:r>
      <w:r>
        <w:rPr>
          <w:rFonts w:ascii="Inter" w:hAnsi="Inter" w:cs="Inter" w:eastAsia="Inter"/>
          <w:b w:val="0"/>
          <w:i w:val="0"/>
          <w:color w:val="43506B"/>
          <w:sz w:val="19"/>
        </w:rPr>
        <w:t>El panel bancario no es «bancos»: es todo el universo supervisado por la SIB, y casi la mitad de las observaciones son entidades de intermediación cambiaria y fiduciarias, que no otorgan crédito. Están por diseño del producto, que es un score de entidad financiera y no solo de banca — pero una cifra de discriminación sola se lee como si fuera entre bancos, y no es lo que se midió.</w:t>
      </w:r>
    </w:p>
    <w:p>
      <w:r>
        <w:br w:type="page"/>
      </w:r>
    </w:p>
    <w:p>
      <w:pPr>
        <w:spacing w:before="40" w:after="20"/>
      </w:pPr>
      <w:r>
        <w:rPr>
          <w:rFonts w:ascii="JetBrains Mono" w:hAnsi="JetBrains Mono" w:cs="JetBrains Mono" w:eastAsia="JetBrains Mono"/>
          <w:b/>
          <w:i w:val="0"/>
          <w:color w:val="1E6FFF"/>
          <w:spacing w:val="26"/>
          <w:sz w:val="15"/>
        </w:rPr>
        <w:t>§8 · ENCARGO</w:t>
      </w:r>
    </w:p>
    <w:p>
      <w:pPr>
        <w:keepNext/>
        <w:spacing w:before="0" w:after="60"/>
      </w:pPr>
      <w:r>
        <w:rPr>
          <w:rFonts w:ascii="Plus Jakarta Sans" w:hAnsi="Plus Jakarta Sans" w:cs="Plus Jakarta Sans" w:eastAsia="Plus Jakarta Sans"/>
          <w:b/>
          <w:i w:val="0"/>
          <w:color w:val="0A1A3A"/>
          <w:spacing w:val="-12"/>
          <w:sz w:val="38"/>
        </w:rPr>
        <w:t>Brief para el diseñador</w:t>
      </w:r>
    </w:p>
    <w:p>
      <w:pPr>
        <w:pBdr>
          <w:bottom w:val="single" w:sz="10" w:space="1" w:color="1E6FFF"/>
        </w:pBdr>
        <w:spacing w:before="20" w:after="200"/>
      </w:pPr>
    </w:p>
    <w:p>
      <w:pPr>
        <w:keepNext/>
        <w:spacing w:before="260" w:after="60"/>
      </w:pPr>
      <w:r>
        <w:rPr>
          <w:rFonts w:ascii="Plus Jakarta Sans" w:hAnsi="Plus Jakarta Sans" w:cs="Plus Jakarta Sans" w:eastAsia="Plus Jakarta Sans"/>
          <w:b/>
          <w:i w:val="0"/>
          <w:color w:val="0A1A3A"/>
          <w:spacing w:val="-8"/>
          <w:sz w:val="25"/>
        </w:rPr>
        <w:t>8.1 Qué se espera</w:t>
      </w:r>
    </w:p>
    <w:p>
      <w:pPr>
        <w:spacing w:after="120" w:before="0"/>
      </w:pPr>
      <w:r>
        <w:rPr>
          <w:rFonts w:ascii="Inter" w:hAnsi="Inter" w:cs="Inter" w:eastAsia="Inter"/>
          <w:b w:val="0"/>
          <w:i w:val="0"/>
          <w:color w:val="43506B"/>
          <w:sz w:val="19"/>
        </w:rPr>
        <w:t>Una presentación comercial de SDQ·MIP que un vendedor pueda usar frente a un comité institucional, y de la que se puedan extraer piezas sueltas (una lámina de un eje, la lámina de precios) sin que pierdan sentido.</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Formato: </w:t>
      </w:r>
      <w:r>
        <w:rPr>
          <w:rFonts w:ascii="Inter" w:hAnsi="Inter" w:cs="Inter" w:eastAsia="Inter"/>
          <w:b w:val="0"/>
          <w:i w:val="0"/>
          <w:color w:val="43506B"/>
          <w:sz w:val="19"/>
        </w:rPr>
        <w:t>16:9. Versión maestra en claro; portada y cierre en oscuro.</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Extensión sugerida: </w:t>
      </w:r>
      <w:r>
        <w:rPr>
          <w:rFonts w:ascii="Inter" w:hAnsi="Inter" w:cs="Inter" w:eastAsia="Inter"/>
          <w:b w:val="0"/>
          <w:i w:val="0"/>
          <w:color w:val="43506B"/>
          <w:sz w:val="19"/>
        </w:rPr>
        <w:t>22 a 28 láminas para la versión completa, más un corte corto de 10 para primera reunión.</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Entregables: </w:t>
      </w:r>
      <w:r>
        <w:rPr>
          <w:rFonts w:ascii="Inter" w:hAnsi="Inter" w:cs="Inter" w:eastAsia="Inter"/>
          <w:b w:val="0"/>
          <w:i w:val="0"/>
          <w:color w:val="43506B"/>
          <w:sz w:val="19"/>
        </w:rPr>
        <w:t>archivo editable con maestras y componentes, PDF de alta, y un juego de láminas sueltas por eje para armar propuestas a medida.</w:t>
      </w:r>
    </w:p>
    <w:p>
      <w:pPr>
        <w:spacing w:after="60"/>
        <w:ind w:left="317" w:hanging="202"/>
      </w:pPr>
      <w:r>
        <w:rPr>
          <w:rFonts w:ascii="Inter" w:hAnsi="Inter" w:cs="Inter" w:eastAsia="Inter"/>
          <w:b/>
          <w:i w:val="0"/>
          <w:color w:val="1E6FFF"/>
          <w:sz w:val="19"/>
        </w:rPr>
        <w:t xml:space="preserve">— </w:t>
      </w:r>
      <w:r>
        <w:rPr>
          <w:rFonts w:ascii="Inter" w:hAnsi="Inter" w:cs="Inter" w:eastAsia="Inter"/>
          <w:b/>
          <w:i w:val="0"/>
          <w:color w:val="0A1A3A"/>
          <w:sz w:val="19"/>
        </w:rPr>
        <w:t xml:space="preserve">Sistema, no colección: </w:t>
      </w:r>
      <w:r>
        <w:rPr>
          <w:rFonts w:ascii="Inter" w:hAnsi="Inter" w:cs="Inter" w:eastAsia="Inter"/>
          <w:b w:val="0"/>
          <w:i w:val="0"/>
          <w:color w:val="43506B"/>
          <w:sz w:val="19"/>
        </w:rPr>
        <w:t>cada tipo de lámina debería existir como maestra reutilizable, porque el catálogo crece.</w:t>
      </w:r>
    </w:p>
    <w:p>
      <w:pPr>
        <w:keepNext/>
        <w:spacing w:before="260" w:after="60"/>
      </w:pPr>
      <w:r>
        <w:rPr>
          <w:rFonts w:ascii="Plus Jakarta Sans" w:hAnsi="Plus Jakarta Sans" w:cs="Plus Jakarta Sans" w:eastAsia="Plus Jakarta Sans"/>
          <w:b/>
          <w:i w:val="0"/>
          <w:color w:val="0A1A3A"/>
          <w:spacing w:val="-8"/>
          <w:sz w:val="25"/>
        </w:rPr>
        <w:t>8.2 Guion sugerido, lámina por lámina</w:t>
      </w:r>
    </w:p>
    <w:tbl>
      <w:tblPr>
        <w:tblW w:type="auto" w:w="0"/>
        <w:jc w:val="left"/>
        <w:tblBorders>
          <w:top w:val="single" w:sz="4" w:space="0" w:color="E7ECF3"/>
          <w:left w:val="single" w:sz="4" w:space="0" w:color="E7ECF3"/>
          <w:bottom w:val="single" w:sz="4" w:space="0" w:color="E7ECF3"/>
          <w:right w:val="single" w:sz="4" w:space="0" w:color="E7ECF3"/>
          <w:insideH w:val="single" w:sz="4" w:space="0" w:color="E7ECF3"/>
          <w:insideV w:val="single" w:sz="4" w:space="0" w:color="E7ECF3"/>
        </w:tblBorders>
        <w:tblLayout w:type="fixed"/>
        <w:tblLook w:firstColumn="1" w:firstRow="1" w:lastColumn="0" w:lastRow="0" w:noHBand="0" w:noVBand="1" w:val="04A0"/>
      </w:tblPr>
      <w:tblGrid>
        <w:gridCol w:w="646"/>
        <w:gridCol w:w="2124"/>
        <w:gridCol w:w="5080"/>
        <w:gridCol w:w="1939"/>
      </w:tblGrid>
      <w:tr>
        <w:trPr>
          <w:tblHeader/>
        </w:trPr>
        <w:tc>
          <w:tcPr>
            <w:tcW w:type="dxa" w:w="647"/>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w:t>
            </w:r>
          </w:p>
        </w:tc>
        <w:tc>
          <w:tcPr>
            <w:tcW w:type="dxa" w:w="2125"/>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LÁMINA</w:t>
            </w:r>
          </w:p>
        </w:tc>
        <w:tc>
          <w:tcPr>
            <w:tcW w:type="dxa" w:w="5081"/>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CONTENIDO</w:t>
            </w:r>
          </w:p>
        </w:tc>
        <w:tc>
          <w:tcPr>
            <w:tcW w:type="dxa" w:w="1940"/>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FUENTE EN ESTE DOCUMENTO</w:t>
            </w:r>
          </w:p>
        </w:tc>
      </w:tr>
      <w:tr>
        <w:trPr>
          <w:cantSplit/>
        </w:trPr>
        <w:tc>
          <w:tcPr>
            <w:tcW w:type="dxa" w:w="647"/>
            <w:tcMar>
              <w:top w:w="60" w:type="dxa"/>
              <w:start w:w="100" w:type="dxa"/>
              <w:bottom w:w="60" w:type="dxa"/>
              <w:end w:w="100" w:type="dxa"/>
            </w:tcMar>
          </w:tcPr>
          <w:p>
            <w:pPr>
              <w:spacing w:after="0" w:line="276" w:lineRule="auto"/>
            </w:pPr>
            <w:r>
              <w:rPr>
                <w:rFonts w:ascii="Inter" w:hAnsi="Inter" w:cs="Inter" w:eastAsia="Inter"/>
                <w:b/>
                <w:i w:val="0"/>
                <w:color w:val="0A1A3A"/>
                <w:sz w:val="15"/>
              </w:rPr>
              <w:t>1</w:t>
            </w:r>
          </w:p>
        </w:tc>
        <w:tc>
          <w:tcPr>
            <w:tcW w:type="dxa" w:w="2125"/>
            <w:tcMar>
              <w:top w:w="60" w:type="dxa"/>
              <w:start w:w="100" w:type="dxa"/>
              <w:bottom w:w="60" w:type="dxa"/>
              <w:end w:w="100" w:type="dxa"/>
            </w:tcMar>
          </w:tcPr>
          <w:p>
            <w:pPr>
              <w:spacing w:after="0" w:line="276" w:lineRule="auto"/>
            </w:pPr>
            <w:r>
              <w:rPr>
                <w:rFonts w:ascii="Inter" w:hAnsi="Inter" w:cs="Inter" w:eastAsia="Inter"/>
                <w:b w:val="0"/>
                <w:i w:val="0"/>
                <w:color w:val="43506B"/>
                <w:sz w:val="15"/>
              </w:rPr>
              <w:t>Portada</w:t>
            </w:r>
          </w:p>
        </w:tc>
        <w:tc>
          <w:tcPr>
            <w:tcW w:type="dxa" w:w="5081"/>
            <w:tcMar>
              <w:top w:w="60" w:type="dxa"/>
              <w:start w:w="100" w:type="dxa"/>
              <w:bottom w:w="60" w:type="dxa"/>
              <w:end w:w="100" w:type="dxa"/>
            </w:tcMar>
          </w:tcPr>
          <w:p>
            <w:pPr>
              <w:spacing w:after="0" w:line="276" w:lineRule="auto"/>
            </w:pPr>
            <w:r>
              <w:rPr>
                <w:rFonts w:ascii="Inter" w:hAnsi="Inter" w:cs="Inter" w:eastAsia="Inter"/>
                <w:b w:val="0"/>
                <w:i w:val="0"/>
                <w:color w:val="43506B"/>
                <w:sz w:val="15"/>
              </w:rPr>
              <w:t>Bloque de marca sobre oscuro; una línea de posicionamiento</w:t>
            </w:r>
          </w:p>
        </w:tc>
        <w:tc>
          <w:tcPr>
            <w:tcW w:type="dxa" w:w="1940"/>
            <w:tcMar>
              <w:top w:w="60" w:type="dxa"/>
              <w:start w:w="100" w:type="dxa"/>
              <w:bottom w:w="60" w:type="dxa"/>
              <w:end w:w="100" w:type="dxa"/>
            </w:tcMar>
          </w:tcPr>
          <w:p>
            <w:pPr>
              <w:spacing w:after="0" w:line="276" w:lineRule="auto"/>
            </w:pPr>
            <w:r>
              <w:rPr>
                <w:rFonts w:ascii="Inter" w:hAnsi="Inter" w:cs="Inter" w:eastAsia="Inter"/>
                <w:b w:val="0"/>
                <w:i w:val="0"/>
                <w:color w:val="43506B"/>
                <w:sz w:val="15"/>
              </w:rPr>
              <w:t>§1</w:t>
            </w:r>
          </w:p>
        </w:tc>
      </w:tr>
      <w:tr>
        <w:trPr>
          <w:cantSplit/>
        </w:trPr>
        <w:tc>
          <w:tcPr>
            <w:tcW w:type="dxa" w:w="647"/>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2</w:t>
            </w:r>
          </w:p>
        </w:tc>
        <w:tc>
          <w:tcPr>
            <w:tcW w:type="dxa" w:w="212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El problema</w:t>
            </w:r>
          </w:p>
        </w:tc>
        <w:tc>
          <w:tcPr>
            <w:tcW w:type="dxa" w:w="5081"/>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El dato existe y está fragmentado; el costo de reconstruirlo</w:t>
            </w:r>
          </w:p>
        </w:tc>
        <w:tc>
          <w:tcPr>
            <w:tcW w:type="dxa" w:w="1940"/>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§1.1</w:t>
            </w:r>
          </w:p>
        </w:tc>
      </w:tr>
      <w:tr>
        <w:trPr>
          <w:cantSplit/>
        </w:trPr>
        <w:tc>
          <w:tcPr>
            <w:tcW w:type="dxa" w:w="647"/>
            <w:tcMar>
              <w:top w:w="60" w:type="dxa"/>
              <w:start w:w="100" w:type="dxa"/>
              <w:bottom w:w="60" w:type="dxa"/>
              <w:end w:w="100" w:type="dxa"/>
            </w:tcMar>
          </w:tcPr>
          <w:p>
            <w:pPr>
              <w:spacing w:after="0" w:line="276" w:lineRule="auto"/>
            </w:pPr>
            <w:r>
              <w:rPr>
                <w:rFonts w:ascii="Inter" w:hAnsi="Inter" w:cs="Inter" w:eastAsia="Inter"/>
                <w:b/>
                <w:i w:val="0"/>
                <w:color w:val="0A1A3A"/>
                <w:sz w:val="15"/>
              </w:rPr>
              <w:t>3</w:t>
            </w:r>
          </w:p>
        </w:tc>
        <w:tc>
          <w:tcPr>
            <w:tcW w:type="dxa" w:w="2125"/>
            <w:tcMar>
              <w:top w:w="60" w:type="dxa"/>
              <w:start w:w="100" w:type="dxa"/>
              <w:bottom w:w="60" w:type="dxa"/>
              <w:end w:w="100" w:type="dxa"/>
            </w:tcMar>
          </w:tcPr>
          <w:p>
            <w:pPr>
              <w:spacing w:after="0" w:line="276" w:lineRule="auto"/>
            </w:pPr>
            <w:r>
              <w:rPr>
                <w:rFonts w:ascii="Inter" w:hAnsi="Inter" w:cs="Inter" w:eastAsia="Inter"/>
                <w:b w:val="0"/>
                <w:i w:val="0"/>
                <w:color w:val="43506B"/>
                <w:sz w:val="15"/>
              </w:rPr>
              <w:t>La respuesta</w:t>
            </w:r>
          </w:p>
        </w:tc>
        <w:tc>
          <w:tcPr>
            <w:tcW w:type="dxa" w:w="5081"/>
            <w:tcMar>
              <w:top w:w="60" w:type="dxa"/>
              <w:start w:w="100" w:type="dxa"/>
              <w:bottom w:w="60" w:type="dxa"/>
              <w:end w:w="100" w:type="dxa"/>
            </w:tcMar>
          </w:tcPr>
          <w:p>
            <w:pPr>
              <w:spacing w:after="0" w:line="276" w:lineRule="auto"/>
            </w:pPr>
            <w:r>
              <w:rPr>
                <w:rFonts w:ascii="Inter" w:hAnsi="Inter" w:cs="Inter" w:eastAsia="Inter"/>
                <w:b w:val="0"/>
                <w:i w:val="0"/>
                <w:color w:val="43506B"/>
                <w:sz w:val="15"/>
              </w:rPr>
              <w:t>La frase de una línea, en grande</w:t>
            </w:r>
          </w:p>
        </w:tc>
        <w:tc>
          <w:tcPr>
            <w:tcW w:type="dxa" w:w="1940"/>
            <w:tcMar>
              <w:top w:w="60" w:type="dxa"/>
              <w:start w:w="100" w:type="dxa"/>
              <w:bottom w:w="60" w:type="dxa"/>
              <w:end w:w="100" w:type="dxa"/>
            </w:tcMar>
          </w:tcPr>
          <w:p>
            <w:pPr>
              <w:spacing w:after="0" w:line="276" w:lineRule="auto"/>
            </w:pPr>
            <w:r>
              <w:rPr>
                <w:rFonts w:ascii="Inter" w:hAnsi="Inter" w:cs="Inter" w:eastAsia="Inter"/>
                <w:b w:val="0"/>
                <w:i w:val="0"/>
                <w:color w:val="43506B"/>
                <w:sz w:val="15"/>
              </w:rPr>
              <w:t>§1</w:t>
            </w:r>
          </w:p>
        </w:tc>
      </w:tr>
      <w:tr>
        <w:trPr>
          <w:cantSplit/>
        </w:trPr>
        <w:tc>
          <w:tcPr>
            <w:tcW w:type="dxa" w:w="647"/>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4</w:t>
            </w:r>
          </w:p>
        </w:tc>
        <w:tc>
          <w:tcPr>
            <w:tcW w:type="dxa" w:w="212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El foso</w:t>
            </w:r>
          </w:p>
        </w:tc>
        <w:tc>
          <w:tcPr>
            <w:tcW w:type="dxa" w:w="5081"/>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Las cuatro reglas de procedencia, como sistema visual</w:t>
            </w:r>
          </w:p>
        </w:tc>
        <w:tc>
          <w:tcPr>
            <w:tcW w:type="dxa" w:w="1940"/>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§1.2</w:t>
            </w:r>
          </w:p>
        </w:tc>
      </w:tr>
      <w:tr>
        <w:trPr>
          <w:cantSplit/>
        </w:trPr>
        <w:tc>
          <w:tcPr>
            <w:tcW w:type="dxa" w:w="647"/>
            <w:tcMar>
              <w:top w:w="60" w:type="dxa"/>
              <w:start w:w="100" w:type="dxa"/>
              <w:bottom w:w="60" w:type="dxa"/>
              <w:end w:w="100" w:type="dxa"/>
            </w:tcMar>
          </w:tcPr>
          <w:p>
            <w:pPr>
              <w:spacing w:after="0" w:line="276" w:lineRule="auto"/>
            </w:pPr>
            <w:r>
              <w:rPr>
                <w:rFonts w:ascii="Inter" w:hAnsi="Inter" w:cs="Inter" w:eastAsia="Inter"/>
                <w:b/>
                <w:i w:val="0"/>
                <w:color w:val="0A1A3A"/>
                <w:sz w:val="15"/>
              </w:rPr>
              <w:t>5</w:t>
            </w:r>
          </w:p>
        </w:tc>
        <w:tc>
          <w:tcPr>
            <w:tcW w:type="dxa" w:w="2125"/>
            <w:tcMar>
              <w:top w:w="60" w:type="dxa"/>
              <w:start w:w="100" w:type="dxa"/>
              <w:bottom w:w="60" w:type="dxa"/>
              <w:end w:w="100" w:type="dxa"/>
            </w:tcMar>
          </w:tcPr>
          <w:p>
            <w:pPr>
              <w:spacing w:after="0" w:line="276" w:lineRule="auto"/>
            </w:pPr>
            <w:r>
              <w:rPr>
                <w:rFonts w:ascii="Inter" w:hAnsi="Inter" w:cs="Inter" w:eastAsia="Inter"/>
                <w:b w:val="0"/>
                <w:i w:val="0"/>
                <w:color w:val="43506B"/>
                <w:sz w:val="15"/>
              </w:rPr>
              <w:t>La arquitectura</w:t>
            </w:r>
          </w:p>
        </w:tc>
        <w:tc>
          <w:tcPr>
            <w:tcW w:type="dxa" w:w="5081"/>
            <w:tcMar>
              <w:top w:w="60" w:type="dxa"/>
              <w:start w:w="100" w:type="dxa"/>
              <w:bottom w:w="60" w:type="dxa"/>
              <w:end w:w="100" w:type="dxa"/>
            </w:tcMar>
          </w:tcPr>
          <w:p>
            <w:pPr>
              <w:spacing w:after="0" w:line="276" w:lineRule="auto"/>
            </w:pPr>
            <w:r>
              <w:rPr>
                <w:rFonts w:ascii="Inter" w:hAnsi="Inter" w:cs="Inter" w:eastAsia="Inter"/>
                <w:b w:val="0"/>
                <w:i w:val="0"/>
                <w:color w:val="43506B"/>
                <w:sz w:val="15"/>
              </w:rPr>
              <w:t>La figura 1, animada por capas</w:t>
            </w:r>
          </w:p>
        </w:tc>
        <w:tc>
          <w:tcPr>
            <w:tcW w:type="dxa" w:w="1940"/>
            <w:tcMar>
              <w:top w:w="60" w:type="dxa"/>
              <w:start w:w="100" w:type="dxa"/>
              <w:bottom w:w="60" w:type="dxa"/>
              <w:end w:w="100" w:type="dxa"/>
            </w:tcMar>
          </w:tcPr>
          <w:p>
            <w:pPr>
              <w:spacing w:after="0" w:line="276" w:lineRule="auto"/>
            </w:pPr>
            <w:r>
              <w:rPr>
                <w:rFonts w:ascii="Inter" w:hAnsi="Inter" w:cs="Inter" w:eastAsia="Inter"/>
                <w:b w:val="0"/>
                <w:i w:val="0"/>
                <w:color w:val="43506B"/>
                <w:sz w:val="15"/>
              </w:rPr>
              <w:t>§1.4</w:t>
            </w:r>
          </w:p>
        </w:tc>
      </w:tr>
      <w:tr>
        <w:trPr>
          <w:cantSplit/>
        </w:trPr>
        <w:tc>
          <w:tcPr>
            <w:tcW w:type="dxa" w:w="647"/>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6</w:t>
            </w:r>
          </w:p>
        </w:tc>
        <w:tc>
          <w:tcPr>
            <w:tcW w:type="dxa" w:w="212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El catálogo</w:t>
            </w:r>
          </w:p>
        </w:tc>
        <w:tc>
          <w:tcPr>
            <w:tcW w:type="dxa" w:w="5081"/>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Los 16 ejes como retícula de fichas</w:t>
            </w:r>
          </w:p>
        </w:tc>
        <w:tc>
          <w:tcPr>
            <w:tcW w:type="dxa" w:w="1940"/>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§3</w:t>
            </w:r>
          </w:p>
        </w:tc>
      </w:tr>
      <w:tr>
        <w:trPr>
          <w:cantSplit/>
        </w:trPr>
        <w:tc>
          <w:tcPr>
            <w:tcW w:type="dxa" w:w="647"/>
            <w:tcMar>
              <w:top w:w="60" w:type="dxa"/>
              <w:start w:w="100" w:type="dxa"/>
              <w:bottom w:w="60" w:type="dxa"/>
              <w:end w:w="100" w:type="dxa"/>
            </w:tcMar>
          </w:tcPr>
          <w:p>
            <w:pPr>
              <w:spacing w:after="0" w:line="276" w:lineRule="auto"/>
            </w:pPr>
            <w:r>
              <w:rPr>
                <w:rFonts w:ascii="Inter" w:hAnsi="Inter" w:cs="Inter" w:eastAsia="Inter"/>
                <w:b/>
                <w:i w:val="0"/>
                <w:color w:val="0A1A3A"/>
                <w:sz w:val="15"/>
              </w:rPr>
              <w:t>7–10</w:t>
            </w:r>
          </w:p>
        </w:tc>
        <w:tc>
          <w:tcPr>
            <w:tcW w:type="dxa" w:w="2125"/>
            <w:tcMar>
              <w:top w:w="60" w:type="dxa"/>
              <w:start w:w="100" w:type="dxa"/>
              <w:bottom w:w="60" w:type="dxa"/>
              <w:end w:w="100" w:type="dxa"/>
            </w:tcMar>
          </w:tcPr>
          <w:p>
            <w:pPr>
              <w:spacing w:after="0" w:line="276" w:lineRule="auto"/>
            </w:pPr>
            <w:r>
              <w:rPr>
                <w:rFonts w:ascii="Inter" w:hAnsi="Inter" w:cs="Inter" w:eastAsia="Inter"/>
                <w:b w:val="0"/>
                <w:i w:val="0"/>
                <w:color w:val="43506B"/>
                <w:sz w:val="15"/>
              </w:rPr>
              <w:t>Ejes destacados</w:t>
            </w:r>
          </w:p>
        </w:tc>
        <w:tc>
          <w:tcPr>
            <w:tcW w:type="dxa" w:w="5081"/>
            <w:tcMar>
              <w:top w:w="60" w:type="dxa"/>
              <w:start w:w="100" w:type="dxa"/>
              <w:bottom w:w="60" w:type="dxa"/>
              <w:end w:w="100" w:type="dxa"/>
            </w:tcMar>
          </w:tcPr>
          <w:p>
            <w:pPr>
              <w:spacing w:after="0" w:line="276" w:lineRule="auto"/>
            </w:pPr>
            <w:r>
              <w:rPr>
                <w:rFonts w:ascii="Inter" w:hAnsi="Inter" w:cs="Inter" w:eastAsia="Inter"/>
                <w:b w:val="0"/>
                <w:i w:val="0"/>
                <w:color w:val="43506B"/>
                <w:sz w:val="15"/>
              </w:rPr>
              <w:t>Cuatro fichas ampliadas: banca, macro, social, leyes</w:t>
            </w:r>
          </w:p>
        </w:tc>
        <w:tc>
          <w:tcPr>
            <w:tcW w:type="dxa" w:w="1940"/>
            <w:tcMar>
              <w:top w:w="60" w:type="dxa"/>
              <w:start w:w="100" w:type="dxa"/>
              <w:bottom w:w="60" w:type="dxa"/>
              <w:end w:w="100" w:type="dxa"/>
            </w:tcMar>
          </w:tcPr>
          <w:p>
            <w:pPr>
              <w:spacing w:after="0" w:line="276" w:lineRule="auto"/>
            </w:pPr>
            <w:r>
              <w:rPr>
                <w:rFonts w:ascii="Inter" w:hAnsi="Inter" w:cs="Inter" w:eastAsia="Inter"/>
                <w:b w:val="0"/>
                <w:i w:val="0"/>
                <w:color w:val="43506B"/>
                <w:sz w:val="15"/>
              </w:rPr>
              <w:t>§3.1</w:t>
            </w:r>
          </w:p>
        </w:tc>
      </w:tr>
      <w:tr>
        <w:trPr>
          <w:cantSplit/>
        </w:trPr>
        <w:tc>
          <w:tcPr>
            <w:tcW w:type="dxa" w:w="647"/>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11</w:t>
            </w:r>
          </w:p>
        </w:tc>
        <w:tc>
          <w:tcPr>
            <w:tcW w:type="dxa" w:w="212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Los tres niveles</w:t>
            </w:r>
          </w:p>
        </w:tc>
        <w:tc>
          <w:tcPr>
            <w:tcW w:type="dxa" w:w="5081"/>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La escalera Pulse → Insight → Deep Dive</w:t>
            </w:r>
          </w:p>
        </w:tc>
        <w:tc>
          <w:tcPr>
            <w:tcW w:type="dxa" w:w="1940"/>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§4</w:t>
            </w:r>
          </w:p>
        </w:tc>
      </w:tr>
      <w:tr>
        <w:trPr>
          <w:cantSplit/>
        </w:trPr>
        <w:tc>
          <w:tcPr>
            <w:tcW w:type="dxa" w:w="647"/>
            <w:tcMar>
              <w:top w:w="60" w:type="dxa"/>
              <w:start w:w="100" w:type="dxa"/>
              <w:bottom w:w="60" w:type="dxa"/>
              <w:end w:w="100" w:type="dxa"/>
            </w:tcMar>
          </w:tcPr>
          <w:p>
            <w:pPr>
              <w:spacing w:after="0" w:line="276" w:lineRule="auto"/>
            </w:pPr>
            <w:r>
              <w:rPr>
                <w:rFonts w:ascii="Inter" w:hAnsi="Inter" w:cs="Inter" w:eastAsia="Inter"/>
                <w:b/>
                <w:i w:val="0"/>
                <w:color w:val="0A1A3A"/>
                <w:sz w:val="15"/>
              </w:rPr>
              <w:t>12</w:t>
            </w:r>
          </w:p>
        </w:tc>
        <w:tc>
          <w:tcPr>
            <w:tcW w:type="dxa" w:w="2125"/>
            <w:tcMar>
              <w:top w:w="60" w:type="dxa"/>
              <w:start w:w="100" w:type="dxa"/>
              <w:bottom w:w="60" w:type="dxa"/>
              <w:end w:w="100" w:type="dxa"/>
            </w:tcMar>
          </w:tcPr>
          <w:p>
            <w:pPr>
              <w:spacing w:after="0" w:line="276" w:lineRule="auto"/>
            </w:pPr>
            <w:r>
              <w:rPr>
                <w:rFonts w:ascii="Inter" w:hAnsi="Inter" w:cs="Inter" w:eastAsia="Inter"/>
                <w:b w:val="0"/>
                <w:i w:val="0"/>
                <w:color w:val="43506B"/>
                <w:sz w:val="15"/>
              </w:rPr>
              <w:t>Anatomía del informe</w:t>
            </w:r>
          </w:p>
        </w:tc>
        <w:tc>
          <w:tcPr>
            <w:tcW w:type="dxa" w:w="5081"/>
            <w:tcMar>
              <w:top w:w="60" w:type="dxa"/>
              <w:start w:w="100" w:type="dxa"/>
              <w:bottom w:w="60" w:type="dxa"/>
              <w:end w:w="100" w:type="dxa"/>
            </w:tcMar>
          </w:tcPr>
          <w:p>
            <w:pPr>
              <w:spacing w:after="0" w:line="276" w:lineRule="auto"/>
            </w:pPr>
            <w:r>
              <w:rPr>
                <w:rFonts w:ascii="Inter" w:hAnsi="Inter" w:cs="Inter" w:eastAsia="Inter"/>
                <w:b w:val="0"/>
                <w:i w:val="0"/>
                <w:color w:val="43506B"/>
                <w:sz w:val="15"/>
              </w:rPr>
              <w:t>La tabla de secciones por nivel, visual</w:t>
            </w:r>
          </w:p>
        </w:tc>
        <w:tc>
          <w:tcPr>
            <w:tcW w:type="dxa" w:w="1940"/>
            <w:tcMar>
              <w:top w:w="60" w:type="dxa"/>
              <w:start w:w="100" w:type="dxa"/>
              <w:bottom w:w="60" w:type="dxa"/>
              <w:end w:w="100" w:type="dxa"/>
            </w:tcMar>
          </w:tcPr>
          <w:p>
            <w:pPr>
              <w:spacing w:after="0" w:line="276" w:lineRule="auto"/>
            </w:pPr>
            <w:r>
              <w:rPr>
                <w:rFonts w:ascii="Inter" w:hAnsi="Inter" w:cs="Inter" w:eastAsia="Inter"/>
                <w:b w:val="0"/>
                <w:i w:val="0"/>
                <w:color w:val="43506B"/>
                <w:sz w:val="15"/>
              </w:rPr>
              <w:t>§4.1</w:t>
            </w:r>
          </w:p>
        </w:tc>
      </w:tr>
      <w:tr>
        <w:trPr>
          <w:cantSplit/>
        </w:trPr>
        <w:tc>
          <w:tcPr>
            <w:tcW w:type="dxa" w:w="647"/>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13</w:t>
            </w:r>
          </w:p>
        </w:tc>
        <w:tc>
          <w:tcPr>
            <w:tcW w:type="dxa" w:w="212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Metodología automática</w:t>
            </w:r>
          </w:p>
        </w:tc>
        <w:tc>
          <w:tcPr>
            <w:tcW w:type="dxa" w:w="5081"/>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La lámina del foso concreto</w:t>
            </w:r>
          </w:p>
        </w:tc>
        <w:tc>
          <w:tcPr>
            <w:tcW w:type="dxa" w:w="1940"/>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§4.1, nota</w:t>
            </w:r>
          </w:p>
        </w:tc>
      </w:tr>
      <w:tr>
        <w:trPr>
          <w:cantSplit/>
        </w:trPr>
        <w:tc>
          <w:tcPr>
            <w:tcW w:type="dxa" w:w="647"/>
            <w:tcMar>
              <w:top w:w="60" w:type="dxa"/>
              <w:start w:w="100" w:type="dxa"/>
              <w:bottom w:w="60" w:type="dxa"/>
              <w:end w:w="100" w:type="dxa"/>
            </w:tcMar>
          </w:tcPr>
          <w:p>
            <w:pPr>
              <w:spacing w:after="0" w:line="276" w:lineRule="auto"/>
            </w:pPr>
            <w:r>
              <w:rPr>
                <w:rFonts w:ascii="Inter" w:hAnsi="Inter" w:cs="Inter" w:eastAsia="Inter"/>
                <w:b/>
                <w:i w:val="0"/>
                <w:color w:val="0A1A3A"/>
                <w:sz w:val="15"/>
              </w:rPr>
              <w:t>14</w:t>
            </w:r>
          </w:p>
        </w:tc>
        <w:tc>
          <w:tcPr>
            <w:tcW w:type="dxa" w:w="2125"/>
            <w:tcMar>
              <w:top w:w="60" w:type="dxa"/>
              <w:start w:w="100" w:type="dxa"/>
              <w:bottom w:w="60" w:type="dxa"/>
              <w:end w:w="100" w:type="dxa"/>
            </w:tcMar>
          </w:tcPr>
          <w:p>
            <w:pPr>
              <w:spacing w:after="0" w:line="276" w:lineRule="auto"/>
            </w:pPr>
            <w:r>
              <w:rPr>
                <w:rFonts w:ascii="Inter" w:hAnsi="Inter" w:cs="Inter" w:eastAsia="Inter"/>
                <w:b w:val="0"/>
                <w:i w:val="0"/>
                <w:color w:val="43506B"/>
                <w:sz w:val="15"/>
              </w:rPr>
              <w:t>Alertas</w:t>
            </w:r>
          </w:p>
        </w:tc>
        <w:tc>
          <w:tcPr>
            <w:tcW w:type="dxa" w:w="5081"/>
            <w:tcMar>
              <w:top w:w="60" w:type="dxa"/>
              <w:start w:w="100" w:type="dxa"/>
              <w:bottom w:w="60" w:type="dxa"/>
              <w:end w:w="100" w:type="dxa"/>
            </w:tcMar>
          </w:tcPr>
          <w:p>
            <w:pPr>
              <w:spacing w:after="0" w:line="276" w:lineRule="auto"/>
            </w:pPr>
            <w:r>
              <w:rPr>
                <w:rFonts w:ascii="Inter" w:hAnsi="Inter" w:cs="Inter" w:eastAsia="Inter"/>
                <w:b w:val="0"/>
                <w:i w:val="0"/>
                <w:color w:val="43506B"/>
                <w:sz w:val="15"/>
              </w:rPr>
              <w:t>Los seis disparadores y los seis vetos</w:t>
            </w:r>
          </w:p>
        </w:tc>
        <w:tc>
          <w:tcPr>
            <w:tcW w:type="dxa" w:w="1940"/>
            <w:tcMar>
              <w:top w:w="60" w:type="dxa"/>
              <w:start w:w="100" w:type="dxa"/>
              <w:bottom w:w="60" w:type="dxa"/>
              <w:end w:w="100" w:type="dxa"/>
            </w:tcMar>
          </w:tcPr>
          <w:p>
            <w:pPr>
              <w:spacing w:after="0" w:line="276" w:lineRule="auto"/>
            </w:pPr>
            <w:r>
              <w:rPr>
                <w:rFonts w:ascii="Inter" w:hAnsi="Inter" w:cs="Inter" w:eastAsia="Inter"/>
                <w:b w:val="0"/>
                <w:i w:val="0"/>
                <w:color w:val="43506B"/>
                <w:sz w:val="15"/>
              </w:rPr>
              <w:t>§5.2</w:t>
            </w:r>
          </w:p>
        </w:tc>
      </w:tr>
      <w:tr>
        <w:trPr>
          <w:cantSplit/>
        </w:trPr>
        <w:tc>
          <w:tcPr>
            <w:tcW w:type="dxa" w:w="647"/>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15</w:t>
            </w:r>
          </w:p>
        </w:tc>
        <w:tc>
          <w:tcPr>
            <w:tcW w:type="dxa" w:w="212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Data API</w:t>
            </w:r>
          </w:p>
        </w:tc>
        <w:tc>
          <w:tcPr>
            <w:tcW w:type="dxa" w:w="5081"/>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El canal máquina a máquina y las cuatro exclusiones</w:t>
            </w:r>
          </w:p>
        </w:tc>
        <w:tc>
          <w:tcPr>
            <w:tcW w:type="dxa" w:w="1940"/>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§5.3</w:t>
            </w:r>
          </w:p>
        </w:tc>
      </w:tr>
      <w:tr>
        <w:trPr>
          <w:cantSplit/>
        </w:trPr>
        <w:tc>
          <w:tcPr>
            <w:tcW w:type="dxa" w:w="647"/>
            <w:tcMar>
              <w:top w:w="60" w:type="dxa"/>
              <w:start w:w="100" w:type="dxa"/>
              <w:bottom w:w="60" w:type="dxa"/>
              <w:end w:w="100" w:type="dxa"/>
            </w:tcMar>
          </w:tcPr>
          <w:p>
            <w:pPr>
              <w:spacing w:after="0" w:line="276" w:lineRule="auto"/>
            </w:pPr>
            <w:r>
              <w:rPr>
                <w:rFonts w:ascii="Inter" w:hAnsi="Inter" w:cs="Inter" w:eastAsia="Inter"/>
                <w:b/>
                <w:i w:val="0"/>
                <w:color w:val="0A1A3A"/>
                <w:sz w:val="15"/>
              </w:rPr>
              <w:t>16</w:t>
            </w:r>
          </w:p>
        </w:tc>
        <w:tc>
          <w:tcPr>
            <w:tcW w:type="dxa" w:w="2125"/>
            <w:tcMar>
              <w:top w:w="60" w:type="dxa"/>
              <w:start w:w="100" w:type="dxa"/>
              <w:bottom w:w="60" w:type="dxa"/>
              <w:end w:w="100" w:type="dxa"/>
            </w:tcMar>
          </w:tcPr>
          <w:p>
            <w:pPr>
              <w:spacing w:after="0" w:line="276" w:lineRule="auto"/>
            </w:pPr>
            <w:r>
              <w:rPr>
                <w:rFonts w:ascii="Inter" w:hAnsi="Inter" w:cs="Inter" w:eastAsia="Inter"/>
                <w:b w:val="0"/>
                <w:i w:val="0"/>
                <w:color w:val="43506B"/>
                <w:sz w:val="15"/>
              </w:rPr>
              <w:t>Research a medida</w:t>
            </w:r>
          </w:p>
        </w:tc>
        <w:tc>
          <w:tcPr>
            <w:tcW w:type="dxa" w:w="5081"/>
            <w:tcMar>
              <w:top w:w="60" w:type="dxa"/>
              <w:start w:w="100" w:type="dxa"/>
              <w:bottom w:w="60" w:type="dxa"/>
              <w:end w:w="100" w:type="dxa"/>
            </w:tcMar>
          </w:tcPr>
          <w:p>
            <w:pPr>
              <w:spacing w:after="0" w:line="276" w:lineRule="auto"/>
            </w:pPr>
            <w:r>
              <w:rPr>
                <w:rFonts w:ascii="Inter" w:hAnsi="Inter" w:cs="Inter" w:eastAsia="Inter"/>
                <w:b w:val="0"/>
                <w:i w:val="0"/>
                <w:color w:val="43506B"/>
                <w:sz w:val="15"/>
              </w:rPr>
              <w:t>La pregunta libre con gate de honestidad</w:t>
            </w:r>
          </w:p>
        </w:tc>
        <w:tc>
          <w:tcPr>
            <w:tcW w:type="dxa" w:w="1940"/>
            <w:tcMar>
              <w:top w:w="60" w:type="dxa"/>
              <w:start w:w="100" w:type="dxa"/>
              <w:bottom w:w="60" w:type="dxa"/>
              <w:end w:w="100" w:type="dxa"/>
            </w:tcMar>
          </w:tcPr>
          <w:p>
            <w:pPr>
              <w:spacing w:after="0" w:line="276" w:lineRule="auto"/>
            </w:pPr>
            <w:r>
              <w:rPr>
                <w:rFonts w:ascii="Inter" w:hAnsi="Inter" w:cs="Inter" w:eastAsia="Inter"/>
                <w:b w:val="0"/>
                <w:i w:val="0"/>
                <w:color w:val="43506B"/>
                <w:sz w:val="15"/>
              </w:rPr>
              <w:t>§5.4</w:t>
            </w:r>
          </w:p>
        </w:tc>
      </w:tr>
      <w:tr>
        <w:trPr>
          <w:cantSplit/>
        </w:trPr>
        <w:tc>
          <w:tcPr>
            <w:tcW w:type="dxa" w:w="647"/>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17</w:t>
            </w:r>
          </w:p>
        </w:tc>
        <w:tc>
          <w:tcPr>
            <w:tcW w:type="dxa" w:w="212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Herramientas</w:t>
            </w:r>
          </w:p>
        </w:tc>
        <w:tc>
          <w:tcPr>
            <w:tcW w:type="dxa" w:w="5081"/>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Deal Scoring, Contexto de Marca, Comparador</w:t>
            </w:r>
          </w:p>
        </w:tc>
        <w:tc>
          <w:tcPr>
            <w:tcW w:type="dxa" w:w="1940"/>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§5.5–5.7</w:t>
            </w:r>
          </w:p>
        </w:tc>
      </w:tr>
      <w:tr>
        <w:trPr>
          <w:cantSplit/>
        </w:trPr>
        <w:tc>
          <w:tcPr>
            <w:tcW w:type="dxa" w:w="647"/>
            <w:tcMar>
              <w:top w:w="60" w:type="dxa"/>
              <w:start w:w="100" w:type="dxa"/>
              <w:bottom w:w="60" w:type="dxa"/>
              <w:end w:w="100" w:type="dxa"/>
            </w:tcMar>
          </w:tcPr>
          <w:p>
            <w:pPr>
              <w:spacing w:after="0" w:line="276" w:lineRule="auto"/>
            </w:pPr>
            <w:r>
              <w:rPr>
                <w:rFonts w:ascii="Inter" w:hAnsi="Inter" w:cs="Inter" w:eastAsia="Inter"/>
                <w:b/>
                <w:i w:val="0"/>
                <w:color w:val="0A1A3A"/>
                <w:sz w:val="15"/>
              </w:rPr>
              <w:t>18</w:t>
            </w:r>
          </w:p>
        </w:tc>
        <w:tc>
          <w:tcPr>
            <w:tcW w:type="dxa" w:w="2125"/>
            <w:tcMar>
              <w:top w:w="60" w:type="dxa"/>
              <w:start w:w="100" w:type="dxa"/>
              <w:bottom w:w="60" w:type="dxa"/>
              <w:end w:w="100" w:type="dxa"/>
            </w:tcMar>
          </w:tcPr>
          <w:p>
            <w:pPr>
              <w:spacing w:after="0" w:line="276" w:lineRule="auto"/>
            </w:pPr>
            <w:r>
              <w:rPr>
                <w:rFonts w:ascii="Inter" w:hAnsi="Inter" w:cs="Inter" w:eastAsia="Inter"/>
                <w:b w:val="0"/>
                <w:i w:val="0"/>
                <w:color w:val="43506B"/>
                <w:sz w:val="15"/>
              </w:rPr>
              <w:t>El gate de publicación</w:t>
            </w:r>
          </w:p>
        </w:tc>
        <w:tc>
          <w:tcPr>
            <w:tcW w:type="dxa" w:w="5081"/>
            <w:tcMar>
              <w:top w:w="60" w:type="dxa"/>
              <w:start w:w="100" w:type="dxa"/>
              <w:bottom w:w="60" w:type="dxa"/>
              <w:end w:w="100" w:type="dxa"/>
            </w:tcMar>
          </w:tcPr>
          <w:p>
            <w:pPr>
              <w:spacing w:after="0" w:line="276" w:lineRule="auto"/>
            </w:pPr>
            <w:r>
              <w:rPr>
                <w:rFonts w:ascii="Inter" w:hAnsi="Inter" w:cs="Inter" w:eastAsia="Inter"/>
                <w:b w:val="0"/>
                <w:i w:val="0"/>
                <w:color w:val="43506B"/>
                <w:sz w:val="15"/>
              </w:rPr>
              <w:t>G1–G5 y por qué existe</w:t>
            </w:r>
          </w:p>
        </w:tc>
        <w:tc>
          <w:tcPr>
            <w:tcW w:type="dxa" w:w="1940"/>
            <w:tcMar>
              <w:top w:w="60" w:type="dxa"/>
              <w:start w:w="100" w:type="dxa"/>
              <w:bottom w:w="60" w:type="dxa"/>
              <w:end w:w="100" w:type="dxa"/>
            </w:tcMar>
          </w:tcPr>
          <w:p>
            <w:pPr>
              <w:spacing w:after="0" w:line="276" w:lineRule="auto"/>
            </w:pPr>
            <w:r>
              <w:rPr>
                <w:rFonts w:ascii="Inter" w:hAnsi="Inter" w:cs="Inter" w:eastAsia="Inter"/>
                <w:b w:val="0"/>
                <w:i w:val="0"/>
                <w:color w:val="43506B"/>
                <w:sz w:val="15"/>
              </w:rPr>
              <w:t>§5.8</w:t>
            </w:r>
          </w:p>
        </w:tc>
      </w:tr>
      <w:tr>
        <w:trPr>
          <w:cantSplit/>
        </w:trPr>
        <w:tc>
          <w:tcPr>
            <w:tcW w:type="dxa" w:w="647"/>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19</w:t>
            </w:r>
          </w:p>
        </w:tc>
        <w:tc>
          <w:tcPr>
            <w:tcW w:type="dxa" w:w="212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Honestidad como producto</w:t>
            </w:r>
          </w:p>
        </w:tc>
        <w:tc>
          <w:tcPr>
            <w:tcW w:type="dxa" w:w="5081"/>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Dato / rúbrica / brecha, con ejemplo real</w:t>
            </w:r>
          </w:p>
        </w:tc>
        <w:tc>
          <w:tcPr>
            <w:tcW w:type="dxa" w:w="1940"/>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§7.1</w:t>
            </w:r>
          </w:p>
        </w:tc>
      </w:tr>
      <w:tr>
        <w:trPr>
          <w:cantSplit/>
        </w:trPr>
        <w:tc>
          <w:tcPr>
            <w:tcW w:type="dxa" w:w="647"/>
            <w:tcMar>
              <w:top w:w="60" w:type="dxa"/>
              <w:start w:w="100" w:type="dxa"/>
              <w:bottom w:w="60" w:type="dxa"/>
              <w:end w:w="100" w:type="dxa"/>
            </w:tcMar>
          </w:tcPr>
          <w:p>
            <w:pPr>
              <w:spacing w:after="0" w:line="276" w:lineRule="auto"/>
            </w:pPr>
            <w:r>
              <w:rPr>
                <w:rFonts w:ascii="Inter" w:hAnsi="Inter" w:cs="Inter" w:eastAsia="Inter"/>
                <w:b/>
                <w:i w:val="0"/>
                <w:color w:val="0A1A3A"/>
                <w:sz w:val="15"/>
              </w:rPr>
              <w:t>20</w:t>
            </w:r>
          </w:p>
        </w:tc>
        <w:tc>
          <w:tcPr>
            <w:tcW w:type="dxa" w:w="2125"/>
            <w:tcMar>
              <w:top w:w="60" w:type="dxa"/>
              <w:start w:w="100" w:type="dxa"/>
              <w:bottom w:w="60" w:type="dxa"/>
              <w:end w:w="100" w:type="dxa"/>
            </w:tcMar>
          </w:tcPr>
          <w:p>
            <w:pPr>
              <w:spacing w:after="0" w:line="276" w:lineRule="auto"/>
            </w:pPr>
            <w:r>
              <w:rPr>
                <w:rFonts w:ascii="Inter" w:hAnsi="Inter" w:cs="Inter" w:eastAsia="Inter"/>
                <w:b w:val="0"/>
                <w:i w:val="0"/>
                <w:color w:val="43506B"/>
                <w:sz w:val="15"/>
              </w:rPr>
              <w:t>Audiencias</w:t>
            </w:r>
          </w:p>
        </w:tc>
        <w:tc>
          <w:tcPr>
            <w:tcW w:type="dxa" w:w="5081"/>
            <w:tcMar>
              <w:top w:w="60" w:type="dxa"/>
              <w:start w:w="100" w:type="dxa"/>
              <w:bottom w:w="60" w:type="dxa"/>
              <w:end w:w="100" w:type="dxa"/>
            </w:tcMar>
          </w:tcPr>
          <w:p>
            <w:pPr>
              <w:spacing w:after="0" w:line="276" w:lineRule="auto"/>
            </w:pPr>
            <w:r>
              <w:rPr>
                <w:rFonts w:ascii="Inter" w:hAnsi="Inter" w:cs="Inter" w:eastAsia="Inter"/>
                <w:b w:val="0"/>
                <w:i w:val="0"/>
                <w:color w:val="43506B"/>
                <w:sz w:val="15"/>
              </w:rPr>
              <w:t>Quién compra qué</w:t>
            </w:r>
          </w:p>
        </w:tc>
        <w:tc>
          <w:tcPr>
            <w:tcW w:type="dxa" w:w="1940"/>
            <w:tcMar>
              <w:top w:w="60" w:type="dxa"/>
              <w:start w:w="100" w:type="dxa"/>
              <w:bottom w:w="60" w:type="dxa"/>
              <w:end w:w="100" w:type="dxa"/>
            </w:tcMar>
          </w:tcPr>
          <w:p>
            <w:pPr>
              <w:spacing w:after="0" w:line="276" w:lineRule="auto"/>
            </w:pPr>
            <w:r>
              <w:rPr>
                <w:rFonts w:ascii="Inter" w:hAnsi="Inter" w:cs="Inter" w:eastAsia="Inter"/>
                <w:b w:val="0"/>
                <w:i w:val="0"/>
                <w:color w:val="43506B"/>
                <w:sz w:val="15"/>
              </w:rPr>
              <w:t>§1.3</w:t>
            </w:r>
          </w:p>
        </w:tc>
      </w:tr>
      <w:tr>
        <w:trPr>
          <w:cantSplit/>
        </w:trPr>
        <w:tc>
          <w:tcPr>
            <w:tcW w:type="dxa" w:w="647"/>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21</w:t>
            </w:r>
          </w:p>
        </w:tc>
        <w:tc>
          <w:tcPr>
            <w:tcW w:type="dxa" w:w="212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Planes y precios</w:t>
            </w:r>
          </w:p>
        </w:tc>
        <w:tc>
          <w:tcPr>
            <w:tcW w:type="dxa" w:w="5081"/>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Los tres niveles con el tarifario</w:t>
            </w:r>
          </w:p>
        </w:tc>
        <w:tc>
          <w:tcPr>
            <w:tcW w:type="dxa" w:w="1940"/>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§6.2</w:t>
            </w:r>
          </w:p>
        </w:tc>
      </w:tr>
      <w:tr>
        <w:trPr>
          <w:cantSplit/>
        </w:trPr>
        <w:tc>
          <w:tcPr>
            <w:tcW w:type="dxa" w:w="647"/>
            <w:tcMar>
              <w:top w:w="60" w:type="dxa"/>
              <w:start w:w="100" w:type="dxa"/>
              <w:bottom w:w="60" w:type="dxa"/>
              <w:end w:w="100" w:type="dxa"/>
            </w:tcMar>
          </w:tcPr>
          <w:p>
            <w:pPr>
              <w:spacing w:after="0" w:line="276" w:lineRule="auto"/>
            </w:pPr>
            <w:r>
              <w:rPr>
                <w:rFonts w:ascii="Inter" w:hAnsi="Inter" w:cs="Inter" w:eastAsia="Inter"/>
                <w:b/>
                <w:i w:val="0"/>
                <w:color w:val="0A1A3A"/>
                <w:sz w:val="15"/>
              </w:rPr>
              <w:t>22</w:t>
            </w:r>
          </w:p>
        </w:tc>
        <w:tc>
          <w:tcPr>
            <w:tcW w:type="dxa" w:w="2125"/>
            <w:tcMar>
              <w:top w:w="60" w:type="dxa"/>
              <w:start w:w="100" w:type="dxa"/>
              <w:bottom w:w="60" w:type="dxa"/>
              <w:end w:w="100" w:type="dxa"/>
            </w:tcMar>
          </w:tcPr>
          <w:p>
            <w:pPr>
              <w:spacing w:after="0" w:line="276" w:lineRule="auto"/>
            </w:pPr>
            <w:r>
              <w:rPr>
                <w:rFonts w:ascii="Inter" w:hAnsi="Inter" w:cs="Inter" w:eastAsia="Inter"/>
                <w:b w:val="0"/>
                <w:i w:val="0"/>
                <w:color w:val="43506B"/>
                <w:sz w:val="15"/>
              </w:rPr>
              <w:t>Por qué ahora</w:t>
            </w:r>
          </w:p>
        </w:tc>
        <w:tc>
          <w:tcPr>
            <w:tcW w:type="dxa" w:w="5081"/>
            <w:tcMar>
              <w:top w:w="60" w:type="dxa"/>
              <w:start w:w="100" w:type="dxa"/>
              <w:bottom w:w="60" w:type="dxa"/>
              <w:end w:w="100" w:type="dxa"/>
            </w:tcMar>
          </w:tcPr>
          <w:p>
            <w:pPr>
              <w:spacing w:after="0" w:line="276" w:lineRule="auto"/>
            </w:pPr>
            <w:r>
              <w:rPr>
                <w:rFonts w:ascii="Inter" w:hAnsi="Inter" w:cs="Inter" w:eastAsia="Inter"/>
                <w:b w:val="0"/>
                <w:i w:val="0"/>
                <w:color w:val="43506B"/>
                <w:sz w:val="15"/>
              </w:rPr>
              <w:t>Fiscalidad local resuelta, catálogo completo, API viva</w:t>
            </w:r>
          </w:p>
        </w:tc>
        <w:tc>
          <w:tcPr>
            <w:tcW w:type="dxa" w:w="1940"/>
            <w:tcMar>
              <w:top w:w="60" w:type="dxa"/>
              <w:start w:w="100" w:type="dxa"/>
              <w:bottom w:w="60" w:type="dxa"/>
              <w:end w:w="100" w:type="dxa"/>
            </w:tcMar>
          </w:tcPr>
          <w:p>
            <w:pPr>
              <w:spacing w:after="0" w:line="276" w:lineRule="auto"/>
            </w:pPr>
            <w:r>
              <w:rPr>
                <w:rFonts w:ascii="Inter" w:hAnsi="Inter" w:cs="Inter" w:eastAsia="Inter"/>
                <w:b w:val="0"/>
                <w:i w:val="0"/>
                <w:color w:val="43506B"/>
                <w:sz w:val="15"/>
              </w:rPr>
              <w:t>§5.9</w:t>
            </w:r>
          </w:p>
        </w:tc>
      </w:tr>
      <w:tr>
        <w:trPr>
          <w:cantSplit/>
        </w:trPr>
        <w:tc>
          <w:tcPr>
            <w:tcW w:type="dxa" w:w="647"/>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5"/>
              </w:rPr>
              <w:t>23</w:t>
            </w:r>
          </w:p>
        </w:tc>
        <w:tc>
          <w:tcPr>
            <w:tcW w:type="dxa" w:w="212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Cierre</w:t>
            </w:r>
          </w:p>
        </w:tc>
        <w:tc>
          <w:tcPr>
            <w:tcW w:type="dxa" w:w="5081"/>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Bloque de marca, contacto, descargo</w:t>
            </w:r>
          </w:p>
        </w:tc>
        <w:tc>
          <w:tcPr>
            <w:tcW w:type="dxa" w:w="1940"/>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5"/>
              </w:rPr>
              <w:t>—</w:t>
            </w:r>
          </w:p>
        </w:tc>
      </w:tr>
    </w:tbl>
    <w:p>
      <w:pPr>
        <w:spacing w:after="120" w:before="0"/>
      </w:pPr>
    </w:p>
    <w:p>
      <w:pPr>
        <w:keepNext/>
        <w:spacing w:before="260" w:after="60"/>
      </w:pPr>
      <w:r>
        <w:rPr>
          <w:rFonts w:ascii="Plus Jakarta Sans" w:hAnsi="Plus Jakarta Sans" w:cs="Plus Jakarta Sans" w:eastAsia="Plus Jakarta Sans"/>
          <w:b/>
          <w:i w:val="0"/>
          <w:color w:val="0A1A3A"/>
          <w:spacing w:val="-8"/>
          <w:sz w:val="25"/>
        </w:rPr>
        <w:t>8.3 Aciertos y errores previsibles</w:t>
      </w:r>
    </w:p>
    <w:tbl>
      <w:tblPr>
        <w:tblW w:type="auto" w:w="0"/>
        <w:jc w:val="left"/>
        <w:tblBorders>
          <w:top w:val="single" w:sz="4" w:space="0" w:color="E7ECF3"/>
          <w:left w:val="single" w:sz="4" w:space="0" w:color="E7ECF3"/>
          <w:bottom w:val="single" w:sz="4" w:space="0" w:color="E7ECF3"/>
          <w:right w:val="single" w:sz="4" w:space="0" w:color="E7ECF3"/>
          <w:insideH w:val="single" w:sz="4" w:space="0" w:color="E7ECF3"/>
          <w:insideV w:val="single" w:sz="4" w:space="0" w:color="E7ECF3"/>
        </w:tblBorders>
        <w:tblLayout w:type="fixed"/>
        <w:tblLook w:firstColumn="1" w:firstRow="1" w:lastColumn="0" w:lastRow="0" w:noHBand="0" w:noVBand="1" w:val="04A0"/>
      </w:tblPr>
      <w:tblGrid>
        <w:gridCol w:w="4896"/>
        <w:gridCol w:w="4896"/>
      </w:tblGrid>
      <w:tr>
        <w:trPr>
          <w:tblHeader/>
        </w:trPr>
        <w:tc>
          <w:tcPr>
            <w:tcW w:type="dxa" w:w="4896"/>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HAGA ESTO</w:t>
            </w:r>
          </w:p>
        </w:tc>
        <w:tc>
          <w:tcPr>
            <w:tcW w:type="dxa" w:w="4896"/>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NO HAGA ESTO</w:t>
            </w:r>
          </w:p>
        </w:tc>
      </w:tr>
      <w:tr>
        <w:trPr>
          <w:cantSplit/>
        </w:trPr>
        <w:tc>
          <w:tcPr>
            <w:tcW w:type="dxa" w:w="4896"/>
            <w:tcMar>
              <w:top w:w="60" w:type="dxa"/>
              <w:start w:w="100" w:type="dxa"/>
              <w:bottom w:w="60" w:type="dxa"/>
              <w:end w:w="100" w:type="dxa"/>
            </w:tcMar>
          </w:tcPr>
          <w:p>
            <w:pPr>
              <w:spacing w:after="0" w:line="276" w:lineRule="auto"/>
            </w:pPr>
            <w:r>
              <w:rPr>
                <w:rFonts w:ascii="Inter" w:hAnsi="Inter" w:cs="Inter" w:eastAsia="Inter"/>
                <w:b/>
                <w:i w:val="0"/>
                <w:color w:val="0A1A3A"/>
                <w:sz w:val="16"/>
              </w:rPr>
              <w:t>Use el medidor de arco como motivo gráfico recurrente: es el logotipo y es el producto.</w:t>
            </w:r>
          </w:p>
        </w:tc>
        <w:tc>
          <w:tcPr>
            <w:tcW w:type="dxa" w:w="4896"/>
            <w:tcMar>
              <w:top w:w="60" w:type="dxa"/>
              <w:start w:w="100" w:type="dxa"/>
              <w:bottom w:w="60" w:type="dxa"/>
              <w:end w:w="100" w:type="dxa"/>
            </w:tcMar>
          </w:tcPr>
          <w:p>
            <w:pPr>
              <w:spacing w:after="0" w:line="276" w:lineRule="auto"/>
            </w:pPr>
            <w:r>
              <w:rPr>
                <w:rFonts w:ascii="Inter" w:hAnsi="Inter" w:cs="Inter" w:eastAsia="Inter"/>
                <w:b w:val="0"/>
                <w:i w:val="0"/>
                <w:color w:val="43506B"/>
                <w:sz w:val="16"/>
              </w:rPr>
              <w:t>No invente iconografía sectorial genérica (una fábrica, una palmera). El sistema es tipográfico y de dato.</w:t>
            </w:r>
          </w:p>
        </w:tc>
      </w:tr>
      <w:tr>
        <w:trPr>
          <w:cantSplit/>
        </w:trPr>
        <w:tc>
          <w:tcPr>
            <w:tcW w:type="dxa" w:w="4896"/>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Muestre pantallas reales del producto y páginas reales del informe.</w:t>
            </w:r>
          </w:p>
        </w:tc>
        <w:tc>
          <w:tcPr>
            <w:tcW w:type="dxa" w:w="4896"/>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No maquete pantallas ficticias más bonitas que las reales: el comprador las verá en la demo.</w:t>
            </w:r>
          </w:p>
        </w:tc>
      </w:tr>
      <w:tr>
        <w:trPr>
          <w:cantSplit/>
        </w:trPr>
        <w:tc>
          <w:tcPr>
            <w:tcW w:type="dxa" w:w="4896"/>
            <w:tcMar>
              <w:top w:w="60" w:type="dxa"/>
              <w:start w:w="100" w:type="dxa"/>
              <w:bottom w:w="60" w:type="dxa"/>
              <w:end w:w="100" w:type="dxa"/>
            </w:tcMar>
          </w:tcPr>
          <w:p>
            <w:pPr>
              <w:spacing w:after="0" w:line="276" w:lineRule="auto"/>
            </w:pPr>
            <w:r>
              <w:rPr>
                <w:rFonts w:ascii="Inter" w:hAnsi="Inter" w:cs="Inter" w:eastAsia="Inter"/>
                <w:b/>
                <w:i w:val="0"/>
                <w:color w:val="0A1A3A"/>
                <w:sz w:val="16"/>
              </w:rPr>
              <w:t>Deje respirar. Cifras grandes, mucho blanco, una idea por lámina.</w:t>
            </w:r>
          </w:p>
        </w:tc>
        <w:tc>
          <w:tcPr>
            <w:tcW w:type="dxa" w:w="4896"/>
            <w:tcMar>
              <w:top w:w="60" w:type="dxa"/>
              <w:start w:w="100" w:type="dxa"/>
              <w:bottom w:w="60" w:type="dxa"/>
              <w:end w:w="100" w:type="dxa"/>
            </w:tcMar>
          </w:tcPr>
          <w:p>
            <w:pPr>
              <w:spacing w:after="0" w:line="276" w:lineRule="auto"/>
            </w:pPr>
            <w:r>
              <w:rPr>
                <w:rFonts w:ascii="Inter" w:hAnsi="Inter" w:cs="Inter" w:eastAsia="Inter"/>
                <w:b w:val="0"/>
                <w:i w:val="0"/>
                <w:color w:val="43506B"/>
                <w:sz w:val="16"/>
              </w:rPr>
              <w:t>No llene una lámina con seis estadísticas de relleno. Cada elemento gana su lugar.</w:t>
            </w:r>
          </w:p>
        </w:tc>
      </w:tr>
      <w:tr>
        <w:trPr>
          <w:cantSplit/>
        </w:trPr>
        <w:tc>
          <w:tcPr>
            <w:tcW w:type="dxa" w:w="4896"/>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Etiquete la procedencia cuando muestre una cifra, aunque sea de ejemplo.</w:t>
            </w:r>
          </w:p>
        </w:tc>
        <w:tc>
          <w:tcPr>
            <w:tcW w:type="dxa" w:w="4896"/>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No use degradados decorativos, sombras dramáticas ni emoji.</w:t>
            </w:r>
          </w:p>
        </w:tc>
      </w:tr>
      <w:tr>
        <w:trPr>
          <w:cantSplit/>
        </w:trPr>
        <w:tc>
          <w:tcPr>
            <w:tcW w:type="dxa" w:w="4896"/>
            <w:tcMar>
              <w:top w:w="60" w:type="dxa"/>
              <w:start w:w="100" w:type="dxa"/>
              <w:bottom w:w="60" w:type="dxa"/>
              <w:end w:w="100" w:type="dxa"/>
            </w:tcMar>
          </w:tcPr>
          <w:p>
            <w:pPr>
              <w:spacing w:after="0" w:line="276" w:lineRule="auto"/>
            </w:pPr>
            <w:r>
              <w:rPr>
                <w:rFonts w:ascii="Inter" w:hAnsi="Inter" w:cs="Inter" w:eastAsia="Inter"/>
                <w:b/>
                <w:i w:val="0"/>
                <w:color w:val="0A1A3A"/>
                <w:sz w:val="16"/>
              </w:rPr>
              <w:t>Marque «datos ilustrativos» donde la cifra sea de ejemplo.</w:t>
            </w:r>
          </w:p>
        </w:tc>
        <w:tc>
          <w:tcPr>
            <w:tcW w:type="dxa" w:w="4896"/>
            <w:tcMar>
              <w:top w:w="60" w:type="dxa"/>
              <w:start w:w="100" w:type="dxa"/>
              <w:bottom w:w="60" w:type="dxa"/>
              <w:end w:w="100" w:type="dxa"/>
            </w:tcMar>
          </w:tcPr>
          <w:p>
            <w:pPr>
              <w:spacing w:after="0" w:line="276" w:lineRule="auto"/>
            </w:pPr>
            <w:r>
              <w:rPr>
                <w:rFonts w:ascii="Inter" w:hAnsi="Inter" w:cs="Inter" w:eastAsia="Inter"/>
                <w:b w:val="0"/>
                <w:i w:val="0"/>
                <w:color w:val="43506B"/>
                <w:sz w:val="16"/>
              </w:rPr>
              <w:t>No presente una cifra de ejemplo como si fuera un resultado medido.</w:t>
            </w:r>
          </w:p>
        </w:tc>
      </w:tr>
      <w:tr>
        <w:trPr>
          <w:cantSplit/>
        </w:trPr>
        <w:tc>
          <w:tcPr>
            <w:tcW w:type="dxa" w:w="4896"/>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Use la barra vertical de acento para citas destacadas.</w:t>
            </w:r>
          </w:p>
        </w:tc>
        <w:tc>
          <w:tcPr>
            <w:tcW w:type="dxa" w:w="4896"/>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No use tarjetas con borde de acento a la izquierda como decoración general.</w:t>
            </w:r>
          </w:p>
        </w:tc>
      </w:tr>
    </w:tbl>
    <w:p>
      <w:pPr>
        <w:spacing w:after="120" w:before="0"/>
      </w:pPr>
    </w:p>
    <w:p>
      <w:pPr>
        <w:keepNext/>
        <w:spacing w:before="260" w:after="60"/>
      </w:pPr>
      <w:r>
        <w:rPr>
          <w:rFonts w:ascii="Plus Jakarta Sans" w:hAnsi="Plus Jakarta Sans" w:cs="Plus Jakarta Sans" w:eastAsia="Plus Jakarta Sans"/>
          <w:b/>
          <w:i w:val="0"/>
          <w:color w:val="0A1A3A"/>
          <w:spacing w:val="-8"/>
          <w:sz w:val="25"/>
        </w:rPr>
        <w:t>8.4 Assets adjuntos</w:t>
      </w:r>
    </w:p>
    <w:tbl>
      <w:tblPr>
        <w:tblW w:type="auto" w:w="0"/>
        <w:jc w:val="left"/>
        <w:tblBorders>
          <w:top w:val="single" w:sz="4" w:space="0" w:color="E7ECF3"/>
          <w:left w:val="single" w:sz="4" w:space="0" w:color="E7ECF3"/>
          <w:bottom w:val="single" w:sz="4" w:space="0" w:color="E7ECF3"/>
          <w:right w:val="single" w:sz="4" w:space="0" w:color="E7ECF3"/>
          <w:insideH w:val="single" w:sz="4" w:space="0" w:color="E7ECF3"/>
          <w:insideV w:val="single" w:sz="4" w:space="0" w:color="E7ECF3"/>
        </w:tblBorders>
        <w:tblLayout w:type="fixed"/>
        <w:tblLook w:firstColumn="1" w:firstRow="1" w:lastColumn="0" w:lastRow="0" w:noHBand="0" w:noVBand="1" w:val="04A0"/>
      </w:tblPr>
      <w:tblGrid>
        <w:gridCol w:w="3207"/>
        <w:gridCol w:w="6584"/>
      </w:tblGrid>
      <w:tr>
        <w:trPr>
          <w:tblHeader/>
        </w:trPr>
        <w:tc>
          <w:tcPr>
            <w:tcW w:type="dxa" w:w="3208"/>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ARCHIVO</w:t>
            </w:r>
          </w:p>
        </w:tc>
        <w:tc>
          <w:tcPr>
            <w:tcW w:type="dxa" w:w="6584"/>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QUÉ ES</w:t>
            </w:r>
          </w:p>
        </w:tc>
      </w:tr>
      <w:tr>
        <w:trPr>
          <w:cantSplit/>
        </w:trPr>
        <w:tc>
          <w:tcPr>
            <w:tcW w:type="dxa" w:w="3208"/>
            <w:tcMar>
              <w:top w:w="60" w:type="dxa"/>
              <w:start w:w="100" w:type="dxa"/>
              <w:bottom w:w="60" w:type="dxa"/>
              <w:end w:w="100" w:type="dxa"/>
            </w:tcMar>
          </w:tcPr>
          <w:p>
            <w:pPr>
              <w:spacing w:after="0" w:line="276" w:lineRule="auto"/>
            </w:pPr>
            <w:r>
              <w:rPr>
                <w:rFonts w:ascii="JetBrains Mono" w:hAnsi="JetBrains Mono" w:cs="JetBrains Mono" w:eastAsia="JetBrains Mono"/>
                <w:b/>
                <w:i w:val="0"/>
                <w:color w:val="0A1A3A"/>
                <w:sz w:val="16"/>
              </w:rPr>
              <w:t>logo_arco_v2_1024.png</w:t>
            </w:r>
          </w:p>
        </w:tc>
        <w:tc>
          <w:tcPr>
            <w:tcW w:type="dxa" w:w="6584"/>
            <w:tcMar>
              <w:top w:w="60" w:type="dxa"/>
              <w:start w:w="100" w:type="dxa"/>
              <w:bottom w:w="60" w:type="dxa"/>
              <w:end w:w="100" w:type="dxa"/>
            </w:tcMar>
          </w:tcPr>
          <w:p>
            <w:pPr>
              <w:spacing w:after="0" w:line="276" w:lineRule="auto"/>
            </w:pPr>
            <w:r>
              <w:rPr>
                <w:rFonts w:ascii="Inter" w:hAnsi="Inter" w:cs="Inter" w:eastAsia="Inter"/>
                <w:b w:val="0"/>
                <w:i w:val="0"/>
                <w:color w:val="43506B"/>
                <w:sz w:val="16"/>
              </w:rPr>
              <w:t>Símbolo Arco recomendado, 1024 px, fondo transparente.</w:t>
            </w:r>
          </w:p>
        </w:tc>
      </w:tr>
      <w:tr>
        <w:trPr>
          <w:cantSplit/>
        </w:trPr>
        <w:tc>
          <w:tcPr>
            <w:tcW w:type="dxa" w:w="3208"/>
            <w:shd w:val="clear" w:color="auto" w:fill="F5F8FC"/>
            <w:tcMar>
              <w:top w:w="60" w:type="dxa"/>
              <w:start w:w="100" w:type="dxa"/>
              <w:bottom w:w="60" w:type="dxa"/>
              <w:end w:w="100" w:type="dxa"/>
            </w:tcMar>
          </w:tcPr>
          <w:p>
            <w:pPr>
              <w:spacing w:after="0" w:line="276" w:lineRule="auto"/>
            </w:pPr>
            <w:r>
              <w:rPr>
                <w:rFonts w:ascii="JetBrains Mono" w:hAnsi="JetBrains Mono" w:cs="JetBrains Mono" w:eastAsia="JetBrains Mono"/>
                <w:b/>
                <w:i w:val="0"/>
                <w:color w:val="0A1A3A"/>
                <w:sz w:val="16"/>
              </w:rPr>
              <w:t>logo_arco_favicon_1024.png</w:t>
            </w:r>
          </w:p>
        </w:tc>
        <w:tc>
          <w:tcPr>
            <w:tcW w:type="dxa" w:w="6584"/>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Símbolo tal como se sirve hoy en la aplicación.</w:t>
            </w:r>
          </w:p>
        </w:tc>
      </w:tr>
      <w:tr>
        <w:trPr>
          <w:cantSplit/>
        </w:trPr>
        <w:tc>
          <w:tcPr>
            <w:tcW w:type="dxa" w:w="3208"/>
            <w:tcMar>
              <w:top w:w="60" w:type="dxa"/>
              <w:start w:w="100" w:type="dxa"/>
              <w:bottom w:w="60" w:type="dxa"/>
              <w:end w:w="100" w:type="dxa"/>
            </w:tcMar>
          </w:tcPr>
          <w:p>
            <w:pPr>
              <w:spacing w:after="0" w:line="276" w:lineRule="auto"/>
            </w:pPr>
            <w:r>
              <w:rPr>
                <w:rFonts w:ascii="JetBrains Mono" w:hAnsi="JetBrains Mono" w:cs="JetBrains Mono" w:eastAsia="JetBrains Mono"/>
                <w:b/>
                <w:i w:val="0"/>
                <w:color w:val="0A1A3A"/>
                <w:sz w:val="16"/>
              </w:rPr>
              <w:t>logo_produccion_256.png</w:t>
            </w:r>
          </w:p>
        </w:tc>
        <w:tc>
          <w:tcPr>
            <w:tcW w:type="dxa" w:w="6584"/>
            <w:tcMar>
              <w:top w:w="60" w:type="dxa"/>
              <w:start w:w="100" w:type="dxa"/>
              <w:bottom w:w="60" w:type="dxa"/>
              <w:end w:w="100" w:type="dxa"/>
            </w:tcMar>
          </w:tcPr>
          <w:p>
            <w:pPr>
              <w:spacing w:after="0" w:line="276" w:lineRule="auto"/>
            </w:pPr>
            <w:r>
              <w:rPr>
                <w:rFonts w:ascii="Inter" w:hAnsi="Inter" w:cs="Inter" w:eastAsia="Inter"/>
                <w:b w:val="0"/>
                <w:i w:val="0"/>
                <w:color w:val="43506B"/>
                <w:sz w:val="16"/>
              </w:rPr>
              <w:t>Símbolo tal como va en los informes PDF y Word.</w:t>
            </w:r>
          </w:p>
        </w:tc>
      </w:tr>
      <w:tr>
        <w:trPr>
          <w:cantSplit/>
        </w:trPr>
        <w:tc>
          <w:tcPr>
            <w:tcW w:type="dxa" w:w="3208"/>
            <w:shd w:val="clear" w:color="auto" w:fill="F5F8FC"/>
            <w:tcMar>
              <w:top w:w="60" w:type="dxa"/>
              <w:start w:w="100" w:type="dxa"/>
              <w:bottom w:w="60" w:type="dxa"/>
              <w:end w:w="100" w:type="dxa"/>
            </w:tcMar>
          </w:tcPr>
          <w:p>
            <w:pPr>
              <w:spacing w:after="0" w:line="276" w:lineRule="auto"/>
            </w:pPr>
            <w:r>
              <w:rPr>
                <w:rFonts w:ascii="JetBrains Mono" w:hAnsi="JetBrains Mono" w:cs="JetBrains Mono" w:eastAsia="JetBrains Mono"/>
                <w:b/>
                <w:i w:val="0"/>
                <w:color w:val="0A1A3A"/>
                <w:sz w:val="16"/>
              </w:rPr>
              <w:t>logo_variants.png</w:t>
            </w:r>
          </w:p>
        </w:tc>
        <w:tc>
          <w:tcPr>
            <w:tcW w:type="dxa" w:w="6584"/>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Las tres variantes comparadas (figura 2).</w:t>
            </w:r>
          </w:p>
        </w:tc>
      </w:tr>
      <w:tr>
        <w:trPr>
          <w:cantSplit/>
        </w:trPr>
        <w:tc>
          <w:tcPr>
            <w:tcW w:type="dxa" w:w="3208"/>
            <w:tcMar>
              <w:top w:w="60" w:type="dxa"/>
              <w:start w:w="100" w:type="dxa"/>
              <w:bottom w:w="60" w:type="dxa"/>
              <w:end w:w="100" w:type="dxa"/>
            </w:tcMar>
          </w:tcPr>
          <w:p>
            <w:pPr>
              <w:spacing w:after="0" w:line="276" w:lineRule="auto"/>
            </w:pPr>
            <w:r>
              <w:rPr>
                <w:rFonts w:ascii="JetBrains Mono" w:hAnsi="JetBrains Mono" w:cs="JetBrains Mono" w:eastAsia="JetBrains Mono"/>
                <w:b/>
                <w:i w:val="0"/>
                <w:color w:val="0A1A3A"/>
                <w:sz w:val="16"/>
              </w:rPr>
              <w:t>lockup_light.png / lockup_dark.png</w:t>
            </w:r>
          </w:p>
        </w:tc>
        <w:tc>
          <w:tcPr>
            <w:tcW w:type="dxa" w:w="6584"/>
            <w:tcMar>
              <w:top w:w="60" w:type="dxa"/>
              <w:start w:w="100" w:type="dxa"/>
              <w:bottom w:w="60" w:type="dxa"/>
              <w:end w:w="100" w:type="dxa"/>
            </w:tcMar>
          </w:tcPr>
          <w:p>
            <w:pPr>
              <w:spacing w:after="0" w:line="276" w:lineRule="auto"/>
            </w:pPr>
            <w:r>
              <w:rPr>
                <w:rFonts w:ascii="Inter" w:hAnsi="Inter" w:cs="Inter" w:eastAsia="Inter"/>
                <w:b w:val="0"/>
                <w:i w:val="0"/>
                <w:color w:val="43506B"/>
                <w:sz w:val="16"/>
              </w:rPr>
              <w:t>Bloque de marca en claro y en oscuro.</w:t>
            </w:r>
          </w:p>
        </w:tc>
      </w:tr>
      <w:tr>
        <w:trPr>
          <w:cantSplit/>
        </w:trPr>
        <w:tc>
          <w:tcPr>
            <w:tcW w:type="dxa" w:w="3208"/>
            <w:shd w:val="clear" w:color="auto" w:fill="F5F8FC"/>
            <w:tcMar>
              <w:top w:w="60" w:type="dxa"/>
              <w:start w:w="100" w:type="dxa"/>
              <w:bottom w:w="60" w:type="dxa"/>
              <w:end w:w="100" w:type="dxa"/>
            </w:tcMar>
          </w:tcPr>
          <w:p>
            <w:pPr>
              <w:spacing w:after="0" w:line="276" w:lineRule="auto"/>
            </w:pPr>
            <w:r>
              <w:rPr>
                <w:rFonts w:ascii="JetBrains Mono" w:hAnsi="JetBrains Mono" w:cs="JetBrains Mono" w:eastAsia="JetBrains Mono"/>
                <w:b/>
                <w:i w:val="0"/>
                <w:color w:val="0A1A3A"/>
                <w:sz w:val="16"/>
              </w:rPr>
              <w:t>arch.png</w:t>
            </w:r>
          </w:p>
        </w:tc>
        <w:tc>
          <w:tcPr>
            <w:tcW w:type="dxa" w:w="6584"/>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Diagrama de arquitectura (figura 1).</w:t>
            </w:r>
          </w:p>
        </w:tc>
      </w:tr>
      <w:tr>
        <w:trPr>
          <w:cantSplit/>
        </w:trPr>
        <w:tc>
          <w:tcPr>
            <w:tcW w:type="dxa" w:w="3208"/>
            <w:tcMar>
              <w:top w:w="60" w:type="dxa"/>
              <w:start w:w="100" w:type="dxa"/>
              <w:bottom w:w="60" w:type="dxa"/>
              <w:end w:w="100" w:type="dxa"/>
            </w:tcMar>
          </w:tcPr>
          <w:p>
            <w:pPr>
              <w:spacing w:after="0" w:line="276" w:lineRule="auto"/>
            </w:pPr>
            <w:r>
              <w:rPr>
                <w:rFonts w:ascii="JetBrains Mono" w:hAnsi="JetBrains Mono" w:cs="JetBrains Mono" w:eastAsia="JetBrains Mono"/>
                <w:b/>
                <w:i w:val="0"/>
                <w:color w:val="0A1A3A"/>
                <w:sz w:val="16"/>
              </w:rPr>
              <w:t>ui_light.png / ui_dark.png</w:t>
            </w:r>
          </w:p>
        </w:tc>
        <w:tc>
          <w:tcPr>
            <w:tcW w:type="dxa" w:w="6584"/>
            <w:tcMar>
              <w:top w:w="60" w:type="dxa"/>
              <w:start w:w="100" w:type="dxa"/>
              <w:bottom w:w="60" w:type="dxa"/>
              <w:end w:w="100" w:type="dxa"/>
            </w:tcMar>
          </w:tcPr>
          <w:p>
            <w:pPr>
              <w:spacing w:after="0" w:line="276" w:lineRule="auto"/>
            </w:pPr>
            <w:r>
              <w:rPr>
                <w:rFonts w:ascii="Inter" w:hAnsi="Inter" w:cs="Inter" w:eastAsia="Inter"/>
                <w:b w:val="0"/>
                <w:i w:val="0"/>
                <w:color w:val="43506B"/>
                <w:sz w:val="16"/>
              </w:rPr>
              <w:t>Muestra de componentes en ambos temas (figura 4).</w:t>
            </w:r>
          </w:p>
        </w:tc>
      </w:tr>
      <w:tr>
        <w:trPr>
          <w:cantSplit/>
        </w:trPr>
        <w:tc>
          <w:tcPr>
            <w:tcW w:type="dxa" w:w="3208"/>
            <w:shd w:val="clear" w:color="auto" w:fill="F5F8FC"/>
            <w:tcMar>
              <w:top w:w="60" w:type="dxa"/>
              <w:start w:w="100" w:type="dxa"/>
              <w:bottom w:w="60" w:type="dxa"/>
              <w:end w:w="100" w:type="dxa"/>
            </w:tcMar>
          </w:tcPr>
          <w:p>
            <w:pPr>
              <w:spacing w:after="0" w:line="276" w:lineRule="auto"/>
            </w:pPr>
            <w:r>
              <w:rPr>
                <w:rFonts w:ascii="JetBrains Mono" w:hAnsi="JetBrains Mono" w:cs="JetBrains Mono" w:eastAsia="JetBrains Mono"/>
                <w:b/>
                <w:i w:val="0"/>
                <w:color w:val="0A1A3A"/>
                <w:sz w:val="16"/>
              </w:rPr>
              <w:t>tokens.css</w:t>
            </w:r>
          </w:p>
        </w:tc>
        <w:tc>
          <w:tcPr>
            <w:tcW w:type="dxa" w:w="6584"/>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Los tokens completos, listos para pegar en una herramienta de diseño.</w:t>
            </w:r>
          </w:p>
        </w:tc>
      </w:tr>
      <w:tr>
        <w:trPr>
          <w:cantSplit/>
        </w:trPr>
        <w:tc>
          <w:tcPr>
            <w:tcW w:type="dxa" w:w="3208"/>
            <w:tcMar>
              <w:top w:w="60" w:type="dxa"/>
              <w:start w:w="100" w:type="dxa"/>
              <w:bottom w:w="60" w:type="dxa"/>
              <w:end w:w="100" w:type="dxa"/>
            </w:tcMar>
          </w:tcPr>
          <w:p>
            <w:pPr>
              <w:spacing w:after="0" w:line="276" w:lineRule="auto"/>
            </w:pPr>
            <w:r>
              <w:rPr>
                <w:rFonts w:ascii="JetBrains Mono" w:hAnsi="JetBrains Mono" w:cs="JetBrains Mono" w:eastAsia="JetBrains Mono"/>
                <w:b/>
                <w:i w:val="0"/>
                <w:color w:val="0A1A3A"/>
                <w:sz w:val="16"/>
              </w:rPr>
              <w:t>arco.svg</w:t>
            </w:r>
          </w:p>
        </w:tc>
        <w:tc>
          <w:tcPr>
            <w:tcW w:type="dxa" w:w="6584"/>
            <w:tcMar>
              <w:top w:w="60" w:type="dxa"/>
              <w:start w:w="100" w:type="dxa"/>
              <w:bottom w:w="60" w:type="dxa"/>
              <w:end w:w="100" w:type="dxa"/>
            </w:tcMar>
          </w:tcPr>
          <w:p>
            <w:pPr>
              <w:spacing w:after="0" w:line="276" w:lineRule="auto"/>
            </w:pPr>
            <w:r>
              <w:rPr>
                <w:rFonts w:ascii="Inter" w:hAnsi="Inter" w:cs="Inter" w:eastAsia="Inter"/>
                <w:b w:val="0"/>
                <w:i w:val="0"/>
                <w:color w:val="43506B"/>
                <w:sz w:val="16"/>
              </w:rPr>
              <w:t>El símbolo recomendado en vectorial.</w:t>
            </w:r>
          </w:p>
        </w:tc>
      </w:tr>
    </w:tbl>
    <w:p>
      <w:pPr>
        <w:spacing w:after="120" w:before="0"/>
      </w:pPr>
    </w:p>
    <w:p>
      <w:pPr>
        <w:keepNext/>
        <w:spacing w:before="260" w:after="60"/>
      </w:pPr>
      <w:r>
        <w:rPr>
          <w:rFonts w:ascii="Plus Jakarta Sans" w:hAnsi="Plus Jakarta Sans" w:cs="Plus Jakarta Sans" w:eastAsia="Plus Jakarta Sans"/>
          <w:b/>
          <w:i w:val="0"/>
          <w:color w:val="0A1A3A"/>
          <w:spacing w:val="-8"/>
          <w:sz w:val="25"/>
        </w:rPr>
        <w:t>8.5 Decisiones que el diseñador no puede tomar solo</w:t>
      </w:r>
    </w:p>
    <w:p>
      <w:pPr>
        <w:spacing w:after="120" w:before="0"/>
      </w:pPr>
      <w:r>
        <w:rPr>
          <w:rFonts w:ascii="Inter" w:hAnsi="Inter" w:cs="Inter" w:eastAsia="Inter"/>
          <w:b w:val="0"/>
          <w:i w:val="0"/>
          <w:color w:val="43506B"/>
          <w:sz w:val="19"/>
        </w:rPr>
        <w:t>Para Ricardo Mercado, antes de que la presentación se cierre:</w:t>
      </w:r>
    </w:p>
    <w:tbl>
      <w:tblPr>
        <w:tblW w:type="auto" w:w="0"/>
        <w:jc w:val="left"/>
        <w:tblBorders>
          <w:top w:val="single" w:sz="4" w:space="0" w:color="E7ECF3"/>
          <w:left w:val="single" w:sz="4" w:space="0" w:color="E7ECF3"/>
          <w:bottom w:val="single" w:sz="4" w:space="0" w:color="E7ECF3"/>
          <w:right w:val="single" w:sz="4" w:space="0" w:color="E7ECF3"/>
          <w:insideH w:val="single" w:sz="4" w:space="0" w:color="E7ECF3"/>
          <w:insideV w:val="single" w:sz="4" w:space="0" w:color="E7ECF3"/>
        </w:tblBorders>
        <w:tblLayout w:type="fixed"/>
        <w:tblLook w:firstColumn="1" w:firstRow="1" w:lastColumn="0" w:lastRow="0" w:noHBand="0" w:noVBand="1" w:val="04A0"/>
      </w:tblPr>
      <w:tblGrid>
        <w:gridCol w:w="506"/>
        <w:gridCol w:w="3883"/>
        <w:gridCol w:w="5402"/>
      </w:tblGrid>
      <w:tr>
        <w:trPr>
          <w:tblHeader/>
        </w:trPr>
        <w:tc>
          <w:tcPr>
            <w:tcW w:type="dxa" w:w="506"/>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w:t>
            </w:r>
          </w:p>
        </w:tc>
        <w:tc>
          <w:tcPr>
            <w:tcW w:type="dxa" w:w="3883"/>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DECISIÓN</w:t>
            </w:r>
          </w:p>
        </w:tc>
        <w:tc>
          <w:tcPr>
            <w:tcW w:type="dxa" w:w="5402"/>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RECOMENDACIÓN DE ESTE DOCUMENTO</w:t>
            </w:r>
          </w:p>
        </w:tc>
      </w:tr>
      <w:tr>
        <w:trPr>
          <w:cantSplit/>
        </w:trPr>
        <w:tc>
          <w:tcPr>
            <w:tcW w:type="dxa" w:w="506"/>
            <w:tcMar>
              <w:top w:w="60" w:type="dxa"/>
              <w:start w:w="100" w:type="dxa"/>
              <w:bottom w:w="60" w:type="dxa"/>
              <w:end w:w="100" w:type="dxa"/>
            </w:tcMar>
          </w:tcPr>
          <w:p>
            <w:pPr>
              <w:spacing w:after="0" w:line="276" w:lineRule="auto"/>
            </w:pPr>
            <w:r>
              <w:rPr>
                <w:rFonts w:ascii="Inter" w:hAnsi="Inter" w:cs="Inter" w:eastAsia="Inter"/>
                <w:b/>
                <w:i w:val="0"/>
                <w:color w:val="0A1A3A"/>
                <w:sz w:val="16"/>
              </w:rPr>
              <w:t>1</w:t>
            </w:r>
          </w:p>
        </w:tc>
        <w:tc>
          <w:tcPr>
            <w:tcW w:type="dxa" w:w="3883"/>
            <w:tcMar>
              <w:top w:w="60" w:type="dxa"/>
              <w:start w:w="100" w:type="dxa"/>
              <w:bottom w:w="60" w:type="dxa"/>
              <w:end w:w="100" w:type="dxa"/>
            </w:tcMar>
          </w:tcPr>
          <w:p>
            <w:pPr>
              <w:spacing w:after="0" w:line="276" w:lineRule="auto"/>
            </w:pPr>
            <w:r>
              <w:rPr>
                <w:rFonts w:ascii="Inter" w:hAnsi="Inter" w:cs="Inter" w:eastAsia="Inter"/>
                <w:b w:val="0"/>
                <w:i w:val="0"/>
                <w:color w:val="43506B"/>
                <w:sz w:val="16"/>
              </w:rPr>
              <w:t>Geometría y color únicos del símbolo Arco.</w:t>
            </w:r>
          </w:p>
        </w:tc>
        <w:tc>
          <w:tcPr>
            <w:tcW w:type="dxa" w:w="5402"/>
            <w:tcMar>
              <w:top w:w="60" w:type="dxa"/>
              <w:start w:w="100" w:type="dxa"/>
              <w:bottom w:w="60" w:type="dxa"/>
              <w:end w:w="100" w:type="dxa"/>
            </w:tcMar>
          </w:tcPr>
          <w:p>
            <w:pPr>
              <w:spacing w:after="0" w:line="276" w:lineRule="auto"/>
            </w:pPr>
            <w:r>
              <w:rPr>
                <w:rFonts w:ascii="Inter" w:hAnsi="Inter" w:cs="Inter" w:eastAsia="Inter"/>
                <w:b w:val="0"/>
                <w:i w:val="0"/>
                <w:color w:val="43506B"/>
                <w:sz w:val="16"/>
              </w:rPr>
              <w:t>Construcción del logotipo de producción, color #1E6FFF de la aplicación.</w:t>
            </w:r>
          </w:p>
        </w:tc>
      </w:tr>
      <w:tr>
        <w:trPr>
          <w:cantSplit/>
        </w:trPr>
        <w:tc>
          <w:tcPr>
            <w:tcW w:type="dxa" w:w="506"/>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2</w:t>
            </w:r>
          </w:p>
        </w:tc>
        <w:tc>
          <w:tcPr>
            <w:tcW w:type="dxa" w:w="3883"/>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Unificar la paleta de informes con la de la aplicación.</w:t>
            </w:r>
          </w:p>
        </w:tc>
        <w:tc>
          <w:tcPr>
            <w:tcW w:type="dxa" w:w="540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Sí; retirar o degradar el signal red #E11D48.</w:t>
            </w:r>
          </w:p>
        </w:tc>
      </w:tr>
      <w:tr>
        <w:trPr>
          <w:cantSplit/>
        </w:trPr>
        <w:tc>
          <w:tcPr>
            <w:tcW w:type="dxa" w:w="506"/>
            <w:tcMar>
              <w:top w:w="60" w:type="dxa"/>
              <w:start w:w="100" w:type="dxa"/>
              <w:bottom w:w="60" w:type="dxa"/>
              <w:end w:w="100" w:type="dxa"/>
            </w:tcMar>
          </w:tcPr>
          <w:p>
            <w:pPr>
              <w:spacing w:after="0" w:line="276" w:lineRule="auto"/>
            </w:pPr>
            <w:r>
              <w:rPr>
                <w:rFonts w:ascii="Inter" w:hAnsi="Inter" w:cs="Inter" w:eastAsia="Inter"/>
                <w:b/>
                <w:i w:val="0"/>
                <w:color w:val="0A1A3A"/>
                <w:sz w:val="16"/>
              </w:rPr>
              <w:t>3</w:t>
            </w:r>
          </w:p>
        </w:tc>
        <w:tc>
          <w:tcPr>
            <w:tcW w:type="dxa" w:w="3883"/>
            <w:tcMar>
              <w:top w:w="60" w:type="dxa"/>
              <w:start w:w="100" w:type="dxa"/>
              <w:bottom w:w="60" w:type="dxa"/>
              <w:end w:w="100" w:type="dxa"/>
            </w:tcMar>
          </w:tcPr>
          <w:p>
            <w:pPr>
              <w:spacing w:after="0" w:line="276" w:lineRule="auto"/>
            </w:pPr>
            <w:r>
              <w:rPr>
                <w:rFonts w:ascii="Inter" w:hAnsi="Inter" w:cs="Inter" w:eastAsia="Inter"/>
                <w:b w:val="0"/>
                <w:i w:val="0"/>
                <w:color w:val="43506B"/>
                <w:sz w:val="16"/>
              </w:rPr>
              <w:t>Confirmar si Arco pasa de identidad de producto a identidad de casa.</w:t>
            </w:r>
          </w:p>
        </w:tc>
        <w:tc>
          <w:tcPr>
            <w:tcW w:type="dxa" w:w="5402"/>
            <w:tcMar>
              <w:top w:w="60" w:type="dxa"/>
              <w:start w:w="100" w:type="dxa"/>
              <w:bottom w:w="60" w:type="dxa"/>
              <w:end w:w="100" w:type="dxa"/>
            </w:tcMar>
          </w:tcPr>
          <w:p>
            <w:pPr>
              <w:spacing w:after="0" w:line="276" w:lineRule="auto"/>
            </w:pPr>
            <w:r>
              <w:rPr>
                <w:rFonts w:ascii="Inter" w:hAnsi="Inter" w:cs="Inter" w:eastAsia="Inter"/>
                <w:b w:val="0"/>
                <w:i w:val="0"/>
                <w:color w:val="43506B"/>
                <w:sz w:val="16"/>
              </w:rPr>
              <w:t>Fuera del alcance de este encargo; decidir aparte.</w:t>
            </w:r>
          </w:p>
        </w:tc>
      </w:tr>
      <w:tr>
        <w:trPr>
          <w:cantSplit/>
        </w:trPr>
        <w:tc>
          <w:tcPr>
            <w:tcW w:type="dxa" w:w="506"/>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4</w:t>
            </w:r>
          </w:p>
        </w:tc>
        <w:tc>
          <w:tcPr>
            <w:tcW w:type="dxa" w:w="3883"/>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Cerrar el tarifario.</w:t>
            </w:r>
          </w:p>
        </w:tc>
        <w:tc>
          <w:tcPr>
            <w:tcW w:type="dxa" w:w="540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Sin precios publicados no hay venta; los de §6.2 son propuesta.</w:t>
            </w:r>
          </w:p>
        </w:tc>
      </w:tr>
      <w:tr>
        <w:trPr>
          <w:cantSplit/>
        </w:trPr>
        <w:tc>
          <w:tcPr>
            <w:tcW w:type="dxa" w:w="506"/>
            <w:tcMar>
              <w:top w:w="60" w:type="dxa"/>
              <w:start w:w="100" w:type="dxa"/>
              <w:bottom w:w="60" w:type="dxa"/>
              <w:end w:w="100" w:type="dxa"/>
            </w:tcMar>
          </w:tcPr>
          <w:p>
            <w:pPr>
              <w:spacing w:after="0" w:line="276" w:lineRule="auto"/>
            </w:pPr>
            <w:r>
              <w:rPr>
                <w:rFonts w:ascii="Inter" w:hAnsi="Inter" w:cs="Inter" w:eastAsia="Inter"/>
                <w:b/>
                <w:i w:val="0"/>
                <w:color w:val="0A1A3A"/>
                <w:sz w:val="16"/>
              </w:rPr>
              <w:t>5</w:t>
            </w:r>
          </w:p>
        </w:tc>
        <w:tc>
          <w:tcPr>
            <w:tcW w:type="dxa" w:w="3883"/>
            <w:tcMar>
              <w:top w:w="60" w:type="dxa"/>
              <w:start w:w="100" w:type="dxa"/>
              <w:bottom w:w="60" w:type="dxa"/>
              <w:end w:w="100" w:type="dxa"/>
            </w:tcMar>
          </w:tcPr>
          <w:p>
            <w:pPr>
              <w:spacing w:after="0" w:line="276" w:lineRule="auto"/>
            </w:pPr>
            <w:r>
              <w:rPr>
                <w:rFonts w:ascii="Inter" w:hAnsi="Inter" w:cs="Inter" w:eastAsia="Inter"/>
                <w:b w:val="0"/>
                <w:i w:val="0"/>
                <w:color w:val="43506B"/>
                <w:sz w:val="16"/>
              </w:rPr>
              <w:t>Encender la pasarela de pago.</w:t>
            </w:r>
          </w:p>
        </w:tc>
        <w:tc>
          <w:tcPr>
            <w:tcW w:type="dxa" w:w="5402"/>
            <w:tcMar>
              <w:top w:w="60" w:type="dxa"/>
              <w:start w:w="100" w:type="dxa"/>
              <w:bottom w:w="60" w:type="dxa"/>
              <w:end w:w="100" w:type="dxa"/>
            </w:tcMar>
          </w:tcPr>
          <w:p>
            <w:pPr>
              <w:spacing w:after="0" w:line="276" w:lineRule="auto"/>
            </w:pPr>
            <w:r>
              <w:rPr>
                <w:rFonts w:ascii="Inter" w:hAnsi="Inter" w:cs="Inter" w:eastAsia="Inter"/>
                <w:b w:val="0"/>
                <w:i w:val="0"/>
                <w:color w:val="43506B"/>
                <w:sz w:val="16"/>
              </w:rPr>
              <w:t>Tres pasos pendientes del dueño, listados en §6.3.</w:t>
            </w:r>
          </w:p>
        </w:tc>
      </w:tr>
      <w:tr>
        <w:trPr>
          <w:cantSplit/>
        </w:trPr>
        <w:tc>
          <w:tcPr>
            <w:tcW w:type="dxa" w:w="506"/>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6</w:t>
            </w:r>
          </w:p>
        </w:tc>
        <w:tc>
          <w:tcPr>
            <w:tcW w:type="dxa" w:w="3883"/>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Qué ejes se muestran como activos en la presentación.</w:t>
            </w:r>
          </w:p>
        </w:tc>
        <w:tc>
          <w:tcPr>
            <w:tcW w:type="dxa" w:w="540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Solo los que el monitor tenga activados al momento de imprimir.</w:t>
            </w:r>
          </w:p>
        </w:tc>
      </w:tr>
    </w:tbl>
    <w:p>
      <w:pPr>
        <w:spacing w:after="120" w:before="0"/>
      </w:pPr>
    </w:p>
    <w:p>
      <w:r>
        <w:br w:type="page"/>
      </w:r>
    </w:p>
    <w:p>
      <w:pPr>
        <w:spacing w:before="40" w:after="20"/>
      </w:pPr>
      <w:r>
        <w:rPr>
          <w:rFonts w:ascii="JetBrains Mono" w:hAnsi="JetBrains Mono" w:cs="JetBrains Mono" w:eastAsia="JetBrains Mono"/>
          <w:b/>
          <w:i w:val="0"/>
          <w:color w:val="1E6FFF"/>
          <w:spacing w:val="26"/>
          <w:sz w:val="15"/>
        </w:rPr>
        <w:t>§9 · REFERENCIA</w:t>
      </w:r>
    </w:p>
    <w:p>
      <w:pPr>
        <w:keepNext/>
        <w:spacing w:before="0" w:after="60"/>
      </w:pPr>
      <w:r>
        <w:rPr>
          <w:rFonts w:ascii="Plus Jakarta Sans" w:hAnsi="Plus Jakarta Sans" w:cs="Plus Jakarta Sans" w:eastAsia="Plus Jakarta Sans"/>
          <w:b/>
          <w:i w:val="0"/>
          <w:color w:val="0A1A3A"/>
          <w:spacing w:val="-12"/>
          <w:sz w:val="38"/>
        </w:rPr>
        <w:t>Anexos</w:t>
      </w:r>
    </w:p>
    <w:p>
      <w:pPr>
        <w:pBdr>
          <w:bottom w:val="single" w:sz="10" w:space="1" w:color="1E6FFF"/>
        </w:pBdr>
        <w:spacing w:before="20" w:after="200"/>
      </w:pPr>
    </w:p>
    <w:p>
      <w:pPr>
        <w:keepNext/>
        <w:spacing w:before="260" w:after="60"/>
      </w:pPr>
      <w:r>
        <w:rPr>
          <w:rFonts w:ascii="Plus Jakarta Sans" w:hAnsi="Plus Jakarta Sans" w:cs="Plus Jakarta Sans" w:eastAsia="Plus Jakarta Sans"/>
          <w:b/>
          <w:i w:val="0"/>
          <w:color w:val="0A1A3A"/>
          <w:spacing w:val="-8"/>
          <w:sz w:val="25"/>
        </w:rPr>
        <w:t>A · Tokens completos</w:t>
      </w:r>
    </w:p>
    <w:p>
      <w:pPr>
        <w:spacing w:after="120" w:before="0"/>
      </w:pPr>
      <w:r>
        <w:rPr>
          <w:rFonts w:ascii="Inter" w:hAnsi="Inter" w:cs="Inter" w:eastAsia="Inter"/>
          <w:b w:val="0"/>
          <w:i w:val="0"/>
          <w:color w:val="43506B"/>
          <w:sz w:val="19"/>
        </w:rPr>
        <w:t>Pegue esto en la herramienta de diseño. Es literalmente el archivo que consume la aplicación.</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792"/>
      </w:tblGrid>
      <w:tr>
        <w:tc>
          <w:tcPr>
            <w:tcW w:type="dxa" w:w="9792"/>
            <w:shd w:val="clear" w:color="auto" w:fill="F1F5FB"/>
            <w:tcMar>
              <w:top w:w="110" w:type="dxa"/>
              <w:start w:w="140" w:type="dxa"/>
              <w:bottom w:w="110" w:type="dxa"/>
              <w:end w:w="140" w:type="dxa"/>
            </w:tcMar>
          </w:tcPr>
          <w:p>
            <w:pPr>
              <w:spacing w:after="0" w:line="276" w:lineRule="auto"/>
            </w:pPr>
            <w:r>
              <w:rPr>
                <w:rFonts w:ascii="JetBrains Mono" w:hAnsi="JetBrains Mono" w:cs="JetBrains Mono" w:eastAsia="JetBrains Mono"/>
                <w:b w:val="0"/>
                <w:i w:val="0"/>
                <w:color w:val="0A1A3A"/>
                <w:sz w:val="15"/>
              </w:rPr>
              <w:t>:root {</w:t>
            </w:r>
          </w:p>
          <w:p>
            <w:pPr>
              <w:spacing w:after="0" w:line="276" w:lineRule="auto"/>
            </w:pPr>
            <w:r>
              <w:rPr>
                <w:rFonts w:ascii="JetBrains Mono" w:hAnsi="JetBrains Mono" w:cs="JetBrains Mono" w:eastAsia="JetBrains Mono"/>
                <w:b w:val="0"/>
                <w:i w:val="0"/>
                <w:color w:val="0A1A3A"/>
                <w:sz w:val="15"/>
              </w:rPr>
              <w:t xml:space="preserve">  --canvas:#F5F8FC;  --surface:#FFFFFF;  --surface-2:#F1F5FB;</w:t>
            </w:r>
          </w:p>
          <w:p>
            <w:pPr>
              <w:spacing w:after="0" w:line="276" w:lineRule="auto"/>
            </w:pPr>
            <w:r>
              <w:rPr>
                <w:rFonts w:ascii="JetBrains Mono" w:hAnsi="JetBrains Mono" w:cs="JetBrains Mono" w:eastAsia="JetBrains Mono"/>
                <w:b w:val="0"/>
                <w:i w:val="0"/>
                <w:color w:val="0A1A3A"/>
                <w:sz w:val="15"/>
              </w:rPr>
              <w:t xml:space="preserve">  --ink:#0A1A3A;     --body:#43506B;     --muted:#76829C;   --faint:#9AA6BF;</w:t>
            </w:r>
          </w:p>
          <w:p>
            <w:pPr>
              <w:spacing w:after="0" w:line="276" w:lineRule="auto"/>
            </w:pPr>
            <w:r>
              <w:rPr>
                <w:rFonts w:ascii="JetBrains Mono" w:hAnsi="JetBrains Mono" w:cs="JetBrains Mono" w:eastAsia="JetBrains Mono"/>
                <w:b w:val="0"/>
                <w:i w:val="0"/>
                <w:color w:val="0A1A3A"/>
                <w:sz w:val="15"/>
              </w:rPr>
              <w:t xml:space="preserve">  --border:#E7ECF3;  --border-strong:#D6DEEC;</w:t>
            </w:r>
          </w:p>
          <w:p>
            <w:pPr>
              <w:spacing w:after="0" w:line="276" w:lineRule="auto"/>
            </w:pPr>
            <w:r>
              <w:rPr>
                <w:rFonts w:ascii="JetBrains Mono" w:hAnsi="JetBrains Mono" w:cs="JetBrains Mono" w:eastAsia="JetBrains Mono"/>
                <w:b w:val="0"/>
                <w:i w:val="0"/>
                <w:color w:val="0A1A3A"/>
                <w:sz w:val="15"/>
              </w:rPr>
              <w:t xml:space="preserve">  --accent:#1E6FFF;  --accent-hover:#1A60E0;  --accent-soft:#EAF1FF;  --accent-ink:#1551C0;</w:t>
            </w:r>
          </w:p>
          <w:p>
            <w:pPr>
              <w:spacing w:after="0" w:line="276" w:lineRule="auto"/>
            </w:pPr>
            <w:r>
              <w:rPr>
                <w:rFonts w:ascii="JetBrains Mono" w:hAnsi="JetBrains Mono" w:cs="JetBrains Mono" w:eastAsia="JetBrains Mono"/>
                <w:b w:val="0"/>
                <w:i w:val="0"/>
                <w:color w:val="0A1A3A"/>
                <w:sz w:val="15"/>
              </w:rPr>
              <w:t xml:space="preserve">  --teal:#0F7E7E;    --teal-soft:#E3F2F2;</w:t>
            </w:r>
          </w:p>
          <w:p>
            <w:pPr>
              <w:spacing w:after="0" w:line="276" w:lineRule="auto"/>
            </w:pPr>
            <w:r>
              <w:rPr>
                <w:rFonts w:ascii="JetBrains Mono" w:hAnsi="JetBrains Mono" w:cs="JetBrains Mono" w:eastAsia="JetBrains Mono"/>
                <w:b w:val="0"/>
                <w:i w:val="0"/>
                <w:color w:val="0A1A3A"/>
                <w:sz w:val="15"/>
              </w:rPr>
              <w:t xml:space="preserve">  --ok:#15875A;   --ok-soft:#E5F3EC;</w:t>
            </w:r>
          </w:p>
          <w:p>
            <w:pPr>
              <w:spacing w:after="0" w:line="276" w:lineRule="auto"/>
            </w:pPr>
            <w:r>
              <w:rPr>
                <w:rFonts w:ascii="JetBrains Mono" w:hAnsi="JetBrains Mono" w:cs="JetBrains Mono" w:eastAsia="JetBrains Mono"/>
                <w:b w:val="0"/>
                <w:i w:val="0"/>
                <w:color w:val="0A1A3A"/>
                <w:sz w:val="15"/>
              </w:rPr>
              <w:t xml:space="preserve">  --warn:#B7791F; --warn-soft:#FBF1DD;</w:t>
            </w:r>
          </w:p>
          <w:p>
            <w:pPr>
              <w:spacing w:after="0" w:line="276" w:lineRule="auto"/>
            </w:pPr>
            <w:r>
              <w:rPr>
                <w:rFonts w:ascii="JetBrains Mono" w:hAnsi="JetBrains Mono" w:cs="JetBrains Mono" w:eastAsia="JetBrains Mono"/>
                <w:b w:val="0"/>
                <w:i w:val="0"/>
                <w:color w:val="0A1A3A"/>
                <w:sz w:val="15"/>
              </w:rPr>
              <w:t xml:space="preserve">  --alert:#C8392E; --alert-soft:#FBEAE8;</w:t>
            </w:r>
          </w:p>
          <w:p>
            <w:pPr>
              <w:spacing w:after="0" w:line="276" w:lineRule="auto"/>
            </w:pPr>
            <w:r>
              <w:rPr>
                <w:rFonts w:ascii="JetBrains Mono" w:hAnsi="JetBrains Mono" w:cs="JetBrains Mono" w:eastAsia="JetBrains Mono"/>
                <w:b w:val="0"/>
                <w:i w:val="0"/>
                <w:color w:val="0A1A3A"/>
                <w:sz w:val="15"/>
              </w:rPr>
              <w:t xml:space="preserve">  --c1:#1E6FFF; --c2:#0F7E7E; --c3:#7A5AF8; --c4:#B7791F; --c5:#E0729A; --c6:#2BA8A8;</w:t>
            </w:r>
          </w:p>
          <w:p>
            <w:pPr>
              <w:spacing w:after="0" w:line="276" w:lineRule="auto"/>
            </w:pPr>
            <w:r>
              <w:rPr>
                <w:rFonts w:ascii="JetBrains Mono" w:hAnsi="JetBrains Mono" w:cs="JetBrains Mono" w:eastAsia="JetBrains Mono"/>
                <w:b w:val="0"/>
                <w:i w:val="0"/>
                <w:color w:val="0A1A3A"/>
                <w:sz w:val="15"/>
              </w:rPr>
              <w:t xml:space="preserve">  --grid:#EAEFF6;</w:t>
            </w:r>
          </w:p>
          <w:p>
            <w:pPr>
              <w:spacing w:after="0" w:line="276" w:lineRule="auto"/>
            </w:pPr>
            <w:r>
              <w:rPr>
                <w:rFonts w:ascii="JetBrains Mono" w:hAnsi="JetBrains Mono" w:cs="JetBrains Mono" w:eastAsia="JetBrains Mono"/>
                <w:b w:val="0"/>
                <w:i w:val="0"/>
                <w:color w:val="0A1A3A"/>
                <w:sz w:val="15"/>
              </w:rPr>
              <w:t xml:space="preserve">  --shadow-card: 0 1px 2px rgba(10,26,58,.05), 0 10px 24px -18px rgba(10,26,58,.22);</w:t>
            </w:r>
          </w:p>
          <w:p>
            <w:pPr>
              <w:spacing w:after="0" w:line="276" w:lineRule="auto"/>
            </w:pPr>
            <w:r>
              <w:rPr>
                <w:rFonts w:ascii="JetBrains Mono" w:hAnsi="JetBrains Mono" w:cs="JetBrains Mono" w:eastAsia="JetBrains Mono"/>
                <w:b w:val="0"/>
                <w:i w:val="0"/>
                <w:color w:val="0A1A3A"/>
                <w:sz w:val="15"/>
              </w:rPr>
              <w:t xml:space="preserve">  --shadow-pop:  0 8px 28px -8px rgba(10,26,58,.22), 0 2px 8px -2px rgba(10,26,58,.12);</w:t>
            </w:r>
          </w:p>
          <w:p>
            <w:pPr>
              <w:spacing w:after="0" w:line="276" w:lineRule="auto"/>
            </w:pPr>
            <w:r>
              <w:rPr>
                <w:rFonts w:ascii="JetBrains Mono" w:hAnsi="JetBrains Mono" w:cs="JetBrains Mono" w:eastAsia="JetBrains Mono"/>
                <w:b w:val="0"/>
                <w:i w:val="0"/>
                <w:color w:val="0A1A3A"/>
                <w:sz w:val="15"/>
              </w:rPr>
              <w:t>}</w:t>
            </w:r>
          </w:p>
          <w:p>
            <w:pPr>
              <w:spacing w:after="0" w:line="276" w:lineRule="auto"/>
            </w:pPr>
            <w:r>
              <w:rPr>
                <w:rFonts w:ascii="JetBrains Mono" w:hAnsi="JetBrains Mono" w:cs="JetBrains Mono" w:eastAsia="JetBrains Mono"/>
                <w:b w:val="0"/>
                <w:i w:val="0"/>
                <w:color w:val="0A1A3A"/>
                <w:sz w:val="15"/>
              </w:rPr>
              <w:t>.dark {</w:t>
            </w:r>
          </w:p>
          <w:p>
            <w:pPr>
              <w:spacing w:after="0" w:line="276" w:lineRule="auto"/>
            </w:pPr>
            <w:r>
              <w:rPr>
                <w:rFonts w:ascii="JetBrains Mono" w:hAnsi="JetBrains Mono" w:cs="JetBrains Mono" w:eastAsia="JetBrains Mono"/>
                <w:b w:val="0"/>
                <w:i w:val="0"/>
                <w:color w:val="0A1A3A"/>
                <w:sz w:val="15"/>
              </w:rPr>
              <w:t xml:space="preserve">  --canvas:#0A0F1C;  --surface:#121B2E;  --surface-2:#182238;</w:t>
            </w:r>
          </w:p>
          <w:p>
            <w:pPr>
              <w:spacing w:after="0" w:line="276" w:lineRule="auto"/>
            </w:pPr>
            <w:r>
              <w:rPr>
                <w:rFonts w:ascii="JetBrains Mono" w:hAnsi="JetBrains Mono" w:cs="JetBrains Mono" w:eastAsia="JetBrains Mono"/>
                <w:b w:val="0"/>
                <w:i w:val="0"/>
                <w:color w:val="0A1A3A"/>
                <w:sz w:val="15"/>
              </w:rPr>
              <w:t xml:space="preserve">  --ink:#EAF0FB;     --body:#AEB9D2;     --muted:#6E7C9B;   --faint:#55617E;</w:t>
            </w:r>
          </w:p>
          <w:p>
            <w:pPr>
              <w:spacing w:after="0" w:line="276" w:lineRule="auto"/>
            </w:pPr>
            <w:r>
              <w:rPr>
                <w:rFonts w:ascii="JetBrains Mono" w:hAnsi="JetBrains Mono" w:cs="JetBrains Mono" w:eastAsia="JetBrains Mono"/>
                <w:b w:val="0"/>
                <w:i w:val="0"/>
                <w:color w:val="0A1A3A"/>
                <w:sz w:val="15"/>
              </w:rPr>
              <w:t xml:space="preserve">  --border:#232F49;  --border-strong:#2E3C5A;</w:t>
            </w:r>
          </w:p>
          <w:p>
            <w:pPr>
              <w:spacing w:after="0" w:line="276" w:lineRule="auto"/>
            </w:pPr>
            <w:r>
              <w:rPr>
                <w:rFonts w:ascii="JetBrains Mono" w:hAnsi="JetBrains Mono" w:cs="JetBrains Mono" w:eastAsia="JetBrains Mono"/>
                <w:b w:val="0"/>
                <w:i w:val="0"/>
                <w:color w:val="0A1A3A"/>
                <w:sz w:val="15"/>
              </w:rPr>
              <w:t xml:space="preserve">  --accent:#3B82F6;  --accent-hover:#5A96F8;  --accent-soft:rgba(59,130,246,.15);  --accent-ink:#93BBFB;</w:t>
            </w:r>
          </w:p>
          <w:p>
            <w:pPr>
              <w:spacing w:after="0" w:line="276" w:lineRule="auto"/>
            </w:pPr>
            <w:r>
              <w:rPr>
                <w:rFonts w:ascii="JetBrains Mono" w:hAnsi="JetBrains Mono" w:cs="JetBrains Mono" w:eastAsia="JetBrains Mono"/>
                <w:b w:val="0"/>
                <w:i w:val="0"/>
                <w:color w:val="0A1A3A"/>
                <w:sz w:val="15"/>
              </w:rPr>
              <w:t xml:space="preserve">  --teal:#2DD4BF;    --teal-soft:rgba(45,212,191,.14);</w:t>
            </w:r>
          </w:p>
          <w:p>
            <w:pPr>
              <w:spacing w:after="0" w:line="276" w:lineRule="auto"/>
            </w:pPr>
            <w:r>
              <w:rPr>
                <w:rFonts w:ascii="JetBrains Mono" w:hAnsi="JetBrains Mono" w:cs="JetBrains Mono" w:eastAsia="JetBrains Mono"/>
                <w:b w:val="0"/>
                <w:i w:val="0"/>
                <w:color w:val="0A1A3A"/>
                <w:sz w:val="15"/>
              </w:rPr>
              <w:t xml:space="preserve">  --ok:#34D399;   --ok-soft:rgba(52,211,153,.14);</w:t>
            </w:r>
          </w:p>
          <w:p>
            <w:pPr>
              <w:spacing w:after="0" w:line="276" w:lineRule="auto"/>
            </w:pPr>
            <w:r>
              <w:rPr>
                <w:rFonts w:ascii="JetBrains Mono" w:hAnsi="JetBrains Mono" w:cs="JetBrains Mono" w:eastAsia="JetBrains Mono"/>
                <w:b w:val="0"/>
                <w:i w:val="0"/>
                <w:color w:val="0A1A3A"/>
                <w:sz w:val="15"/>
              </w:rPr>
              <w:t xml:space="preserve">  --warn:#FBBF24; --warn-soft:rgba(251,191,36,.14);</w:t>
            </w:r>
          </w:p>
          <w:p>
            <w:pPr>
              <w:spacing w:after="0" w:line="276" w:lineRule="auto"/>
            </w:pPr>
            <w:r>
              <w:rPr>
                <w:rFonts w:ascii="JetBrains Mono" w:hAnsi="JetBrains Mono" w:cs="JetBrains Mono" w:eastAsia="JetBrains Mono"/>
                <w:b w:val="0"/>
                <w:i w:val="0"/>
                <w:color w:val="0A1A3A"/>
                <w:sz w:val="15"/>
              </w:rPr>
              <w:t xml:space="preserve">  --alert:#F2645A; --alert-soft:rgba(242,100,90,.15);</w:t>
            </w:r>
          </w:p>
          <w:p>
            <w:pPr>
              <w:spacing w:after="0" w:line="276" w:lineRule="auto"/>
            </w:pPr>
            <w:r>
              <w:rPr>
                <w:rFonts w:ascii="JetBrains Mono" w:hAnsi="JetBrains Mono" w:cs="JetBrains Mono" w:eastAsia="JetBrains Mono"/>
                <w:b w:val="0"/>
                <w:i w:val="0"/>
                <w:color w:val="0A1A3A"/>
                <w:sz w:val="15"/>
              </w:rPr>
              <w:t xml:space="preserve">  --c1:#3B82F6; --c2:#2DD4BF; --c3:#A78BFA; --c4:#FBBF24; --c5:#F472B6; --c6:#22D3EE;</w:t>
            </w:r>
          </w:p>
          <w:p>
            <w:pPr>
              <w:spacing w:after="0" w:line="276" w:lineRule="auto"/>
            </w:pPr>
            <w:r>
              <w:rPr>
                <w:rFonts w:ascii="JetBrains Mono" w:hAnsi="JetBrains Mono" w:cs="JetBrains Mono" w:eastAsia="JetBrains Mono"/>
                <w:b w:val="0"/>
                <w:i w:val="0"/>
                <w:color w:val="0A1A3A"/>
                <w:sz w:val="15"/>
              </w:rPr>
              <w:t xml:space="preserve">  --grid:#1E2940;</w:t>
            </w:r>
          </w:p>
          <w:p>
            <w:pPr>
              <w:spacing w:after="0" w:line="276" w:lineRule="auto"/>
            </w:pPr>
            <w:r>
              <w:rPr>
                <w:rFonts w:ascii="JetBrains Mono" w:hAnsi="JetBrains Mono" w:cs="JetBrains Mono" w:eastAsia="JetBrains Mono"/>
                <w:b w:val="0"/>
                <w:i w:val="0"/>
                <w:color w:val="0A1A3A"/>
                <w:sz w:val="15"/>
              </w:rPr>
              <w:t>}</w:t>
            </w:r>
          </w:p>
        </w:tc>
      </w:tr>
    </w:tbl>
    <w:p>
      <w:pPr>
        <w:spacing w:after="80" w:before="0"/>
      </w:pPr>
    </w:p>
    <w:p>
      <w:pPr>
        <w:keepNext/>
        <w:spacing w:before="260" w:after="60"/>
      </w:pPr>
      <w:r>
        <w:rPr>
          <w:rFonts w:ascii="Plus Jakarta Sans" w:hAnsi="Plus Jakarta Sans" w:cs="Plus Jakarta Sans" w:eastAsia="Plus Jakarta Sans"/>
          <w:b/>
          <w:i w:val="0"/>
          <w:color w:val="0A1A3A"/>
          <w:spacing w:val="-8"/>
          <w:sz w:val="25"/>
        </w:rPr>
        <w:t>B · El símbolo en vectorial</w:t>
      </w:r>
    </w:p>
    <w:p>
      <w:pPr>
        <w:spacing w:after="120" w:before="0"/>
      </w:pPr>
      <w:r>
        <w:rPr>
          <w:rFonts w:ascii="Inter" w:hAnsi="Inter" w:cs="Inter" w:eastAsia="Inter"/>
          <w:b w:val="0"/>
          <w:i w:val="0"/>
          <w:color w:val="43506B"/>
          <w:sz w:val="19"/>
        </w:rPr>
        <w:t>Variante recomendada. El arco abre en la parte superior y el punto flota separado: es lo que hace legible la metáfora del medidor.</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792"/>
      </w:tblGrid>
      <w:tr>
        <w:tc>
          <w:tcPr>
            <w:tcW w:type="dxa" w:w="9792"/>
            <w:shd w:val="clear" w:color="auto" w:fill="F1F5FB"/>
            <w:tcMar>
              <w:top w:w="110" w:type="dxa"/>
              <w:start w:w="140" w:type="dxa"/>
              <w:bottom w:w="110" w:type="dxa"/>
              <w:end w:w="140" w:type="dxa"/>
            </w:tcMar>
          </w:tcPr>
          <w:p>
            <w:pPr>
              <w:spacing w:after="0" w:line="276" w:lineRule="auto"/>
            </w:pPr>
            <w:r>
              <w:rPr>
                <w:rFonts w:ascii="JetBrains Mono" w:hAnsi="JetBrains Mono" w:cs="JetBrains Mono" w:eastAsia="JetBrains Mono"/>
                <w:b w:val="0"/>
                <w:i w:val="0"/>
                <w:color w:val="0A1A3A"/>
                <w:sz w:val="15"/>
              </w:rPr>
              <w:t>&lt;svg xmlns="http://www.w3.org/2000/svg" viewBox="0 0 32 32"&gt;</w:t>
            </w:r>
          </w:p>
          <w:p>
            <w:pPr>
              <w:spacing w:after="0" w:line="276" w:lineRule="auto"/>
            </w:pPr>
            <w:r>
              <w:rPr>
                <w:rFonts w:ascii="JetBrains Mono" w:hAnsi="JetBrains Mono" w:cs="JetBrains Mono" w:eastAsia="JetBrains Mono"/>
                <w:b w:val="0"/>
                <w:i w:val="0"/>
                <w:color w:val="0A1A3A"/>
                <w:sz w:val="15"/>
              </w:rPr>
              <w:t xml:space="preserve">  &lt;rect width="32" height="32" rx="9" fill="#1E6FFF"/&gt;</w:t>
            </w:r>
          </w:p>
          <w:p>
            <w:pPr>
              <w:spacing w:after="0" w:line="276" w:lineRule="auto"/>
            </w:pPr>
            <w:r>
              <w:rPr>
                <w:rFonts w:ascii="JetBrains Mono" w:hAnsi="JetBrains Mono" w:cs="JetBrains Mono" w:eastAsia="JetBrains Mono"/>
                <w:b w:val="0"/>
                <w:i w:val="0"/>
                <w:color w:val="0A1A3A"/>
                <w:sz w:val="15"/>
              </w:rPr>
              <w:t xml:space="preserve">  &lt;path d="M20.95 11.05 A 7 7 0 1 1 11.05 11.05" fill="none"</w:t>
            </w:r>
          </w:p>
          <w:p>
            <w:pPr>
              <w:spacing w:after="0" w:line="276" w:lineRule="auto"/>
            </w:pPr>
            <w:r>
              <w:rPr>
                <w:rFonts w:ascii="JetBrains Mono" w:hAnsi="JetBrains Mono" w:cs="JetBrains Mono" w:eastAsia="JetBrains Mono"/>
                <w:b w:val="0"/>
                <w:i w:val="0"/>
                <w:color w:val="0A1A3A"/>
                <w:sz w:val="15"/>
              </w:rPr>
              <w:t xml:space="preserve">        stroke="#FFFFFF" stroke-width="3.5" stroke-linecap="round"/&gt;</w:t>
            </w:r>
          </w:p>
          <w:p>
            <w:pPr>
              <w:spacing w:after="0" w:line="276" w:lineRule="auto"/>
            </w:pPr>
            <w:r>
              <w:rPr>
                <w:rFonts w:ascii="JetBrains Mono" w:hAnsi="JetBrains Mono" w:cs="JetBrains Mono" w:eastAsia="JetBrains Mono"/>
                <w:b w:val="0"/>
                <w:i w:val="0"/>
                <w:color w:val="0A1A3A"/>
                <w:sz w:val="15"/>
              </w:rPr>
              <w:t xml:space="preserve">  &lt;circle cx="16" cy="6.6" r="2.6" fill="#FFFFFF"/&gt;</w:t>
            </w:r>
          </w:p>
          <w:p>
            <w:pPr>
              <w:spacing w:after="0" w:line="276" w:lineRule="auto"/>
            </w:pPr>
            <w:r>
              <w:rPr>
                <w:rFonts w:ascii="JetBrains Mono" w:hAnsi="JetBrains Mono" w:cs="JetBrains Mono" w:eastAsia="JetBrains Mono"/>
                <w:b w:val="0"/>
                <w:i w:val="0"/>
                <w:color w:val="0A1A3A"/>
                <w:sz w:val="15"/>
              </w:rPr>
              <w:t>&lt;/svg&gt;</w:t>
            </w:r>
          </w:p>
        </w:tc>
      </w:tr>
    </w:tbl>
    <w:p>
      <w:pPr>
        <w:spacing w:after="80" w:before="0"/>
      </w:pPr>
    </w:p>
    <w:p>
      <w:pPr>
        <w:keepNext/>
        <w:spacing w:before="260" w:after="60"/>
      </w:pPr>
      <w:r>
        <w:rPr>
          <w:rFonts w:ascii="Plus Jakarta Sans" w:hAnsi="Plus Jakarta Sans" w:cs="Plus Jakarta Sans" w:eastAsia="Plus Jakarta Sans"/>
          <w:b/>
          <w:i w:val="0"/>
          <w:color w:val="0A1A3A"/>
          <w:spacing w:val="-8"/>
          <w:sz w:val="25"/>
        </w:rPr>
        <w:t>C · Mapa de navegación de la plataforma</w:t>
      </w:r>
    </w:p>
    <w:p>
      <w:pPr>
        <w:spacing w:after="120" w:before="0"/>
      </w:pPr>
      <w:r>
        <w:rPr>
          <w:rFonts w:ascii="Inter" w:hAnsi="Inter" w:cs="Inter" w:eastAsia="Inter"/>
          <w:b w:val="0"/>
          <w:i w:val="0"/>
          <w:color w:val="43506B"/>
          <w:sz w:val="19"/>
        </w:rPr>
        <w:t>Cinco grupos en la barra lateral. Útil si la presentación incluye una lámina de recorrido de producto.</w:t>
      </w:r>
    </w:p>
    <w:tbl>
      <w:tblPr>
        <w:tblW w:type="auto" w:w="0"/>
        <w:jc w:val="left"/>
        <w:tblBorders>
          <w:top w:val="single" w:sz="4" w:space="0" w:color="E7ECF3"/>
          <w:left w:val="single" w:sz="4" w:space="0" w:color="E7ECF3"/>
          <w:bottom w:val="single" w:sz="4" w:space="0" w:color="E7ECF3"/>
          <w:right w:val="single" w:sz="4" w:space="0" w:color="E7ECF3"/>
          <w:insideH w:val="single" w:sz="4" w:space="0" w:color="E7ECF3"/>
          <w:insideV w:val="single" w:sz="4" w:space="0" w:color="E7ECF3"/>
        </w:tblBorders>
        <w:tblLayout w:type="fixed"/>
        <w:tblLook w:firstColumn="1" w:firstRow="1" w:lastColumn="0" w:lastRow="0" w:noHBand="0" w:noVBand="1" w:val="04A0"/>
      </w:tblPr>
      <w:tblGrid>
        <w:gridCol w:w="2025"/>
        <w:gridCol w:w="7766"/>
      </w:tblGrid>
      <w:tr>
        <w:trPr>
          <w:tblHeader/>
        </w:trPr>
        <w:tc>
          <w:tcPr>
            <w:tcW w:type="dxa" w:w="2026"/>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GRUPO</w:t>
            </w:r>
          </w:p>
        </w:tc>
        <w:tc>
          <w:tcPr>
            <w:tcW w:type="dxa" w:w="7766"/>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ELEMENTOS</w:t>
            </w:r>
          </w:p>
        </w:tc>
      </w:tr>
      <w:tr>
        <w:trPr>
          <w:cantSplit/>
        </w:trPr>
        <w:tc>
          <w:tcPr>
            <w:tcW w:type="dxa" w:w="2026"/>
            <w:tcMar>
              <w:top w:w="60" w:type="dxa"/>
              <w:start w:w="100" w:type="dxa"/>
              <w:bottom w:w="60" w:type="dxa"/>
              <w:end w:w="100" w:type="dxa"/>
            </w:tcMar>
          </w:tcPr>
          <w:p>
            <w:pPr>
              <w:spacing w:after="0" w:line="276" w:lineRule="auto"/>
            </w:pPr>
            <w:r>
              <w:rPr>
                <w:rFonts w:ascii="Inter" w:hAnsi="Inter" w:cs="Inter" w:eastAsia="Inter"/>
                <w:b/>
                <w:i w:val="0"/>
                <w:color w:val="0A1A3A"/>
                <w:sz w:val="16"/>
              </w:rPr>
              <w:t>Ejes de inteligencia</w:t>
            </w:r>
          </w:p>
        </w:tc>
        <w:tc>
          <w:tcPr>
            <w:tcW w:type="dxa" w:w="7766"/>
            <w:tcMar>
              <w:top w:w="60" w:type="dxa"/>
              <w:start w:w="100" w:type="dxa"/>
              <w:bottom w:w="60" w:type="dxa"/>
              <w:end w:w="100" w:type="dxa"/>
            </w:tcMar>
          </w:tcPr>
          <w:p>
            <w:pPr>
              <w:spacing w:after="0" w:line="276" w:lineRule="auto"/>
            </w:pPr>
            <w:r>
              <w:rPr>
                <w:rFonts w:ascii="Inter" w:hAnsi="Inter" w:cs="Inter" w:eastAsia="Inter"/>
                <w:b w:val="0"/>
                <w:i w:val="0"/>
                <w:color w:val="43506B"/>
                <w:sz w:val="16"/>
              </w:rPr>
              <w:t>Financiero · Macroeconómico · Sectorial · Regulatorio y político · Social y desarrollo · Comercio exterior · ESG y clima · Pensiones · Seguros</w:t>
            </w:r>
          </w:p>
        </w:tc>
      </w:tr>
      <w:tr>
        <w:trPr>
          <w:cantSplit/>
        </w:trPr>
        <w:tc>
          <w:tcPr>
            <w:tcW w:type="dxa" w:w="2026"/>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Datos</w:t>
            </w:r>
          </w:p>
        </w:tc>
        <w:tc>
          <w:tcPr>
            <w:tcW w:type="dxa" w:w="7766"/>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Banca (SIB) · Operaciones · Macro (BCRD) · Social (ONE) · Comercio (DGA) · Gobernanza (WGI) · Pensiones (SIPEN)</w:t>
            </w:r>
          </w:p>
        </w:tc>
      </w:tr>
      <w:tr>
        <w:trPr>
          <w:cantSplit/>
        </w:trPr>
        <w:tc>
          <w:tcPr>
            <w:tcW w:type="dxa" w:w="2026"/>
            <w:tcMar>
              <w:top w:w="60" w:type="dxa"/>
              <w:start w:w="100" w:type="dxa"/>
              <w:bottom w:w="60" w:type="dxa"/>
              <w:end w:w="100" w:type="dxa"/>
            </w:tcMar>
          </w:tcPr>
          <w:p>
            <w:pPr>
              <w:spacing w:after="0" w:line="276" w:lineRule="auto"/>
            </w:pPr>
            <w:r>
              <w:rPr>
                <w:rFonts w:ascii="Inter" w:hAnsi="Inter" w:cs="Inter" w:eastAsia="Inter"/>
                <w:b/>
                <w:i w:val="0"/>
                <w:color w:val="0A1A3A"/>
                <w:sz w:val="16"/>
              </w:rPr>
              <w:t>Herramientas</w:t>
            </w:r>
          </w:p>
        </w:tc>
        <w:tc>
          <w:tcPr>
            <w:tcW w:type="dxa" w:w="7766"/>
            <w:tcMar>
              <w:top w:w="60" w:type="dxa"/>
              <w:start w:w="100" w:type="dxa"/>
              <w:bottom w:w="60" w:type="dxa"/>
              <w:end w:w="100" w:type="dxa"/>
            </w:tcMar>
          </w:tcPr>
          <w:p>
            <w:pPr>
              <w:spacing w:after="0" w:line="276" w:lineRule="auto"/>
            </w:pPr>
            <w:r>
              <w:rPr>
                <w:rFonts w:ascii="Inter" w:hAnsi="Inter" w:cs="Inter" w:eastAsia="Inter"/>
                <w:b w:val="0"/>
                <w:i w:val="0"/>
                <w:color w:val="43506B"/>
                <w:sz w:val="16"/>
              </w:rPr>
              <w:t>Research a Medida · Contexto de Marca · Deal Scoring · Market Brief</w:t>
            </w:r>
          </w:p>
        </w:tc>
      </w:tr>
      <w:tr>
        <w:trPr>
          <w:cantSplit/>
        </w:trPr>
        <w:tc>
          <w:tcPr>
            <w:tcW w:type="dxa" w:w="2026"/>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Plataforma</w:t>
            </w:r>
          </w:p>
        </w:tc>
        <w:tc>
          <w:tcPr>
            <w:tcW w:type="dxa" w:w="7766"/>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Resumen ejecutivo · Comparador · Metodología · Catálogo de productos · Mi plan · Mis vigilancias · Monitor de productos · Inteligencia de Fuentes · Configuración</w:t>
            </w:r>
          </w:p>
        </w:tc>
      </w:tr>
      <w:tr>
        <w:trPr>
          <w:cantSplit/>
        </w:trPr>
        <w:tc>
          <w:tcPr>
            <w:tcW w:type="dxa" w:w="2026"/>
            <w:tcMar>
              <w:top w:w="60" w:type="dxa"/>
              <w:start w:w="100" w:type="dxa"/>
              <w:bottom w:w="60" w:type="dxa"/>
              <w:end w:w="100" w:type="dxa"/>
            </w:tcMar>
          </w:tcPr>
          <w:p>
            <w:pPr>
              <w:spacing w:after="0" w:line="276" w:lineRule="auto"/>
            </w:pPr>
            <w:r>
              <w:rPr>
                <w:rFonts w:ascii="Inter" w:hAnsi="Inter" w:cs="Inter" w:eastAsia="Inter"/>
                <w:b/>
                <w:i w:val="0"/>
                <w:color w:val="0A1A3A"/>
                <w:sz w:val="16"/>
              </w:rPr>
              <w:t>Administración</w:t>
            </w:r>
          </w:p>
        </w:tc>
        <w:tc>
          <w:tcPr>
            <w:tcW w:type="dxa" w:w="7766"/>
            <w:tcMar>
              <w:top w:w="60" w:type="dxa"/>
              <w:start w:w="100" w:type="dxa"/>
              <w:bottom w:w="60" w:type="dxa"/>
              <w:end w:w="100" w:type="dxa"/>
            </w:tcMar>
          </w:tcPr>
          <w:p>
            <w:pPr>
              <w:spacing w:after="0" w:line="276" w:lineRule="auto"/>
            </w:pPr>
            <w:r>
              <w:rPr>
                <w:rFonts w:ascii="Inter" w:hAnsi="Inter" w:cs="Inter" w:eastAsia="Inter"/>
                <w:b w:val="0"/>
                <w:i w:val="0"/>
                <w:color w:val="43506B"/>
                <w:sz w:val="16"/>
              </w:rPr>
              <w:t>Usuarios · Tarifario · Pagos · Comprobantes fiscales</w:t>
            </w:r>
          </w:p>
        </w:tc>
      </w:tr>
    </w:tbl>
    <w:p>
      <w:pPr>
        <w:spacing w:after="120" w:before="0"/>
      </w:pPr>
    </w:p>
    <w:p>
      <w:pPr>
        <w:keepNext/>
        <w:spacing w:before="260" w:after="60"/>
      </w:pPr>
      <w:r>
        <w:rPr>
          <w:rFonts w:ascii="Plus Jakarta Sans" w:hAnsi="Plus Jakarta Sans" w:cs="Plus Jakarta Sans" w:eastAsia="Plus Jakarta Sans"/>
          <w:b/>
          <w:i w:val="0"/>
          <w:color w:val="0A1A3A"/>
          <w:spacing w:val="-8"/>
          <w:sz w:val="25"/>
        </w:rPr>
        <w:t>D · Glosario de siglas</w:t>
      </w:r>
    </w:p>
    <w:tbl>
      <w:tblPr>
        <w:tblW w:type="auto" w:w="0"/>
        <w:jc w:val="left"/>
        <w:tblBorders>
          <w:top w:val="single" w:sz="4" w:space="0" w:color="E7ECF3"/>
          <w:left w:val="single" w:sz="4" w:space="0" w:color="E7ECF3"/>
          <w:bottom w:val="single" w:sz="4" w:space="0" w:color="E7ECF3"/>
          <w:right w:val="single" w:sz="4" w:space="0" w:color="E7ECF3"/>
          <w:insideH w:val="single" w:sz="4" w:space="0" w:color="E7ECF3"/>
          <w:insideV w:val="single" w:sz="4" w:space="0" w:color="E7ECF3"/>
        </w:tblBorders>
        <w:tblLayout w:type="fixed"/>
        <w:tblLook w:firstColumn="1" w:firstRow="1" w:lastColumn="0" w:lastRow="0" w:noHBand="0" w:noVBand="1" w:val="04A0"/>
      </w:tblPr>
      <w:tblGrid>
        <w:gridCol w:w="1857"/>
        <w:gridCol w:w="7934"/>
      </w:tblGrid>
      <w:tr>
        <w:trPr>
          <w:tblHeader/>
        </w:trPr>
        <w:tc>
          <w:tcPr>
            <w:tcW w:type="dxa" w:w="1857"/>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SIGLA</w:t>
            </w:r>
          </w:p>
        </w:tc>
        <w:tc>
          <w:tcPr>
            <w:tcW w:type="dxa" w:w="7935"/>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QUÉ ES</w:t>
            </w:r>
          </w:p>
        </w:tc>
      </w:tr>
      <w:tr>
        <w:trPr>
          <w:cantSplit/>
        </w:trPr>
        <w:tc>
          <w:tcPr>
            <w:tcW w:type="dxa" w:w="1857"/>
            <w:tcMar>
              <w:top w:w="60" w:type="dxa"/>
              <w:start w:w="100" w:type="dxa"/>
              <w:bottom w:w="60" w:type="dxa"/>
              <w:end w:w="100" w:type="dxa"/>
            </w:tcMar>
          </w:tcPr>
          <w:p>
            <w:pPr>
              <w:spacing w:after="0" w:line="276" w:lineRule="auto"/>
            </w:pPr>
            <w:r>
              <w:rPr>
                <w:rFonts w:ascii="Inter" w:hAnsi="Inter" w:cs="Inter" w:eastAsia="Inter"/>
                <w:b/>
                <w:i w:val="0"/>
                <w:color w:val="0A1A3A"/>
                <w:sz w:val="16"/>
              </w:rPr>
              <w:t>Perfil SDQ</w:t>
            </w:r>
          </w:p>
        </w:tc>
        <w:tc>
          <w:tcPr>
            <w:tcW w:type="dxa" w:w="7935"/>
            <w:tcMar>
              <w:top w:w="60" w:type="dxa"/>
              <w:start w:w="100" w:type="dxa"/>
              <w:bottom w:w="60" w:type="dxa"/>
              <w:end w:w="100" w:type="dxa"/>
            </w:tcMar>
          </w:tcPr>
          <w:p>
            <w:pPr>
              <w:spacing w:after="0" w:line="276" w:lineRule="auto"/>
            </w:pPr>
            <w:r>
              <w:rPr>
                <w:rFonts w:ascii="Inter" w:hAnsi="Inter" w:cs="Inter" w:eastAsia="Inter"/>
                <w:b w:val="0"/>
                <w:i w:val="0"/>
                <w:color w:val="43506B"/>
                <w:sz w:val="16"/>
              </w:rPr>
              <w:t>Lectura financiera de dos ejes: Ejecución y Resiliencia.</w:t>
            </w:r>
          </w:p>
        </w:tc>
      </w:tr>
      <w:tr>
        <w:trPr>
          <w:cantSplit/>
        </w:trPr>
        <w:tc>
          <w:tcPr>
            <w:tcW w:type="dxa" w:w="1857"/>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ISF</w:t>
            </w:r>
          </w:p>
        </w:tc>
        <w:tc>
          <w:tcPr>
            <w:tcW w:type="dxa" w:w="793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Índice de Solidez Financiera (seguros).</w:t>
            </w:r>
          </w:p>
        </w:tc>
      </w:tr>
      <w:tr>
        <w:trPr>
          <w:cantSplit/>
        </w:trPr>
        <w:tc>
          <w:tcPr>
            <w:tcW w:type="dxa" w:w="1857"/>
            <w:tcMar>
              <w:top w:w="60" w:type="dxa"/>
              <w:start w:w="100" w:type="dxa"/>
              <w:bottom w:w="60" w:type="dxa"/>
              <w:end w:w="100" w:type="dxa"/>
            </w:tcMar>
          </w:tcPr>
          <w:p>
            <w:pPr>
              <w:spacing w:after="0" w:line="276" w:lineRule="auto"/>
            </w:pPr>
            <w:r>
              <w:rPr>
                <w:rFonts w:ascii="Inter" w:hAnsi="Inter" w:cs="Inter" w:eastAsia="Inter"/>
                <w:b/>
                <w:i w:val="0"/>
                <w:color w:val="0A1A3A"/>
                <w:sz w:val="16"/>
              </w:rPr>
              <w:t>ISA</w:t>
            </w:r>
          </w:p>
        </w:tc>
        <w:tc>
          <w:tcPr>
            <w:tcW w:type="dxa" w:w="7935"/>
            <w:tcMar>
              <w:top w:w="60" w:type="dxa"/>
              <w:start w:w="100" w:type="dxa"/>
              <w:bottom w:w="60" w:type="dxa"/>
              <w:end w:w="100" w:type="dxa"/>
            </w:tcMar>
          </w:tcPr>
          <w:p>
            <w:pPr>
              <w:spacing w:after="0" w:line="276" w:lineRule="auto"/>
            </w:pPr>
            <w:r>
              <w:rPr>
                <w:rFonts w:ascii="Inter" w:hAnsi="Inter" w:cs="Inter" w:eastAsia="Inter"/>
                <w:b w:val="0"/>
                <w:i w:val="0"/>
                <w:color w:val="43506B"/>
                <w:sz w:val="16"/>
              </w:rPr>
              <w:t>Índice de Solidez de la AFP (pensiones).</w:t>
            </w:r>
          </w:p>
        </w:tc>
      </w:tr>
      <w:tr>
        <w:trPr>
          <w:cantSplit/>
        </w:trPr>
        <w:tc>
          <w:tcPr>
            <w:tcW w:type="dxa" w:w="1857"/>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IRMP</w:t>
            </w:r>
          </w:p>
        </w:tc>
        <w:tc>
          <w:tcPr>
            <w:tcW w:type="dxa" w:w="793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Índice de Riesgo Macro-Político (país).</w:t>
            </w:r>
          </w:p>
        </w:tc>
      </w:tr>
      <w:tr>
        <w:trPr>
          <w:cantSplit/>
        </w:trPr>
        <w:tc>
          <w:tcPr>
            <w:tcW w:type="dxa" w:w="1857"/>
            <w:tcMar>
              <w:top w:w="60" w:type="dxa"/>
              <w:start w:w="100" w:type="dxa"/>
              <w:bottom w:w="60" w:type="dxa"/>
              <w:end w:w="100" w:type="dxa"/>
            </w:tcMar>
          </w:tcPr>
          <w:p>
            <w:pPr>
              <w:spacing w:after="0" w:line="276" w:lineRule="auto"/>
            </w:pPr>
            <w:r>
              <w:rPr>
                <w:rFonts w:ascii="Inter" w:hAnsi="Inter" w:cs="Inter" w:eastAsia="Inter"/>
                <w:b/>
                <w:i w:val="0"/>
                <w:color w:val="0A1A3A"/>
                <w:sz w:val="16"/>
              </w:rPr>
              <w:t>IAI</w:t>
            </w:r>
          </w:p>
        </w:tc>
        <w:tc>
          <w:tcPr>
            <w:tcW w:type="dxa" w:w="7935"/>
            <w:tcMar>
              <w:top w:w="60" w:type="dxa"/>
              <w:start w:w="100" w:type="dxa"/>
              <w:bottom w:w="60" w:type="dxa"/>
              <w:end w:w="100" w:type="dxa"/>
            </w:tcMar>
          </w:tcPr>
          <w:p>
            <w:pPr>
              <w:spacing w:after="0" w:line="276" w:lineRule="auto"/>
            </w:pPr>
            <w:r>
              <w:rPr>
                <w:rFonts w:ascii="Inter" w:hAnsi="Inter" w:cs="Inter" w:eastAsia="Inter"/>
                <w:b w:val="0"/>
                <w:i w:val="0"/>
                <w:color w:val="43506B"/>
                <w:sz w:val="16"/>
              </w:rPr>
              <w:t>Índice de Atractivo de Inversión (sector).</w:t>
            </w:r>
          </w:p>
        </w:tc>
      </w:tr>
      <w:tr>
        <w:trPr>
          <w:cantSplit/>
        </w:trPr>
        <w:tc>
          <w:tcPr>
            <w:tcW w:type="dxa" w:w="1857"/>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SGPS</w:t>
            </w:r>
          </w:p>
        </w:tc>
        <w:tc>
          <w:tcPr>
            <w:tcW w:type="dxa" w:w="793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Grado-potencial sectorial, por letra A–D.</w:t>
            </w:r>
          </w:p>
        </w:tc>
      </w:tr>
      <w:tr>
        <w:trPr>
          <w:cantSplit/>
        </w:trPr>
        <w:tc>
          <w:tcPr>
            <w:tcW w:type="dxa" w:w="1857"/>
            <w:tcMar>
              <w:top w:w="60" w:type="dxa"/>
              <w:start w:w="100" w:type="dxa"/>
              <w:bottom w:w="60" w:type="dxa"/>
              <w:end w:w="100" w:type="dxa"/>
            </w:tcMar>
          </w:tcPr>
          <w:p>
            <w:pPr>
              <w:spacing w:after="0" w:line="276" w:lineRule="auto"/>
            </w:pPr>
            <w:r>
              <w:rPr>
                <w:rFonts w:ascii="Inter" w:hAnsi="Inter" w:cs="Inter" w:eastAsia="Inter"/>
                <w:b/>
                <w:i w:val="0"/>
                <w:color w:val="0A1A3A"/>
                <w:sz w:val="16"/>
              </w:rPr>
              <w:t>IRC</w:t>
            </w:r>
          </w:p>
        </w:tc>
        <w:tc>
          <w:tcPr>
            <w:tcW w:type="dxa" w:w="7935"/>
            <w:tcMar>
              <w:top w:w="60" w:type="dxa"/>
              <w:start w:w="100" w:type="dxa"/>
              <w:bottom w:w="60" w:type="dxa"/>
              <w:end w:w="100" w:type="dxa"/>
            </w:tcMar>
          </w:tcPr>
          <w:p>
            <w:pPr>
              <w:spacing w:after="0" w:line="276" w:lineRule="auto"/>
            </w:pPr>
            <w:r>
              <w:rPr>
                <w:rFonts w:ascii="Inter" w:hAnsi="Inter" w:cs="Inter" w:eastAsia="Inter"/>
                <w:b w:val="0"/>
                <w:i w:val="0"/>
                <w:color w:val="43506B"/>
                <w:sz w:val="16"/>
              </w:rPr>
              <w:t>Índice de Resiliencia Climática (país).</w:t>
            </w:r>
          </w:p>
        </w:tc>
      </w:tr>
      <w:tr>
        <w:trPr>
          <w:cantSplit/>
        </w:trPr>
        <w:tc>
          <w:tcPr>
            <w:tcW w:type="dxa" w:w="1857"/>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IDM</w:t>
            </w:r>
          </w:p>
        </w:tc>
        <w:tc>
          <w:tcPr>
            <w:tcW w:type="dxa" w:w="793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Índice de Desarrollo Multidimensional (región / provincia).</w:t>
            </w:r>
          </w:p>
        </w:tc>
      </w:tr>
      <w:tr>
        <w:trPr>
          <w:cantSplit/>
        </w:trPr>
        <w:tc>
          <w:tcPr>
            <w:tcW w:type="dxa" w:w="1857"/>
            <w:tcMar>
              <w:top w:w="60" w:type="dxa"/>
              <w:start w:w="100" w:type="dxa"/>
              <w:bottom w:w="60" w:type="dxa"/>
              <w:end w:w="100" w:type="dxa"/>
            </w:tcMar>
          </w:tcPr>
          <w:p>
            <w:pPr>
              <w:spacing w:after="0" w:line="276" w:lineRule="auto"/>
            </w:pPr>
            <w:r>
              <w:rPr>
                <w:rFonts w:ascii="Inter" w:hAnsi="Inter" w:cs="Inter" w:eastAsia="Inter"/>
                <w:b/>
                <w:i w:val="0"/>
                <w:color w:val="0A1A3A"/>
                <w:sz w:val="16"/>
              </w:rPr>
              <w:t>ITT</w:t>
            </w:r>
          </w:p>
        </w:tc>
        <w:tc>
          <w:tcPr>
            <w:tcW w:type="dxa" w:w="7935"/>
            <w:tcMar>
              <w:top w:w="60" w:type="dxa"/>
              <w:start w:w="100" w:type="dxa"/>
              <w:bottom w:w="60" w:type="dxa"/>
              <w:end w:w="100" w:type="dxa"/>
            </w:tcMar>
          </w:tcPr>
          <w:p>
            <w:pPr>
              <w:spacing w:after="0" w:line="276" w:lineRule="auto"/>
            </w:pPr>
            <w:r>
              <w:rPr>
                <w:rFonts w:ascii="Inter" w:hAnsi="Inter" w:cs="Inter" w:eastAsia="Inter"/>
                <w:b w:val="0"/>
                <w:i w:val="0"/>
                <w:color w:val="43506B"/>
                <w:sz w:val="16"/>
              </w:rPr>
              <w:t>Índice de Tracción Turística.</w:t>
            </w:r>
          </w:p>
        </w:tc>
      </w:tr>
      <w:tr>
        <w:trPr>
          <w:cantSplit/>
        </w:trPr>
        <w:tc>
          <w:tcPr>
            <w:tcW w:type="dxa" w:w="1857"/>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IZF</w:t>
            </w:r>
          </w:p>
        </w:tc>
        <w:tc>
          <w:tcPr>
            <w:tcW w:type="dxa" w:w="793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Índice de Zonas Francas.</w:t>
            </w:r>
          </w:p>
        </w:tc>
      </w:tr>
      <w:tr>
        <w:trPr>
          <w:cantSplit/>
        </w:trPr>
        <w:tc>
          <w:tcPr>
            <w:tcW w:type="dxa" w:w="1857"/>
            <w:tcMar>
              <w:top w:w="60" w:type="dxa"/>
              <w:start w:w="100" w:type="dxa"/>
              <w:bottom w:w="60" w:type="dxa"/>
              <w:end w:w="100" w:type="dxa"/>
            </w:tcMar>
          </w:tcPr>
          <w:p>
            <w:pPr>
              <w:spacing w:after="0" w:line="276" w:lineRule="auto"/>
            </w:pPr>
            <w:r>
              <w:rPr>
                <w:rFonts w:ascii="Inter" w:hAnsi="Inter" w:cs="Inter" w:eastAsia="Inter"/>
                <w:b/>
                <w:i w:val="0"/>
                <w:color w:val="0A1A3A"/>
                <w:sz w:val="16"/>
              </w:rPr>
              <w:t>IRSE</w:t>
            </w:r>
          </w:p>
        </w:tc>
        <w:tc>
          <w:tcPr>
            <w:tcW w:type="dxa" w:w="7935"/>
            <w:tcMar>
              <w:top w:w="60" w:type="dxa"/>
              <w:start w:w="100" w:type="dxa"/>
              <w:bottom w:w="60" w:type="dxa"/>
              <w:end w:w="100" w:type="dxa"/>
            </w:tcMar>
          </w:tcPr>
          <w:p>
            <w:pPr>
              <w:spacing w:after="0" w:line="276" w:lineRule="auto"/>
            </w:pPr>
            <w:r>
              <w:rPr>
                <w:rFonts w:ascii="Inter" w:hAnsi="Inter" w:cs="Inter" w:eastAsia="Inter"/>
                <w:b w:val="0"/>
                <w:i w:val="0"/>
                <w:color w:val="43506B"/>
                <w:sz w:val="16"/>
              </w:rPr>
              <w:t>Índice de Resiliencia del Sistema Eléctrico.</w:t>
            </w:r>
          </w:p>
        </w:tc>
      </w:tr>
      <w:tr>
        <w:trPr>
          <w:cantSplit/>
        </w:trPr>
        <w:tc>
          <w:tcPr>
            <w:tcW w:type="dxa" w:w="1857"/>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IDT</w:t>
            </w:r>
          </w:p>
        </w:tc>
        <w:tc>
          <w:tcPr>
            <w:tcW w:type="dxa" w:w="793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Índice de Desarrollo de Telecomunicaciones.</w:t>
            </w:r>
          </w:p>
        </w:tc>
      </w:tr>
      <w:tr>
        <w:trPr>
          <w:cantSplit/>
        </w:trPr>
        <w:tc>
          <w:tcPr>
            <w:tcW w:type="dxa" w:w="1857"/>
            <w:tcMar>
              <w:top w:w="60" w:type="dxa"/>
              <w:start w:w="100" w:type="dxa"/>
              <w:bottom w:w="60" w:type="dxa"/>
              <w:end w:w="100" w:type="dxa"/>
            </w:tcMar>
          </w:tcPr>
          <w:p>
            <w:pPr>
              <w:spacing w:after="0" w:line="276" w:lineRule="auto"/>
            </w:pPr>
            <w:r>
              <w:rPr>
                <w:rFonts w:ascii="Inter" w:hAnsi="Inter" w:cs="Inter" w:eastAsia="Inter"/>
                <w:b/>
                <w:i w:val="0"/>
                <w:color w:val="0A1A3A"/>
                <w:sz w:val="16"/>
              </w:rPr>
              <w:t>ICC</w:t>
            </w:r>
          </w:p>
        </w:tc>
        <w:tc>
          <w:tcPr>
            <w:tcW w:type="dxa" w:w="7935"/>
            <w:tcMar>
              <w:top w:w="60" w:type="dxa"/>
              <w:start w:w="100" w:type="dxa"/>
              <w:bottom w:w="60" w:type="dxa"/>
              <w:end w:w="100" w:type="dxa"/>
            </w:tcMar>
          </w:tcPr>
          <w:p>
            <w:pPr>
              <w:spacing w:after="0" w:line="276" w:lineRule="auto"/>
            </w:pPr>
            <w:r>
              <w:rPr>
                <w:rFonts w:ascii="Inter" w:hAnsi="Inter" w:cs="Inter" w:eastAsia="Inter"/>
                <w:b w:val="0"/>
                <w:i w:val="0"/>
                <w:color w:val="43506B"/>
                <w:sz w:val="16"/>
              </w:rPr>
              <w:t>Índice de Coyuntura de la Construcción.</w:t>
            </w:r>
          </w:p>
        </w:tc>
      </w:tr>
      <w:tr>
        <w:trPr>
          <w:cantSplit/>
        </w:trPr>
        <w:tc>
          <w:tcPr>
            <w:tcW w:type="dxa" w:w="1857"/>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TPM</w:t>
            </w:r>
          </w:p>
        </w:tc>
        <w:tc>
          <w:tcPr>
            <w:tcW w:type="dxa" w:w="793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Tasa de Política Monetaria del BCRD.</w:t>
            </w:r>
          </w:p>
        </w:tc>
      </w:tr>
      <w:tr>
        <w:trPr>
          <w:cantSplit/>
        </w:trPr>
        <w:tc>
          <w:tcPr>
            <w:tcW w:type="dxa" w:w="1857"/>
            <w:tcMar>
              <w:top w:w="60" w:type="dxa"/>
              <w:start w:w="100" w:type="dxa"/>
              <w:bottom w:w="60" w:type="dxa"/>
              <w:end w:w="100" w:type="dxa"/>
            </w:tcMar>
          </w:tcPr>
          <w:p>
            <w:pPr>
              <w:spacing w:after="0" w:line="276" w:lineRule="auto"/>
            </w:pPr>
            <w:r>
              <w:rPr>
                <w:rFonts w:ascii="Inter" w:hAnsi="Inter" w:cs="Inter" w:eastAsia="Inter"/>
                <w:b/>
                <w:i w:val="0"/>
                <w:color w:val="0A1A3A"/>
                <w:sz w:val="16"/>
              </w:rPr>
              <w:t>SCQA</w:t>
            </w:r>
          </w:p>
        </w:tc>
        <w:tc>
          <w:tcPr>
            <w:tcW w:type="dxa" w:w="7935"/>
            <w:tcMar>
              <w:top w:w="60" w:type="dxa"/>
              <w:start w:w="100" w:type="dxa"/>
              <w:bottom w:w="60" w:type="dxa"/>
              <w:end w:w="100" w:type="dxa"/>
            </w:tcMar>
          </w:tcPr>
          <w:p>
            <w:pPr>
              <w:spacing w:after="0" w:line="276" w:lineRule="auto"/>
            </w:pPr>
            <w:r>
              <w:rPr>
                <w:rFonts w:ascii="Inter" w:hAnsi="Inter" w:cs="Inter" w:eastAsia="Inter"/>
                <w:b w:val="0"/>
                <w:i w:val="0"/>
                <w:color w:val="43506B"/>
                <w:sz w:val="16"/>
              </w:rPr>
              <w:t>Situación · Complicación · Pregunta · Respuesta (marco narrativo).</w:t>
            </w:r>
          </w:p>
        </w:tc>
      </w:tr>
      <w:tr>
        <w:trPr>
          <w:cantSplit/>
        </w:trPr>
        <w:tc>
          <w:tcPr>
            <w:tcW w:type="dxa" w:w="1857"/>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e-CF</w:t>
            </w:r>
          </w:p>
        </w:tc>
        <w:tc>
          <w:tcPr>
            <w:tcW w:type="dxa" w:w="7935"/>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Comprobante Fiscal Electrónico de la DGII.</w:t>
            </w:r>
          </w:p>
        </w:tc>
      </w:tr>
      <w:tr>
        <w:trPr>
          <w:cantSplit/>
        </w:trPr>
        <w:tc>
          <w:tcPr>
            <w:tcW w:type="dxa" w:w="1857"/>
            <w:tcMar>
              <w:top w:w="60" w:type="dxa"/>
              <w:start w:w="100" w:type="dxa"/>
              <w:bottom w:w="60" w:type="dxa"/>
              <w:end w:w="100" w:type="dxa"/>
            </w:tcMar>
          </w:tcPr>
          <w:p>
            <w:pPr>
              <w:spacing w:after="0" w:line="276" w:lineRule="auto"/>
            </w:pPr>
            <w:r>
              <w:rPr>
                <w:rFonts w:ascii="Inter" w:hAnsi="Inter" w:cs="Inter" w:eastAsia="Inter"/>
                <w:b/>
                <w:i w:val="0"/>
                <w:color w:val="0A1A3A"/>
                <w:sz w:val="16"/>
              </w:rPr>
              <w:t>Pulse / Insight / Deep Dive</w:t>
            </w:r>
          </w:p>
        </w:tc>
        <w:tc>
          <w:tcPr>
            <w:tcW w:type="dxa" w:w="7935"/>
            <w:tcMar>
              <w:top w:w="60" w:type="dxa"/>
              <w:start w:w="100" w:type="dxa"/>
              <w:bottom w:w="60" w:type="dxa"/>
              <w:end w:w="100" w:type="dxa"/>
            </w:tcMar>
          </w:tcPr>
          <w:p>
            <w:pPr>
              <w:spacing w:after="0" w:line="276" w:lineRule="auto"/>
            </w:pPr>
            <w:r>
              <w:rPr>
                <w:rFonts w:ascii="Inter" w:hAnsi="Inter" w:cs="Inter" w:eastAsia="Inter"/>
                <w:b w:val="0"/>
                <w:i w:val="0"/>
                <w:color w:val="43506B"/>
                <w:sz w:val="16"/>
              </w:rPr>
              <w:t>Los tres niveles comerciales.</w:t>
            </w:r>
          </w:p>
        </w:tc>
      </w:tr>
    </w:tbl>
    <w:p>
      <w:pPr>
        <w:spacing w:after="120" w:before="0"/>
      </w:pPr>
    </w:p>
    <w:p>
      <w:pPr>
        <w:keepNext/>
        <w:spacing w:before="260" w:after="60"/>
      </w:pPr>
      <w:r>
        <w:rPr>
          <w:rFonts w:ascii="Plus Jakarta Sans" w:hAnsi="Plus Jakarta Sans" w:cs="Plus Jakarta Sans" w:eastAsia="Plus Jakarta Sans"/>
          <w:b/>
          <w:i w:val="0"/>
          <w:color w:val="0A1A3A"/>
          <w:spacing w:val="-8"/>
          <w:sz w:val="25"/>
        </w:rPr>
        <w:t>E · Fuentes autoritativas por institución</w:t>
      </w:r>
    </w:p>
    <w:tbl>
      <w:tblPr>
        <w:tblW w:type="auto" w:w="0"/>
        <w:jc w:val="left"/>
        <w:tblBorders>
          <w:top w:val="single" w:sz="4" w:space="0" w:color="E7ECF3"/>
          <w:left w:val="single" w:sz="4" w:space="0" w:color="E7ECF3"/>
          <w:bottom w:val="single" w:sz="4" w:space="0" w:color="E7ECF3"/>
          <w:right w:val="single" w:sz="4" w:space="0" w:color="E7ECF3"/>
          <w:insideH w:val="single" w:sz="4" w:space="0" w:color="E7ECF3"/>
          <w:insideV w:val="single" w:sz="4" w:space="0" w:color="E7ECF3"/>
        </w:tblBorders>
        <w:tblLayout w:type="fixed"/>
        <w:tblLook w:firstColumn="1" w:firstRow="1" w:lastColumn="0" w:lastRow="0" w:noHBand="0" w:noVBand="1" w:val="04A0"/>
      </w:tblPr>
      <w:tblGrid>
        <w:gridCol w:w="2870"/>
        <w:gridCol w:w="6921"/>
      </w:tblGrid>
      <w:tr>
        <w:trPr>
          <w:tblHeader/>
        </w:trPr>
        <w:tc>
          <w:tcPr>
            <w:tcW w:type="dxa" w:w="2870"/>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INSTITUCIÓN</w:t>
            </w:r>
          </w:p>
        </w:tc>
        <w:tc>
          <w:tcPr>
            <w:tcW w:type="dxa" w:w="6922"/>
            <w:shd w:val="clear" w:color="auto" w:fill="0A1A3A"/>
            <w:tcMar>
              <w:top w:w="70" w:type="dxa"/>
              <w:start w:w="100" w:type="dxa"/>
              <w:bottom w:w="70" w:type="dxa"/>
              <w:end w:w="100" w:type="dxa"/>
            </w:tcMar>
          </w:tcPr>
          <w:p>
            <w:pPr>
              <w:spacing w:after="0"/>
            </w:pPr>
            <w:r>
              <w:rPr>
                <w:rFonts w:ascii="JetBrains Mono" w:hAnsi="JetBrains Mono" w:cs="JetBrains Mono" w:eastAsia="JetBrains Mono"/>
                <w:b/>
                <w:i w:val="0"/>
                <w:color w:val="FFFFFF"/>
                <w:spacing w:val="18"/>
                <w:sz w:val="14"/>
              </w:rPr>
              <w:t>QUÉ APORTA</w:t>
            </w:r>
          </w:p>
        </w:tc>
      </w:tr>
      <w:tr>
        <w:trPr>
          <w:cantSplit/>
        </w:trPr>
        <w:tc>
          <w:tcPr>
            <w:tcW w:type="dxa" w:w="2870"/>
            <w:tcMar>
              <w:top w:w="60" w:type="dxa"/>
              <w:start w:w="100" w:type="dxa"/>
              <w:bottom w:w="60" w:type="dxa"/>
              <w:end w:w="100" w:type="dxa"/>
            </w:tcMar>
          </w:tcPr>
          <w:p>
            <w:pPr>
              <w:spacing w:after="0" w:line="276" w:lineRule="auto"/>
            </w:pPr>
            <w:r>
              <w:rPr>
                <w:rFonts w:ascii="Inter" w:hAnsi="Inter" w:cs="Inter" w:eastAsia="Inter"/>
                <w:b/>
                <w:i w:val="0"/>
                <w:color w:val="0A1A3A"/>
                <w:sz w:val="16"/>
              </w:rPr>
              <w:t>SIB · SIMBAD</w:t>
            </w:r>
          </w:p>
        </w:tc>
        <w:tc>
          <w:tcPr>
            <w:tcW w:type="dxa" w:w="6922"/>
            <w:tcMar>
              <w:top w:w="60" w:type="dxa"/>
              <w:start w:w="100" w:type="dxa"/>
              <w:bottom w:w="60" w:type="dxa"/>
              <w:end w:w="100" w:type="dxa"/>
            </w:tcMar>
          </w:tcPr>
          <w:p>
            <w:pPr>
              <w:spacing w:after="0" w:line="276" w:lineRule="auto"/>
            </w:pPr>
            <w:r>
              <w:rPr>
                <w:rFonts w:ascii="Inter" w:hAnsi="Inter" w:cs="Inter" w:eastAsia="Inter"/>
                <w:b w:val="0"/>
                <w:i w:val="0"/>
                <w:color w:val="43506B"/>
                <w:sz w:val="16"/>
              </w:rPr>
              <w:t>Estados financieros de todo el universo supervisado.</w:t>
            </w:r>
          </w:p>
        </w:tc>
      </w:tr>
      <w:tr>
        <w:trPr>
          <w:cantSplit/>
        </w:trPr>
        <w:tc>
          <w:tcPr>
            <w:tcW w:type="dxa" w:w="2870"/>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BCRD</w:t>
            </w:r>
          </w:p>
        </w:tc>
        <w:tc>
          <w:tcPr>
            <w:tcW w:type="dxa" w:w="692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Macro, cuentas nacionales, sectores de origen, turismo, inversión extranjera, comunicados de política monetaria.</w:t>
            </w:r>
          </w:p>
        </w:tc>
      </w:tr>
      <w:tr>
        <w:trPr>
          <w:cantSplit/>
        </w:trPr>
        <w:tc>
          <w:tcPr>
            <w:tcW w:type="dxa" w:w="2870"/>
            <w:tcMar>
              <w:top w:w="60" w:type="dxa"/>
              <w:start w:w="100" w:type="dxa"/>
              <w:bottom w:w="60" w:type="dxa"/>
              <w:end w:w="100" w:type="dxa"/>
            </w:tcMar>
          </w:tcPr>
          <w:p>
            <w:pPr>
              <w:spacing w:after="0" w:line="276" w:lineRule="auto"/>
            </w:pPr>
            <w:r>
              <w:rPr>
                <w:rFonts w:ascii="Inter" w:hAnsi="Inter" w:cs="Inter" w:eastAsia="Inter"/>
                <w:b/>
                <w:i w:val="0"/>
                <w:color w:val="0A1A3A"/>
                <w:sz w:val="16"/>
              </w:rPr>
              <w:t>SIPEN</w:t>
            </w:r>
          </w:p>
        </w:tc>
        <w:tc>
          <w:tcPr>
            <w:tcW w:type="dxa" w:w="6922"/>
            <w:tcMar>
              <w:top w:w="60" w:type="dxa"/>
              <w:start w:w="100" w:type="dxa"/>
              <w:bottom w:w="60" w:type="dxa"/>
              <w:end w:w="100" w:type="dxa"/>
            </w:tcMar>
          </w:tcPr>
          <w:p>
            <w:pPr>
              <w:spacing w:after="0" w:line="276" w:lineRule="auto"/>
            </w:pPr>
            <w:r>
              <w:rPr>
                <w:rFonts w:ascii="Inter" w:hAnsi="Inter" w:cs="Inter" w:eastAsia="Inter"/>
                <w:b w:val="0"/>
                <w:i w:val="0"/>
                <w:color w:val="43506B"/>
                <w:sz w:val="16"/>
              </w:rPr>
              <w:t>Sistema de pensiones y AFP.</w:t>
            </w:r>
          </w:p>
        </w:tc>
      </w:tr>
      <w:tr>
        <w:trPr>
          <w:cantSplit/>
        </w:trPr>
        <w:tc>
          <w:tcPr>
            <w:tcW w:type="dxa" w:w="2870"/>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SIS · SISALRIL</w:t>
            </w:r>
          </w:p>
        </w:tc>
        <w:tc>
          <w:tcPr>
            <w:tcW w:type="dxa" w:w="692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Seguros comerciales y ARS de salud.</w:t>
            </w:r>
          </w:p>
        </w:tc>
      </w:tr>
      <w:tr>
        <w:trPr>
          <w:cantSplit/>
        </w:trPr>
        <w:tc>
          <w:tcPr>
            <w:tcW w:type="dxa" w:w="2870"/>
            <w:tcMar>
              <w:top w:w="60" w:type="dxa"/>
              <w:start w:w="100" w:type="dxa"/>
              <w:bottom w:w="60" w:type="dxa"/>
              <w:end w:w="100" w:type="dxa"/>
            </w:tcMar>
          </w:tcPr>
          <w:p>
            <w:pPr>
              <w:spacing w:after="0" w:line="276" w:lineRule="auto"/>
            </w:pPr>
            <w:r>
              <w:rPr>
                <w:rFonts w:ascii="Inter" w:hAnsi="Inter" w:cs="Inter" w:eastAsia="Inter"/>
                <w:b/>
                <w:i w:val="0"/>
                <w:color w:val="0A1A3A"/>
                <w:sz w:val="16"/>
              </w:rPr>
              <w:t>DGA</w:t>
            </w:r>
          </w:p>
        </w:tc>
        <w:tc>
          <w:tcPr>
            <w:tcW w:type="dxa" w:w="6922"/>
            <w:tcMar>
              <w:top w:w="60" w:type="dxa"/>
              <w:start w:w="100" w:type="dxa"/>
              <w:bottom w:w="60" w:type="dxa"/>
              <w:end w:w="100" w:type="dxa"/>
            </w:tcMar>
          </w:tcPr>
          <w:p>
            <w:pPr>
              <w:spacing w:after="0" w:line="276" w:lineRule="auto"/>
            </w:pPr>
            <w:r>
              <w:rPr>
                <w:rFonts w:ascii="Inter" w:hAnsi="Inter" w:cs="Inter" w:eastAsia="Inter"/>
                <w:b w:val="0"/>
                <w:i w:val="0"/>
                <w:color w:val="43506B"/>
                <w:sz w:val="16"/>
              </w:rPr>
              <w:t>Comercio exterior y socios comerciales.</w:t>
            </w:r>
          </w:p>
        </w:tc>
      </w:tr>
      <w:tr>
        <w:trPr>
          <w:cantSplit/>
        </w:trPr>
        <w:tc>
          <w:tcPr>
            <w:tcW w:type="dxa" w:w="2870"/>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ONE · MEPyD (SISDOM) · SIUBEN · MINERD</w:t>
            </w:r>
          </w:p>
        </w:tc>
        <w:tc>
          <w:tcPr>
            <w:tcW w:type="dxa" w:w="692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Estadística social y educativa.</w:t>
            </w:r>
          </w:p>
        </w:tc>
      </w:tr>
      <w:tr>
        <w:trPr>
          <w:cantSplit/>
        </w:trPr>
        <w:tc>
          <w:tcPr>
            <w:tcW w:type="dxa" w:w="2870"/>
            <w:tcMar>
              <w:top w:w="60" w:type="dxa"/>
              <w:start w:w="100" w:type="dxa"/>
              <w:bottom w:w="60" w:type="dxa"/>
              <w:end w:w="100" w:type="dxa"/>
            </w:tcMar>
          </w:tcPr>
          <w:p>
            <w:pPr>
              <w:spacing w:after="0" w:line="276" w:lineRule="auto"/>
            </w:pPr>
            <w:r>
              <w:rPr>
                <w:rFonts w:ascii="Inter" w:hAnsi="Inter" w:cs="Inter" w:eastAsia="Inter"/>
                <w:b/>
                <w:i w:val="0"/>
                <w:color w:val="0A1A3A"/>
                <w:sz w:val="16"/>
              </w:rPr>
              <w:t>SIE · CNE · Organismo Coordinador</w:t>
            </w:r>
          </w:p>
        </w:tc>
        <w:tc>
          <w:tcPr>
            <w:tcW w:type="dxa" w:w="6922"/>
            <w:tcMar>
              <w:top w:w="60" w:type="dxa"/>
              <w:start w:w="100" w:type="dxa"/>
              <w:bottom w:w="60" w:type="dxa"/>
              <w:end w:w="100" w:type="dxa"/>
            </w:tcMar>
          </w:tcPr>
          <w:p>
            <w:pPr>
              <w:spacing w:after="0" w:line="276" w:lineRule="auto"/>
            </w:pPr>
            <w:r>
              <w:rPr>
                <w:rFonts w:ascii="Inter" w:hAnsi="Inter" w:cs="Inter" w:eastAsia="Inter"/>
                <w:b w:val="0"/>
                <w:i w:val="0"/>
                <w:color w:val="43506B"/>
                <w:sz w:val="16"/>
              </w:rPr>
              <w:t>Sector eléctrico.</w:t>
            </w:r>
          </w:p>
        </w:tc>
      </w:tr>
      <w:tr>
        <w:trPr>
          <w:cantSplit/>
        </w:trPr>
        <w:tc>
          <w:tcPr>
            <w:tcW w:type="dxa" w:w="2870"/>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CNZFE</w:t>
            </w:r>
          </w:p>
        </w:tc>
        <w:tc>
          <w:tcPr>
            <w:tcW w:type="dxa" w:w="692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Zonas francas.</w:t>
            </w:r>
          </w:p>
        </w:tc>
      </w:tr>
      <w:tr>
        <w:trPr>
          <w:cantSplit/>
        </w:trPr>
        <w:tc>
          <w:tcPr>
            <w:tcW w:type="dxa" w:w="2870"/>
            <w:tcMar>
              <w:top w:w="60" w:type="dxa"/>
              <w:start w:w="100" w:type="dxa"/>
              <w:bottom w:w="60" w:type="dxa"/>
              <w:end w:w="100" w:type="dxa"/>
            </w:tcMar>
          </w:tcPr>
          <w:p>
            <w:pPr>
              <w:spacing w:after="0" w:line="276" w:lineRule="auto"/>
            </w:pPr>
            <w:r>
              <w:rPr>
                <w:rFonts w:ascii="Inter" w:hAnsi="Inter" w:cs="Inter" w:eastAsia="Inter"/>
                <w:b/>
                <w:i w:val="0"/>
                <w:color w:val="0A1A3A"/>
                <w:sz w:val="16"/>
              </w:rPr>
              <w:t>INDOTEL · ITU</w:t>
            </w:r>
          </w:p>
        </w:tc>
        <w:tc>
          <w:tcPr>
            <w:tcW w:type="dxa" w:w="6922"/>
            <w:tcMar>
              <w:top w:w="60" w:type="dxa"/>
              <w:start w:w="100" w:type="dxa"/>
              <w:bottom w:w="60" w:type="dxa"/>
              <w:end w:w="100" w:type="dxa"/>
            </w:tcMar>
          </w:tcPr>
          <w:p>
            <w:pPr>
              <w:spacing w:after="0" w:line="276" w:lineRule="auto"/>
            </w:pPr>
            <w:r>
              <w:rPr>
                <w:rFonts w:ascii="Inter" w:hAnsi="Inter" w:cs="Inter" w:eastAsia="Inter"/>
                <w:b w:val="0"/>
                <w:i w:val="0"/>
                <w:color w:val="43506B"/>
                <w:sz w:val="16"/>
              </w:rPr>
              <w:t>Telecomunicaciones.</w:t>
            </w:r>
          </w:p>
        </w:tc>
      </w:tr>
      <w:tr>
        <w:trPr>
          <w:cantSplit/>
        </w:trPr>
        <w:tc>
          <w:tcPr>
            <w:tcW w:type="dxa" w:w="2870"/>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MIVHED</w:t>
            </w:r>
          </w:p>
        </w:tc>
        <w:tc>
          <w:tcPr>
            <w:tcW w:type="dxa" w:w="692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Permisos de construcción.</w:t>
            </w:r>
          </w:p>
        </w:tc>
      </w:tr>
      <w:tr>
        <w:trPr>
          <w:cantSplit/>
        </w:trPr>
        <w:tc>
          <w:tcPr>
            <w:tcW w:type="dxa" w:w="2870"/>
            <w:tcMar>
              <w:top w:w="60" w:type="dxa"/>
              <w:start w:w="100" w:type="dxa"/>
              <w:bottom w:w="60" w:type="dxa"/>
              <w:end w:w="100" w:type="dxa"/>
            </w:tcMar>
          </w:tcPr>
          <w:p>
            <w:pPr>
              <w:spacing w:after="0" w:line="276" w:lineRule="auto"/>
            </w:pPr>
            <w:r>
              <w:rPr>
                <w:rFonts w:ascii="Inter" w:hAnsi="Inter" w:cs="Inter" w:eastAsia="Inter"/>
                <w:b/>
                <w:i w:val="0"/>
                <w:color w:val="0A1A3A"/>
                <w:sz w:val="16"/>
              </w:rPr>
              <w:t>DGII</w:t>
            </w:r>
          </w:p>
        </w:tc>
        <w:tc>
          <w:tcPr>
            <w:tcW w:type="dxa" w:w="6922"/>
            <w:tcMar>
              <w:top w:w="60" w:type="dxa"/>
              <w:start w:w="100" w:type="dxa"/>
              <w:bottom w:w="60" w:type="dxa"/>
              <w:end w:w="100" w:type="dxa"/>
            </w:tcMar>
          </w:tcPr>
          <w:p>
            <w:pPr>
              <w:spacing w:after="0" w:line="276" w:lineRule="auto"/>
            </w:pPr>
            <w:r>
              <w:rPr>
                <w:rFonts w:ascii="Inter" w:hAnsi="Inter" w:cs="Inter" w:eastAsia="Inter"/>
                <w:b w:val="0"/>
                <w:i w:val="0"/>
                <w:color w:val="43506B"/>
                <w:sz w:val="16"/>
              </w:rPr>
              <w:t>Contribuyentes y régimen de comprobantes fiscales.</w:t>
            </w:r>
          </w:p>
        </w:tc>
      </w:tr>
      <w:tr>
        <w:trPr>
          <w:cantSplit/>
        </w:trPr>
        <w:tc>
          <w:tcPr>
            <w:tcW w:type="dxa" w:w="2870"/>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Banco Mundial (WGI · WDI)</w:t>
            </w:r>
          </w:p>
        </w:tc>
        <w:tc>
          <w:tcPr>
            <w:tcW w:type="dxa" w:w="692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Gobernanza y desarrollo comparados.</w:t>
            </w:r>
          </w:p>
        </w:tc>
      </w:tr>
      <w:tr>
        <w:trPr>
          <w:cantSplit/>
        </w:trPr>
        <w:tc>
          <w:tcPr>
            <w:tcW w:type="dxa" w:w="2870"/>
            <w:tcMar>
              <w:top w:w="60" w:type="dxa"/>
              <w:start w:w="100" w:type="dxa"/>
              <w:bottom w:w="60" w:type="dxa"/>
              <w:end w:w="100" w:type="dxa"/>
            </w:tcMar>
          </w:tcPr>
          <w:p>
            <w:pPr>
              <w:spacing w:after="0" w:line="276" w:lineRule="auto"/>
            </w:pPr>
            <w:r>
              <w:rPr>
                <w:rFonts w:ascii="Inter" w:hAnsi="Inter" w:cs="Inter" w:eastAsia="Inter"/>
                <w:b/>
                <w:i w:val="0"/>
                <w:color w:val="0A1A3A"/>
                <w:sz w:val="16"/>
              </w:rPr>
              <w:t>GDELT</w:t>
            </w:r>
          </w:p>
        </w:tc>
        <w:tc>
          <w:tcPr>
            <w:tcW w:type="dxa" w:w="6922"/>
            <w:tcMar>
              <w:top w:w="60" w:type="dxa"/>
              <w:start w:w="100" w:type="dxa"/>
              <w:bottom w:w="60" w:type="dxa"/>
              <w:end w:w="100" w:type="dxa"/>
            </w:tcMar>
          </w:tcPr>
          <w:p>
            <w:pPr>
              <w:spacing w:after="0" w:line="276" w:lineRule="auto"/>
            </w:pPr>
            <w:r>
              <w:rPr>
                <w:rFonts w:ascii="Inter" w:hAnsi="Inter" w:cs="Inter" w:eastAsia="Inter"/>
                <w:b w:val="0"/>
                <w:i w:val="0"/>
                <w:color w:val="43506B"/>
                <w:sz w:val="16"/>
              </w:rPr>
              <w:t>Tensión de eventos político-institucionales.</w:t>
            </w:r>
          </w:p>
        </w:tc>
      </w:tr>
      <w:tr>
        <w:trPr>
          <w:cantSplit/>
        </w:trPr>
        <w:tc>
          <w:tcPr>
            <w:tcW w:type="dxa" w:w="2870"/>
            <w:shd w:val="clear" w:color="auto" w:fill="F5F8FC"/>
            <w:tcMar>
              <w:top w:w="60" w:type="dxa"/>
              <w:start w:w="100" w:type="dxa"/>
              <w:bottom w:w="60" w:type="dxa"/>
              <w:end w:w="100" w:type="dxa"/>
            </w:tcMar>
          </w:tcPr>
          <w:p>
            <w:pPr>
              <w:spacing w:after="0" w:line="276" w:lineRule="auto"/>
            </w:pPr>
            <w:r>
              <w:rPr>
                <w:rFonts w:ascii="Inter" w:hAnsi="Inter" w:cs="Inter" w:eastAsia="Inter"/>
                <w:b/>
                <w:i w:val="0"/>
                <w:color w:val="0A1A3A"/>
                <w:sz w:val="16"/>
              </w:rPr>
              <w:t>ND-GAIN · HURDAT2 · OWID/EM-DAT</w:t>
            </w:r>
          </w:p>
        </w:tc>
        <w:tc>
          <w:tcPr>
            <w:tcW w:type="dxa" w:w="6922"/>
            <w:shd w:val="clear" w:color="auto" w:fill="F5F8FC"/>
            <w:tcMar>
              <w:top w:w="60" w:type="dxa"/>
              <w:start w:w="100" w:type="dxa"/>
              <w:bottom w:w="60" w:type="dxa"/>
              <w:end w:w="100" w:type="dxa"/>
            </w:tcMar>
          </w:tcPr>
          <w:p>
            <w:pPr>
              <w:spacing w:after="0" w:line="276" w:lineRule="auto"/>
            </w:pPr>
            <w:r>
              <w:rPr>
                <w:rFonts w:ascii="Inter" w:hAnsi="Inter" w:cs="Inter" w:eastAsia="Inter"/>
                <w:b w:val="0"/>
                <w:i w:val="0"/>
                <w:color w:val="43506B"/>
                <w:sz w:val="16"/>
              </w:rPr>
              <w:t>Exposición y desenlaces climáticos.</w:t>
            </w:r>
          </w:p>
        </w:tc>
      </w:tr>
      <w:tr>
        <w:trPr>
          <w:cantSplit/>
        </w:trPr>
        <w:tc>
          <w:tcPr>
            <w:tcW w:type="dxa" w:w="2870"/>
            <w:tcMar>
              <w:top w:w="60" w:type="dxa"/>
              <w:start w:w="100" w:type="dxa"/>
              <w:bottom w:w="60" w:type="dxa"/>
              <w:end w:w="100" w:type="dxa"/>
            </w:tcMar>
          </w:tcPr>
          <w:p>
            <w:pPr>
              <w:spacing w:after="0" w:line="276" w:lineRule="auto"/>
            </w:pPr>
            <w:r>
              <w:rPr>
                <w:rFonts w:ascii="Inter" w:hAnsi="Inter" w:cs="Inter" w:eastAsia="Inter"/>
                <w:b/>
                <w:i w:val="0"/>
                <w:color w:val="0A1A3A"/>
                <w:sz w:val="16"/>
              </w:rPr>
              <w:t>Comtrade · CEPALSTAT · Ember · IPU</w:t>
            </w:r>
          </w:p>
        </w:tc>
        <w:tc>
          <w:tcPr>
            <w:tcW w:type="dxa" w:w="6922"/>
            <w:tcMar>
              <w:top w:w="60" w:type="dxa"/>
              <w:start w:w="100" w:type="dxa"/>
              <w:bottom w:w="60" w:type="dxa"/>
              <w:end w:w="100" w:type="dxa"/>
            </w:tcMar>
          </w:tcPr>
          <w:p>
            <w:pPr>
              <w:spacing w:after="0" w:line="276" w:lineRule="auto"/>
            </w:pPr>
            <w:r>
              <w:rPr>
                <w:rFonts w:ascii="Inter" w:hAnsi="Inter" w:cs="Inter" w:eastAsia="Inter"/>
                <w:b w:val="0"/>
                <w:i w:val="0"/>
                <w:color w:val="43506B"/>
                <w:sz w:val="16"/>
              </w:rPr>
              <w:t>Comparables internacionales.</w:t>
            </w:r>
          </w:p>
        </w:tc>
      </w:tr>
    </w:tbl>
    <w:p>
      <w:pPr>
        <w:spacing w:after="120" w:before="0"/>
      </w:pPr>
    </w:p>
    <w:p>
      <w:pPr>
        <w:spacing w:after="120" w:before="0"/>
      </w:pPr>
    </w:p>
    <w:p>
      <w:pPr>
        <w:pBdr>
          <w:bottom w:val="single" w:sz="6" w:space="1" w:color="D6DEEC"/>
        </w:pBdr>
        <w:spacing w:before="80" w:after="160"/>
      </w:pPr>
    </w:p>
    <w:p>
      <w:pPr>
        <w:spacing w:after="120" w:before="0"/>
      </w:pPr>
      <w:r>
        <w:rPr>
          <w:rFonts w:ascii="Inter" w:hAnsi="Inter" w:cs="Inter" w:eastAsia="Inter"/>
          <w:b w:val="0"/>
          <w:i/>
          <w:color w:val="76829C"/>
          <w:sz w:val="16"/>
        </w:rPr>
        <w:t>Documento generado desde el propio repositorio de la plataforma (scripts/build_dossier_comercial.py). El catálogo y el tarifario se leen del código, así que este archivo se regenera y no se edita a mano. Las cifras de validación se consultan en vivo — ver §7.4.</w:t>
      </w:r>
    </w:p>
    <w:sectPr w:rsidR="00FC693F" w:rsidRPr="0006063C" w:rsidSect="00034616">
      <w:headerReference w:type="default" r:id="rId9"/>
      <w:footerReference w:type="default" r:id="rId10"/>
      <w:pgSz w:w="12240" w:h="15840"/>
      <w:pgMar w:top="1224" w:right="1224" w:bottom="1152"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JetBrains Mono" w:hAnsi="JetBrains Mono" w:cs="JetBrains Mono" w:eastAsia="JetBrains Mono"/>
        <w:b w:val="0"/>
        <w:i w:val="0"/>
        <w:color w:val="9AA6BF"/>
        <w:sz w:val="14"/>
      </w:rPr>
      <w:t xml:space="preserve">SDQ Consulting · SDQ·MIP  ·  </w:t>
    </w:r>
    <w:r>
      <w:rPr>
        <w:rFonts w:ascii="JetBrains Mono" w:hAnsi="JetBrains Mono" w:cs="JetBrains Mono" w:eastAsia="JetBrains Mono"/>
        <w:b w:val="0"/>
        <w:i w:val="0"/>
        <w:color w:val="9AA6BF"/>
        <w:sz w:val="14"/>
      </w:rPr>
      <w:fldChar w:fldCharType="begin"/>
      <w:instrText xml:space="preserve"> PAGE </w:instrText>
      <w:fldChar w:fldCharType="end"/>
    </w:r>
    <w:r>
      <w:rPr>
        <w:rFonts w:ascii="JetBrains Mono" w:hAnsi="JetBrains Mono" w:cs="JetBrains Mono" w:eastAsia="JetBrains Mono"/>
        <w:b w:val="0"/>
        <w:i w:val="0"/>
        <w:color w:val="9AA6BF"/>
        <w:sz w:val="14"/>
      </w:rPr>
      <w:t xml:space="preserve"> / </w:t>
    </w:r>
    <w:r>
      <w:rPr>
        <w:rFonts w:ascii="JetBrains Mono" w:hAnsi="JetBrains Mono" w:cs="JetBrains Mono" w:eastAsia="JetBrains Mono"/>
        <w:b w:val="0"/>
        <w:i w:val="0"/>
        <w:color w:val="9AA6BF"/>
        <w:sz w:val="14"/>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E7ECF3"/>
      </w:pBdr>
      <w:spacing w:after="40"/>
    </w:pPr>
    <w:r>
      <w:rPr>
        <w:rFonts w:ascii="JetBrains Mono" w:hAnsi="JetBrains Mono" w:cs="JetBrains Mono" w:eastAsia="JetBrains Mono"/>
        <w:b w:val="0"/>
        <w:i w:val="0"/>
        <w:color w:val="9AA6BF"/>
        <w:spacing w:val="18"/>
        <w:sz w:val="14"/>
      </w:rPr>
      <w:t>SDQ·MIP  ·  DOSSIER DE PRODUCTO Y MARCA  ·  HANDOFF DE DISEÑO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Inter" w:hAnsi="Inter" w:cs="Inter" w:eastAsia="Inter"/>
      <w:color w:val="43506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