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031A12" w14:textId="77777777" w:rsidR="007D32FC" w:rsidRDefault="00000000">
      <w:pPr>
        <w:spacing w:before="1200"/>
      </w:pPr>
      <w:r>
        <w:rPr>
          <w:color w:val="5A6472"/>
          <w:sz w:val="24"/>
          <w:szCs w:val="24"/>
        </w:rPr>
        <w:t>SDQ · Market Intelligence Platform</w:t>
      </w:r>
    </w:p>
    <w:p w14:paraId="300C0114" w14:textId="77777777" w:rsidR="007D32FC" w:rsidRDefault="00000000">
      <w:pPr>
        <w:pBdr>
          <w:bottom w:val="single" w:sz="12" w:space="4" w:color="C8102E"/>
        </w:pBdr>
        <w:spacing w:before="80"/>
      </w:pPr>
      <w:r>
        <w:rPr>
          <w:b/>
          <w:bCs/>
          <w:color w:val="1B2A4A"/>
          <w:sz w:val="52"/>
          <w:szCs w:val="52"/>
        </w:rPr>
        <w:t>Brief de Investigación de Fuentes</w:t>
      </w:r>
    </w:p>
    <w:p w14:paraId="57921C41" w14:textId="77777777" w:rsidR="007D32FC" w:rsidRDefault="00000000">
      <w:pPr>
        <w:spacing w:before="200"/>
      </w:pPr>
      <w:r>
        <w:rPr>
          <w:color w:val="1B2A4A"/>
          <w:sz w:val="28"/>
          <w:szCs w:val="28"/>
        </w:rPr>
        <w:t>Qué información necesitamos, por eje, para cerrar las brechas de readiness</w:t>
      </w:r>
    </w:p>
    <w:p w14:paraId="1B52C81A" w14:textId="77777777" w:rsidR="007D32FC" w:rsidRDefault="00000000">
      <w:pPr>
        <w:spacing w:before="400"/>
      </w:pPr>
      <w:r>
        <w:rPr>
          <w:color w:val="5A6472"/>
          <w:sz w:val="22"/>
          <w:szCs w:val="22"/>
        </w:rPr>
        <w:t>Preparado: 28 de junio de 2026</w:t>
      </w:r>
    </w:p>
    <w:p w14:paraId="51D342CB" w14:textId="77777777" w:rsidR="007D32FC" w:rsidRDefault="00000000">
      <w:r>
        <w:rPr>
          <w:i/>
          <w:iCs/>
          <w:color w:val="5A6472"/>
          <w:sz w:val="20"/>
          <w:szCs w:val="20"/>
        </w:rPr>
        <w:t>Fuente de datos: GET /api/v1/products/readiness/audit (producción)</w:t>
      </w:r>
    </w:p>
    <w:p w14:paraId="30B64C2D" w14:textId="77777777" w:rsidR="007D32FC" w:rsidRDefault="00000000">
      <w:r>
        <w:br w:type="page"/>
      </w:r>
    </w:p>
    <w:p w14:paraId="5C951970" w14:textId="77777777" w:rsidR="007D32FC" w:rsidRDefault="00000000">
      <w:pPr>
        <w:pStyle w:val="Heading1"/>
      </w:pPr>
      <w:r>
        <w:lastRenderedPageBreak/>
        <w:t>1 · Propósito y cómo leer este informe</w:t>
      </w:r>
    </w:p>
    <w:p w14:paraId="5EFDB547" w14:textId="77777777" w:rsidR="007D32FC" w:rsidRDefault="00000000">
      <w:pPr>
        <w:spacing w:after="120"/>
      </w:pPr>
      <w:r>
        <w:t xml:space="preserve">Este informe traduce las brechas del </w:t>
      </w:r>
      <w:r>
        <w:rPr>
          <w:i/>
          <w:iCs/>
        </w:rPr>
        <w:t>Readiness Audit</w:t>
      </w:r>
      <w:r>
        <w:t xml:space="preserve"> en una agenda de investigación: por cada eje, </w:t>
      </w:r>
      <w:r>
        <w:rPr>
          <w:b/>
          <w:bCs/>
        </w:rPr>
        <w:t>qué información concreta necesitamos</w:t>
      </w:r>
      <w:r>
        <w:t xml:space="preserve"> para iniciar la búsqueda de nuevas fuentes que cierren la brecha. No es un diagnóstico técnico; es el punto de partida de un proceso de investigación de datos.</w:t>
      </w:r>
    </w:p>
    <w:p w14:paraId="46204B98" w14:textId="77777777" w:rsidR="007D32FC" w:rsidRDefault="00000000">
      <w:pPr>
        <w:spacing w:after="120"/>
      </w:pPr>
      <w:r>
        <w:rPr>
          <w:b/>
          <w:bCs/>
          <w:color w:val="1B2A4A"/>
        </w:rPr>
        <w:t xml:space="preserve">Estructura repetible (a propósito). </w:t>
      </w:r>
      <w:r>
        <w:t xml:space="preserve">Cada eje sigue el mismo esqueleto —Estado · Información que necesitamos · Fuentes candidatas · Preguntas para arrancar—. Esa repetibilidad es deliberada: es exactamente la plantilla que una </w:t>
      </w:r>
      <w:r>
        <w:rPr>
          <w:b/>
          <w:bCs/>
        </w:rPr>
        <w:t>operación automatizada de descubrimiento de fuentes</w:t>
      </w:r>
      <w:r>
        <w:t xml:space="preserve"> llenaría de forma recurrente. Este documento es la versión v0, hecha a mano, de ese lazo (ver sección final).</w:t>
      </w:r>
    </w:p>
    <w:p w14:paraId="6000E826" w14:textId="77777777" w:rsidR="007D32FC" w:rsidRDefault="00000000">
      <w:pPr>
        <w:spacing w:after="120"/>
      </w:pPr>
      <w:r>
        <w:rPr>
          <w:b/>
          <w:bCs/>
          <w:color w:val="1B2A4A"/>
        </w:rPr>
        <w:t xml:space="preserve">Doctrina. </w:t>
      </w:r>
      <w:r>
        <w:t>Solo se integra dato real (sin datos sintéticos). Una variable sin fuente se declara en rúbrica, no se finge. El readiness mide cobertura honesta: una fuente solo cuenta si mueve un gate.</w:t>
      </w:r>
    </w:p>
    <w:p w14:paraId="1DD6E328" w14:textId="77777777" w:rsidR="007D32FC" w:rsidRDefault="00000000">
      <w:pPr>
        <w:pStyle w:val="Heading1"/>
      </w:pPr>
      <w:r>
        <w:t>2 · Las dos palancas estructurales</w:t>
      </w:r>
    </w:p>
    <w:p w14:paraId="57D537D7" w14:textId="77777777" w:rsidR="007D32FC" w:rsidRDefault="00000000">
      <w:pPr>
        <w:spacing w:after="120"/>
      </w:pPr>
      <w:r>
        <w:rPr>
          <w:b/>
          <w:bCs/>
          <w:color w:val="1B2A4A"/>
        </w:rPr>
        <w:t xml:space="preserve">G1 · Datos (cobertura × frescura). </w:t>
      </w:r>
      <w:r>
        <w:t>Se cierra trayendo una variable real que falta (cobertura) o un corte más reciente (frescura). Es la palanca de la mayoría de los ejes sectoriales y de telecom/energy.</w:t>
      </w:r>
    </w:p>
    <w:p w14:paraId="29CC29CB" w14:textId="77777777" w:rsidR="007D32FC" w:rsidRDefault="00000000">
      <w:pPr>
        <w:spacing w:after="120"/>
      </w:pPr>
      <w:r>
        <w:rPr>
          <w:b/>
          <w:bCs/>
          <w:color w:val="1B2A4A"/>
        </w:rPr>
        <w:t xml:space="preserve">G5 · Validación (backtest de outcomes). </w:t>
      </w:r>
      <w:r>
        <w:t>Se cierra con una serie de resultados reales que el índice pueda predecir. No se fabrica: si no hay outcome medible, el gate se queda y se declara (caso pensiones).</w:t>
      </w:r>
    </w:p>
    <w:p w14:paraId="186C1FCC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Criterios de aceptación de una fuente nueva</w:t>
      </w:r>
    </w:p>
    <w:p w14:paraId="070CA0CA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Dato real, público o licenciable, con cita — nunca seed ni estimación.</w:t>
      </w:r>
    </w:p>
    <w:p w14:paraId="0A812A65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Resolución útil: por sector económico / entidad (no solo agregado nacional), o real-con-fallback honesto por sector.</w:t>
      </w:r>
    </w:p>
    <w:p w14:paraId="18442356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Cadencia y frescura conocidas (para agendar el re-sync sin falsos «stale»).</w:t>
      </w:r>
    </w:p>
    <w:p w14:paraId="090C4807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Formato estructurado (Excel/CSV/API mejor que PDF con OCR), reproducible.</w:t>
      </w:r>
    </w:p>
    <w:p w14:paraId="3733E758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Que mueva un gate: la fuente se evalúa por la brecha que cierra, no por el dato en sí.</w:t>
      </w:r>
    </w:p>
    <w:p w14:paraId="5D3EFAA7" w14:textId="77777777" w:rsidR="007D32FC" w:rsidRDefault="00000000">
      <w:pPr>
        <w:pStyle w:val="Heading1"/>
      </w:pPr>
      <w:r>
        <w:t>3 · Resumen por eje</w:t>
      </w:r>
    </w:p>
    <w:p w14:paraId="5422B0C8" w14:textId="77777777" w:rsidR="007D32FC" w:rsidRDefault="00000000">
      <w:pPr>
        <w:spacing w:after="120"/>
      </w:pPr>
      <w:r>
        <w:rPr>
          <w:i/>
          <w:iCs/>
          <w:color w:val="5A6472"/>
        </w:rPr>
        <w:t>Ordenado por readiness descendente. La columna de brecha indica el foco de investigación.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7D32FC" w14:paraId="6F46FF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4D9DF" w14:textId="77777777" w:rsidR="007D32FC" w:rsidRDefault="00000000">
            <w:r>
              <w:rPr>
                <w:b/>
                <w:bCs/>
                <w:color w:val="FFFFFF"/>
                <w:sz w:val="18"/>
                <w:szCs w:val="18"/>
              </w:rPr>
              <w:t>Eje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72B75" w14:textId="77777777" w:rsidR="007D32FC" w:rsidRDefault="00000000">
            <w:r>
              <w:rPr>
                <w:b/>
                <w:bCs/>
                <w:color w:val="FFFFFF"/>
                <w:sz w:val="18"/>
                <w:szCs w:val="18"/>
              </w:rPr>
              <w:t>Readiness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B137B" w14:textId="77777777" w:rsidR="007D32FC" w:rsidRDefault="00000000">
            <w:r>
              <w:rPr>
                <w:b/>
                <w:bCs/>
                <w:color w:val="FFFFFF"/>
                <w:sz w:val="18"/>
                <w:szCs w:val="18"/>
              </w:rPr>
              <w:t>Brecha principal a investigar</w:t>
            </w:r>
          </w:p>
        </w:tc>
      </w:tr>
      <w:tr w:rsidR="007D32FC" w14:paraId="299A7C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EAC83" w14:textId="77777777" w:rsidR="007D32FC" w:rsidRDefault="00000000">
            <w:r>
              <w:rPr>
                <w:color w:val="000000"/>
                <w:sz w:val="18"/>
                <w:szCs w:val="18"/>
              </w:rPr>
              <w:t>banking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D376" w14:textId="77777777" w:rsidR="007D32FC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946B5" w14:textId="77777777" w:rsidR="007D32FC" w:rsidRDefault="00000000">
            <w:r>
              <w:rPr>
                <w:color w:val="000000"/>
                <w:sz w:val="18"/>
                <w:szCs w:val="18"/>
              </w:rPr>
              <w:t>Sin brechas (vigilancia de frescura)</w:t>
            </w:r>
          </w:p>
        </w:tc>
      </w:tr>
      <w:tr w:rsidR="007D32FC" w14:paraId="033E4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F9F6C" w14:textId="77777777" w:rsidR="007D32FC" w:rsidRDefault="00000000">
            <w:r>
              <w:rPr>
                <w:color w:val="000000"/>
                <w:sz w:val="18"/>
                <w:szCs w:val="18"/>
              </w:rPr>
              <w:t>trade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3C063" w14:textId="77777777" w:rsidR="007D32FC" w:rsidRDefault="00000000">
            <w:r>
              <w:rPr>
                <w:color w:val="000000"/>
                <w:sz w:val="18"/>
                <w:szCs w:val="18"/>
              </w:rPr>
              <w:t>0.963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85ABF" w14:textId="77777777" w:rsidR="007D32FC" w:rsidRDefault="00000000">
            <w:r>
              <w:rPr>
                <w:color w:val="000000"/>
                <w:sz w:val="18"/>
                <w:szCs w:val="18"/>
              </w:rPr>
              <w:t>G5: serie de outcomes comerciales más larga</w:t>
            </w:r>
          </w:p>
        </w:tc>
      </w:tr>
      <w:tr w:rsidR="007D32FC" w14:paraId="2879BA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7306B" w14:textId="77777777" w:rsidR="007D32FC" w:rsidRDefault="00000000">
            <w:r>
              <w:rPr>
                <w:color w:val="000000"/>
                <w:sz w:val="18"/>
                <w:szCs w:val="18"/>
              </w:rPr>
              <w:t>esg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93185" w14:textId="77777777" w:rsidR="007D32FC" w:rsidRDefault="00000000">
            <w:r>
              <w:rPr>
                <w:color w:val="000000"/>
                <w:sz w:val="18"/>
                <w:szCs w:val="18"/>
              </w:rPr>
              <w:t>0.933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D9213" w14:textId="77777777" w:rsidR="007D32FC" w:rsidRDefault="00000000">
            <w:r>
              <w:rPr>
                <w:color w:val="000000"/>
                <w:sz w:val="18"/>
                <w:szCs w:val="18"/>
              </w:rPr>
              <w:t>G1 frescura anual · G5 eventos climáticos</w:t>
            </w:r>
          </w:p>
        </w:tc>
      </w:tr>
      <w:tr w:rsidR="007D32FC" w14:paraId="268E9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45A93" w14:textId="77777777" w:rsidR="007D32FC" w:rsidRDefault="00000000">
            <w:r>
              <w:rPr>
                <w:color w:val="000000"/>
                <w:sz w:val="18"/>
                <w:szCs w:val="18"/>
              </w:rPr>
              <w:t>pension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39B56" w14:textId="77777777" w:rsidR="007D32FC" w:rsidRDefault="00000000">
            <w:r>
              <w:rPr>
                <w:color w:val="000000"/>
                <w:sz w:val="18"/>
                <w:szCs w:val="18"/>
              </w:rPr>
              <w:t>0.925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AF53A" w14:textId="77777777" w:rsidR="007D32FC" w:rsidRDefault="00000000">
            <w:r>
              <w:rPr>
                <w:color w:val="000000"/>
                <w:sz w:val="18"/>
                <w:szCs w:val="18"/>
              </w:rPr>
              <w:t>G5: proxy de outcome (no quiebra)</w:t>
            </w:r>
          </w:p>
        </w:tc>
      </w:tr>
      <w:tr w:rsidR="007D32FC" w14:paraId="5F05D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361B6" w14:textId="77777777" w:rsidR="007D32FC" w:rsidRDefault="00000000">
            <w:r>
              <w:rPr>
                <w:color w:val="000000"/>
                <w:sz w:val="18"/>
                <w:szCs w:val="18"/>
              </w:rPr>
              <w:t>macro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8522B" w14:textId="77777777" w:rsidR="007D32FC" w:rsidRDefault="00000000">
            <w:r>
              <w:rPr>
                <w:color w:val="000000"/>
                <w:sz w:val="18"/>
                <w:szCs w:val="18"/>
              </w:rPr>
              <w:t>0.914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5074D" w14:textId="77777777" w:rsidR="007D32FC" w:rsidRDefault="00000000">
            <w:r>
              <w:rPr>
                <w:color w:val="000000"/>
                <w:sz w:val="18"/>
                <w:szCs w:val="18"/>
              </w:rPr>
              <w:t>G1 frescura del corte · G5 más panel</w:t>
            </w:r>
          </w:p>
        </w:tc>
      </w:tr>
      <w:tr w:rsidR="007D32FC" w14:paraId="269AF5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8572F" w14:textId="77777777" w:rsidR="007D32FC" w:rsidRDefault="00000000">
            <w:r>
              <w:rPr>
                <w:color w:val="000000"/>
                <w:sz w:val="18"/>
                <w:szCs w:val="18"/>
              </w:rPr>
              <w:t>tourism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5A095" w14:textId="77777777" w:rsidR="007D32FC" w:rsidRDefault="00000000">
            <w:r>
              <w:rPr>
                <w:color w:val="000000"/>
                <w:sz w:val="18"/>
                <w:szCs w:val="18"/>
              </w:rPr>
              <w:t>0.870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E4D5E" w14:textId="77777777" w:rsidR="007D32FC" w:rsidRDefault="00000000">
            <w:r>
              <w:rPr>
                <w:color w:val="000000"/>
                <w:sz w:val="18"/>
                <w:szCs w:val="18"/>
              </w:rPr>
              <w:t>G1: clima de negocios + competencias por sector</w:t>
            </w:r>
          </w:p>
        </w:tc>
      </w:tr>
      <w:tr w:rsidR="007D32FC" w14:paraId="3C1A2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8D78" w14:textId="77777777" w:rsidR="007D32FC" w:rsidRDefault="00000000">
            <w:r>
              <w:rPr>
                <w:color w:val="000000"/>
                <w:sz w:val="18"/>
                <w:szCs w:val="18"/>
              </w:rPr>
              <w:t>free_zones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3FFD2" w14:textId="77777777" w:rsidR="007D32FC" w:rsidRDefault="00000000">
            <w:r>
              <w:rPr>
                <w:color w:val="000000"/>
                <w:sz w:val="18"/>
                <w:szCs w:val="18"/>
              </w:rPr>
              <w:t>0.870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A0337" w14:textId="77777777" w:rsidR="007D32FC" w:rsidRDefault="00000000">
            <w:r>
              <w:rPr>
                <w:color w:val="000000"/>
                <w:sz w:val="18"/>
                <w:szCs w:val="18"/>
              </w:rPr>
              <w:t>G1: negocios + competencias · dato CNZFE</w:t>
            </w:r>
          </w:p>
        </w:tc>
      </w:tr>
      <w:tr w:rsidR="007D32FC" w14:paraId="59B01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70419" w14:textId="77777777" w:rsidR="007D32FC" w:rsidRDefault="00000000">
            <w:r>
              <w:rPr>
                <w:color w:val="000000"/>
                <w:sz w:val="18"/>
                <w:szCs w:val="18"/>
              </w:rPr>
              <w:t>construction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1D42" w14:textId="77777777" w:rsidR="007D32FC" w:rsidRDefault="00000000">
            <w:r>
              <w:rPr>
                <w:color w:val="000000"/>
                <w:sz w:val="18"/>
                <w:szCs w:val="18"/>
              </w:rPr>
              <w:t>0.870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02F36" w14:textId="77777777" w:rsidR="007D32FC" w:rsidRDefault="00000000">
            <w:r>
              <w:rPr>
                <w:color w:val="000000"/>
                <w:sz w:val="18"/>
                <w:szCs w:val="18"/>
              </w:rPr>
              <w:t>G1: negocios + competencias por sector</w:t>
            </w:r>
          </w:p>
        </w:tc>
      </w:tr>
      <w:tr w:rsidR="007D32FC" w14:paraId="7EB4F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F287D" w14:textId="77777777" w:rsidR="007D32FC" w:rsidRDefault="00000000">
            <w:r>
              <w:rPr>
                <w:color w:val="000000"/>
                <w:sz w:val="18"/>
                <w:szCs w:val="18"/>
              </w:rPr>
              <w:t>agribusiness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115AF" w14:textId="77777777" w:rsidR="007D32FC" w:rsidRDefault="00000000">
            <w:r>
              <w:rPr>
                <w:color w:val="000000"/>
                <w:sz w:val="18"/>
                <w:szCs w:val="18"/>
              </w:rPr>
              <w:t>0.858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99EFB" w14:textId="77777777" w:rsidR="007D32FC" w:rsidRDefault="00000000">
            <w:r>
              <w:rPr>
                <w:color w:val="000000"/>
                <w:sz w:val="18"/>
                <w:szCs w:val="18"/>
              </w:rPr>
              <w:t>G1: rentabilidad agro (fuera de ENAE) + 2 rúbricas</w:t>
            </w:r>
          </w:p>
        </w:tc>
      </w:tr>
      <w:tr w:rsidR="007D32FC" w14:paraId="14798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12960" w14:textId="77777777" w:rsidR="007D32FC" w:rsidRDefault="00000000">
            <w:r>
              <w:rPr>
                <w:color w:val="000000"/>
                <w:sz w:val="18"/>
                <w:szCs w:val="18"/>
              </w:rPr>
              <w:t>energy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CF7C1" w14:textId="77777777" w:rsidR="007D32FC" w:rsidRDefault="00000000">
            <w:r>
              <w:rPr>
                <w:color w:val="000000"/>
                <w:sz w:val="18"/>
                <w:szCs w:val="18"/>
              </w:rPr>
              <w:t>0.812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98394" w14:textId="77777777" w:rsidR="007D32FC" w:rsidRDefault="00000000">
            <w:r>
              <w:rPr>
                <w:color w:val="000000"/>
                <w:sz w:val="18"/>
                <w:szCs w:val="18"/>
              </w:rPr>
              <w:t>G1: dimensión de transición (CNE/OC) · G5</w:t>
            </w:r>
          </w:p>
        </w:tc>
      </w:tr>
      <w:tr w:rsidR="007D32FC" w14:paraId="10C03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351CC" w14:textId="77777777" w:rsidR="007D32FC" w:rsidRDefault="00000000">
            <w:r>
              <w:rPr>
                <w:color w:val="000000"/>
                <w:sz w:val="18"/>
                <w:szCs w:val="18"/>
              </w:rPr>
              <w:lastRenderedPageBreak/>
              <w:t>telecom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5C279" w14:textId="77777777" w:rsidR="007D32FC" w:rsidRDefault="00000000">
            <w:r>
              <w:rPr>
                <w:color w:val="000000"/>
                <w:sz w:val="18"/>
                <w:szCs w:val="18"/>
              </w:rPr>
              <w:t>0.632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25AC0" w14:textId="77777777" w:rsidR="007D32FC" w:rsidRDefault="00000000">
            <w:r>
              <w:rPr>
                <w:color w:val="000000"/>
                <w:sz w:val="18"/>
                <w:szCs w:val="18"/>
              </w:rPr>
              <w:t>G1: boletín INDOTEL vigente (PALANCA #1)</w:t>
            </w:r>
          </w:p>
        </w:tc>
      </w:tr>
    </w:tbl>
    <w:p w14:paraId="38835384" w14:textId="77777777" w:rsidR="007D32FC" w:rsidRDefault="00000000">
      <w:pPr>
        <w:pStyle w:val="Heading1"/>
        <w:pageBreakBefore/>
      </w:pPr>
      <w:r>
        <w:lastRenderedPageBreak/>
        <w:t>4 · Fichas por eje</w:t>
      </w:r>
    </w:p>
    <w:p w14:paraId="2127CF63" w14:textId="77777777" w:rsidR="007D32FC" w:rsidRDefault="00000000">
      <w:pPr>
        <w:pStyle w:val="Heading2"/>
      </w:pPr>
      <w:r>
        <w:t>SDQ Banking Intelligence  ·  banking</w:t>
      </w:r>
    </w:p>
    <w:p w14:paraId="0F4BDA0A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(publica los 3 niveles · readiness 1.000). Sin brechas: los 5 gates en pleno. Fuente: SIB · fiduciaria · BCRD.</w:t>
      </w:r>
    </w:p>
    <w:p w14:paraId="6BF879A3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365F5169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Para publicar: nada. El eje está completo y validado.</w:t>
      </w:r>
    </w:p>
    <w:p w14:paraId="01C2F1E7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Para profundizar a futuro (opcional): mayor granularidad de los estados financieros de fiduciarias (hoy PDF auditado anual, con brecha de OCR) y morosidad por producto.</w:t>
      </w:r>
    </w:p>
    <w:p w14:paraId="2EC6ECB5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2073A1AB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Vigilancia de frescura de las fuentes ya conectadas (SIB, BCRD, portal de supervisados).</w:t>
      </w:r>
    </w:p>
    <w:p w14:paraId="0F0DD34C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A explorar si se busca profundidad: central de riesgo / buró, series de cartera por destino.</w:t>
      </w:r>
    </w:p>
    <w:p w14:paraId="206FCA9A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7BBC2E10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¿Cuál es la cadencia óptima de re-descarga para no degradar la frescura del gate?</w:t>
      </w:r>
    </w:p>
    <w:p w14:paraId="7D401DE2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¿Hay valor incremental en desagregar morosidad o cartera por producto?</w:t>
      </w:r>
    </w:p>
    <w:p w14:paraId="1FC773E5" w14:textId="77777777" w:rsidR="007D32FC" w:rsidRDefault="007D32FC">
      <w:pPr>
        <w:pBdr>
          <w:bottom w:val="single" w:sz="4" w:space="1" w:color="CCCCCC"/>
        </w:pBdr>
        <w:spacing w:after="200"/>
      </w:pPr>
    </w:p>
    <w:p w14:paraId="41B5D75B" w14:textId="77777777" w:rsidR="007D32FC" w:rsidRDefault="00000000">
      <w:pPr>
        <w:pStyle w:val="Heading2"/>
      </w:pPr>
      <w:r>
        <w:t>SDQ Trade &amp; Logistics  ·  trade</w:t>
      </w:r>
    </w:p>
    <w:p w14:paraId="78139C9D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(readiness 0.963). Brecha única: Validación (G5 0.75). El motor y los datos están al día; falta robustecer el backtest.</w:t>
      </w:r>
    </w:p>
    <w:p w14:paraId="236C3C15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0A49ADA6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Serie histórica más larga de outcomes comerciales (colapsos de exportación por país y por sector) para estrechar el intervalo de confianza del backtest de resiliencia.</w:t>
      </w:r>
    </w:p>
    <w:p w14:paraId="47977FBD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Dato de país-socio (origen/destino del comercio), hoy diferido.</w:t>
      </w:r>
    </w:p>
    <w:p w14:paraId="1A0C459C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63D7443E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UN Comtrade (operativa) y DGA «Data Cruda» por capítulo (operativa).</w:t>
      </w:r>
    </w:p>
    <w:p w14:paraId="5461DECE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País-socio vía Power BI de la DGA (extracción diferida) — receta de extracción ya probada.</w:t>
      </w:r>
    </w:p>
    <w:p w14:paraId="49AD6E56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A explorar: BACI/CEPII (panel de comercio bilateral limpio, más años) como cruce/extensión.</w:t>
      </w:r>
    </w:p>
    <w:p w14:paraId="1D6EA97E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39690EDB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¿Cuántos años adicionales de panel se necesitan para estrechar el IC del backtest a un nivel publicable como «fuerte»?</w:t>
      </w:r>
    </w:p>
    <w:p w14:paraId="0E6BB75C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¿El dato país-socio de la DGA es extraíble de forma estable y reproducible?</w:t>
      </w:r>
    </w:p>
    <w:p w14:paraId="5566090E" w14:textId="77777777" w:rsidR="007D32FC" w:rsidRDefault="007D32FC">
      <w:pPr>
        <w:pBdr>
          <w:bottom w:val="single" w:sz="4" w:space="1" w:color="CCCCCC"/>
        </w:pBdr>
        <w:spacing w:after="200"/>
      </w:pPr>
    </w:p>
    <w:p w14:paraId="4676469C" w14:textId="77777777" w:rsidR="007D32FC" w:rsidRDefault="00000000">
      <w:pPr>
        <w:pStyle w:val="Heading2"/>
      </w:pPr>
      <w:r>
        <w:t>SDQ ESG &amp; Climate  ·  esg</w:t>
      </w:r>
    </w:p>
    <w:p w14:paraId="427FB76C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(readiness 0.933). Brechas menores: Datos (G1 0.88, frescura del corte anual 2023) y Validación (G5 0.80, ya significativa).</w:t>
      </w:r>
    </w:p>
    <w:p w14:paraId="38AC8187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4CF1E2F9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El corte siguiente de los índices internacionales (ND-GAIN, Ember) cuando se publiquen — es cadencia anual con rezago, no un bug.</w:t>
      </w:r>
    </w:p>
    <w:p w14:paraId="769D3682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Un inventario de emisiones / clima nacional más fresco que el ciclo internacional, si existe.</w:t>
      </w:r>
    </w:p>
    <w:p w14:paraId="08410115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Serie de eventos climáticos con pérdidas para reforzar el backtest.</w:t>
      </w:r>
    </w:p>
    <w:p w14:paraId="40D32CAA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lastRenderedPageBreak/>
        <w:t>Fuentes candidatas a investigar</w:t>
      </w:r>
    </w:p>
    <w:p w14:paraId="00654BC8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ND-GAIN, HURDAT2 (huracanes), Ember (fósil/carbono) — operativas.</w:t>
      </w:r>
    </w:p>
    <w:p w14:paraId="4918D8D9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A explorar nacional: Ministerio de Medio Ambiente (inventario GEI, NDC), Climate Watch, EM-DAT (base internacional de desastres).</w:t>
      </w:r>
    </w:p>
    <w:p w14:paraId="5943E894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1D3E65A3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¿Qué fuente nacional publica emisiones o exposición climática con cadencia mayor que ND-GAIN?</w:t>
      </w:r>
    </w:p>
    <w:p w14:paraId="7DCDD8F5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¿Existe una serie de pérdidas por evento climático (huracán, sequía) usable como outcome del backtest?</w:t>
      </w:r>
    </w:p>
    <w:p w14:paraId="5D09186D" w14:textId="77777777" w:rsidR="007D32FC" w:rsidRDefault="007D32FC">
      <w:pPr>
        <w:pBdr>
          <w:bottom w:val="single" w:sz="4" w:space="1" w:color="CCCCCC"/>
        </w:pBdr>
        <w:spacing w:after="200"/>
      </w:pPr>
    </w:p>
    <w:p w14:paraId="40FAFD51" w14:textId="77777777" w:rsidR="007D32FC" w:rsidRDefault="00000000">
      <w:pPr>
        <w:pStyle w:val="Heading2"/>
      </w:pPr>
      <w:r>
        <w:t>SDQ Macro &amp; Country Risk  ·  macro</w:t>
      </w:r>
    </w:p>
    <w:p w14:paraId="77D4DF98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(readiness 0.914). Brechas menores: Datos (G1 0.79, frescura del corte IRMP) y Validación (G5 0.85, ya fuerte).</w:t>
      </w:r>
    </w:p>
    <w:p w14:paraId="3C92BBE3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643EBC12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El próximo corte de los insumos del IRMP (BCRD, DIGEPRES) — la edad del dato baja solo cuando entra el período siguiente.</w:t>
      </w:r>
    </w:p>
    <w:p w14:paraId="55C1D8C0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Más años y más países en el panel para seguir robusteciendo el backtest del índice de riesgo-país.</w:t>
      </w:r>
    </w:p>
    <w:p w14:paraId="08A53244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44861F7D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BCRD, DIGEPRES, WGI/WDI (Banco Mundial), GDELT (eventos) — operativas.</w:t>
      </w:r>
    </w:p>
    <w:p w14:paraId="6872CE82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A explorar: spreads soberanos (EMBI) con más historia; ampliar el panel LatAm/Caribe.</w:t>
      </w:r>
    </w:p>
    <w:p w14:paraId="176931BD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39A5D157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¿Cuál es la cadencia real de publicación de cada insumo IRMP, para agendar el re-sync sin falsos «stale»?</w:t>
      </w:r>
    </w:p>
    <w:p w14:paraId="295CBA7E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¿Qué países/años añaden poder estadístico sin romper la comparabilidad del panel?</w:t>
      </w:r>
    </w:p>
    <w:p w14:paraId="656B3CFA" w14:textId="77777777" w:rsidR="007D32FC" w:rsidRDefault="007D32FC">
      <w:pPr>
        <w:pBdr>
          <w:bottom w:val="single" w:sz="4" w:space="1" w:color="CCCCCC"/>
        </w:pBdr>
        <w:spacing w:after="200"/>
      </w:pPr>
    </w:p>
    <w:p w14:paraId="5E0F2E6A" w14:textId="77777777" w:rsidR="007D32FC" w:rsidRDefault="00000000">
      <w:pPr>
        <w:pStyle w:val="Heading2"/>
      </w:pPr>
      <w:r>
        <w:t>SDQ Pensiones (SIPEN)  ·  pension</w:t>
      </w:r>
    </w:p>
    <w:p w14:paraId="0774926B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(readiness 0.925). Brecha única: Validación (G5 0.50), con un cap ESTRUCTURAL — ninguna AFP ha quebrado, así que no hay evento de outcome clásico que backtestear.</w:t>
      </w:r>
    </w:p>
    <w:p w14:paraId="1E21DAA8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13CE12F6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Un PROXY de validación de outcomes medible y honesto, que NO sea la quiebra. Candidatos: rentabilidad real relativa vs benchmark, traspasos de afiliados (preferencia revelada), observaciones/sanciones regulatorias, evolución de comisiones vs desempeño, solvencia técnica.</w:t>
      </w:r>
    </w:p>
    <w:p w14:paraId="63BA161F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Definición actuarial del proxy: qué es «buen desempeño» para el afiliado y cómo se mide sin fabricar.</w:t>
      </w:r>
    </w:p>
    <w:p w14:paraId="74EF8A49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2499095C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SIPEN (boletines, estados financieros, rentabilidad por AFP) y ADAFP — operativas para el índice.</w:t>
      </w:r>
    </w:p>
    <w:p w14:paraId="1E08C50C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A explorar dentro de SIPEN: serie histórica de traspasos entre AFP; histórico de observaciones / hechos relevantes.</w:t>
      </w:r>
    </w:p>
    <w:p w14:paraId="517C20CB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2202F7DF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¿Qué outcome es relevante para el afiliado (no la quiebra) y tiene suficiente historia para un backtest defendible?</w:t>
      </w:r>
    </w:p>
    <w:p w14:paraId="66EBDD9B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¿SIPEN publica traspasos y observaciones regulatorias con la profundidad temporal necesaria?</w:t>
      </w:r>
    </w:p>
    <w:p w14:paraId="01A17AF9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Doctrina: si no hay proxy defendible, G5 se queda donde está y se declara — no se fabrica un outcome.</w:t>
      </w:r>
    </w:p>
    <w:p w14:paraId="2AF75902" w14:textId="77777777" w:rsidR="007D32FC" w:rsidRDefault="007D32FC">
      <w:pPr>
        <w:pBdr>
          <w:bottom w:val="single" w:sz="4" w:space="1" w:color="CCCCCC"/>
        </w:pBdr>
        <w:spacing w:after="200"/>
      </w:pPr>
    </w:p>
    <w:p w14:paraId="6E1E5E31" w14:textId="77777777" w:rsidR="007D32FC" w:rsidRDefault="00000000">
      <w:pPr>
        <w:pStyle w:val="Heading2"/>
      </w:pPr>
      <w:r>
        <w:t>SDQ Tourism Intelligence  ·  tourism</w:t>
      </w:r>
    </w:p>
    <w:p w14:paraId="1E10798C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(readiness 0.870 · 8/10 variables reales: 6 per-sector + 2 nacional). Brechas: Datos (G1 0.82, 2 variables aún en rúbrica) y Validación (G5 0.50, Gate E sectorial).</w:t>
      </w:r>
    </w:p>
    <w:p w14:paraId="7913B5C4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04310C1B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Clima de negocios POR SECTOR (variable ease_of_business): tiempos y costos de permisos, apertura de empresa, carga regulatoria — idealmente desagregado por sector económico.</w:t>
      </w:r>
    </w:p>
    <w:p w14:paraId="68AA0A80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Competencias / talento POR SECTOR (variable skills_index): nivel de calificación de la fuerza laboral y brechas de habilidades por rama.</w:t>
      </w:r>
    </w:p>
    <w:p w14:paraId="5E61AE29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Para G5: re-correr el Gate E sectorial con la varianza real que aporta la rentabilidad ENAE ya cableada (puede pasar de nulo a señal).</w:t>
      </w:r>
    </w:p>
    <w:p w14:paraId="646336AE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4D359E9B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ease_of_business → B-READY (Banco Mundial, sucesor de Doing Business); encuesta de expectativas/clima empresarial del BCRD; CONEP / AmCham; ProDominicana y Ventanilla Única de Inversión (tiempos de permisos).</w:t>
      </w:r>
    </w:p>
    <w:p w14:paraId="1D1281A5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skills_index → módulo de detección de necesidades de habilidades de la ENAE 2024 (ONE); INFOTEP (formación técnica por rama); MESCyT (egresados por área); ENCFT (nivel educativo de ocupados por rama).</w:t>
      </w:r>
    </w:p>
    <w:p w14:paraId="6A04488B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415FDFC7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¿Alguna de estas fuentes desagrega por sector económico, o solo da el agregado nacional?</w:t>
      </w:r>
    </w:p>
    <w:p w14:paraId="1618A29F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¿Cobertura de los 17 sectores o real-con-fallback por sector? ¿Cadencia y formato (Excel/PDF/API)?</w:t>
      </w:r>
    </w:p>
    <w:p w14:paraId="4A23729F" w14:textId="77777777" w:rsidR="007D32FC" w:rsidRDefault="007D32FC">
      <w:pPr>
        <w:pBdr>
          <w:bottom w:val="single" w:sz="4" w:space="1" w:color="CCCCCC"/>
        </w:pBdr>
        <w:spacing w:after="200"/>
      </w:pPr>
    </w:p>
    <w:p w14:paraId="4CF114D4" w14:textId="77777777" w:rsidR="007D32FC" w:rsidRDefault="00000000">
      <w:pPr>
        <w:pStyle w:val="Heading2"/>
      </w:pPr>
      <w:r>
        <w:t>SDQ Free Zones &amp; Manufacturing  ·  free_zones</w:t>
      </w:r>
    </w:p>
    <w:p w14:paraId="57B8E567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(readiness 0.870 · 8/10 reales). Misma brecha que turismo: las 2 variables en rúbrica + Gate E. Nota: la rentabilidad ENAE entra vía el bundle de manufactura (proxy declarado; la ENAE no separa zonas francas).</w:t>
      </w:r>
    </w:p>
    <w:p w14:paraId="6B4578D5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63396A1B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Las mismas dos variables per-sector que turismo (clima de negocios y competencias).</w:t>
      </w:r>
    </w:p>
    <w:p w14:paraId="2CA868D9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Opcional/profundidad: dato financiero específico de zonas francas, hoy reportado por CNZFE aparte del marco ENAE.</w:t>
      </w:r>
    </w:p>
    <w:p w14:paraId="53CB1AE8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31D41A76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Las mismas que turismo para negocios y competencias.</w:t>
      </w:r>
    </w:p>
    <w:p w14:paraId="3107F516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Específico ZF → CNZFE (Consejo Nacional de Zonas Francas): informe estadístico anual (empleo, exportaciones, inversión por parque/actividad).</w:t>
      </w:r>
    </w:p>
    <w:p w14:paraId="19522D21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009A0031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¿El informe CNZFE permite derivar una rentabilidad/desempeño propio de ZF, mejor que el proxy de manufactura?</w:t>
      </w:r>
    </w:p>
    <w:p w14:paraId="2F0609EE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¿Vale separar zonas_francas de manufactura_local con dato CNZFE en vez del bundle?</w:t>
      </w:r>
    </w:p>
    <w:p w14:paraId="15B7B6CC" w14:textId="77777777" w:rsidR="007D32FC" w:rsidRDefault="007D32FC">
      <w:pPr>
        <w:pBdr>
          <w:bottom w:val="single" w:sz="4" w:space="1" w:color="CCCCCC"/>
        </w:pBdr>
        <w:spacing w:after="200"/>
      </w:pPr>
    </w:p>
    <w:p w14:paraId="43EC6C17" w14:textId="77777777" w:rsidR="007D32FC" w:rsidRDefault="00000000">
      <w:pPr>
        <w:pStyle w:val="Heading2"/>
      </w:pPr>
      <w:r>
        <w:t>SDQ Construction &amp; Real Estate  ·  construction</w:t>
      </w:r>
    </w:p>
    <w:p w14:paraId="5FFB847C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(readiness 0.870 · 8/10 reales). Misma brecha sectorial: 2 variables en rúbrica + Gate E.</w:t>
      </w:r>
    </w:p>
    <w:p w14:paraId="4F166E46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2A915C7B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Las mismas dos variables per-sector (clima de negocios y competencias).</w:t>
      </w:r>
    </w:p>
    <w:p w14:paraId="2595A77D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Opcional/profundidad: costos de construcción e índice de precios de la vivienda, para enriquecer el atractivo del sector.</w:t>
      </w:r>
    </w:p>
    <w:p w14:paraId="794720DA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38C43F1C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Las mismas que turismo para negocios y competencias.</w:t>
      </w:r>
    </w:p>
    <w:p w14:paraId="5BB5EF02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Específico → ADOCEM (cemento, proxy de actividad), BCRD (índice de costos de construcción / crédito hipotecario), ONE (permisos de construcción).</w:t>
      </w:r>
    </w:p>
    <w:p w14:paraId="6D9F17C2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0B5F6D3C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¿Hay un índice de costos o de precios de vivienda con cadencia y cobertura usable?</w:t>
      </w:r>
    </w:p>
    <w:p w14:paraId="66EE3EBB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¿Los permisos de construcción de la ONE diferencian por tipo/región de forma estructurada?</w:t>
      </w:r>
    </w:p>
    <w:p w14:paraId="5CE98504" w14:textId="77777777" w:rsidR="007D32FC" w:rsidRDefault="007D32FC">
      <w:pPr>
        <w:pBdr>
          <w:bottom w:val="single" w:sz="4" w:space="1" w:color="CCCCCC"/>
        </w:pBdr>
        <w:spacing w:after="200"/>
      </w:pPr>
    </w:p>
    <w:p w14:paraId="05A0D8AD" w14:textId="77777777" w:rsidR="007D32FC" w:rsidRDefault="00000000">
      <w:pPr>
        <w:pStyle w:val="Heading2"/>
      </w:pPr>
      <w:r>
        <w:t>SDQ Agribusiness  ·  agribusiness</w:t>
      </w:r>
    </w:p>
    <w:p w14:paraId="06A51FBF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Full (readiness 0.858 · 7/9 reales: 5 per-sector + 2 nacional). CRUZA apoyado más en señal nacional: el agropecuario está FUERA del marco ENAE, así que le falta —además de las 2 rúbricas sectoriales— la rentabilidad per-sector que sí tienen turismo/construcción.</w:t>
      </w:r>
    </w:p>
    <w:p w14:paraId="07BF8D06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5A91E037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Una fuente financiera / de rentabilidad del sector agropecuario (margen, costos, ingresos) que sustituya la ausencia de ENAE — esto es lo que lo movería de «cruza por señal nacional» a «cruza por profundidad real».</w:t>
      </w:r>
    </w:p>
    <w:p w14:paraId="2953914C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Las mismas dos variables sectoriales en rúbrica (clima de negocios, competencias).</w:t>
      </w:r>
    </w:p>
    <w:p w14:paraId="05F9D8FE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5D064D95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Rentabilidad/financiero agro → Banco Agrícola (cartera y desempeño del sector), Ministerio de Agricultura (cuentas y costos de producción por rubro), JAD (Junta Agroempresarial Dominicana), IICA/CEPAL agro.</w:t>
      </w:r>
    </w:p>
    <w:p w14:paraId="55DB27A4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Producción/precios → Encuesta/Registro agropecuario de la ONE o Agricultura, si publican costos por rubro.</w:t>
      </w:r>
    </w:p>
    <w:p w14:paraId="538CA89A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562CF69C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¿Existe una fuente de rentabilidad o márgenes del agro comparable en estructura a la ENAE?</w:t>
      </w:r>
    </w:p>
    <w:p w14:paraId="15FD9046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¿Banco Agrícola o el Ministerio publican costos/ingresos por rubro de forma estructurada y con cadencia?</w:t>
      </w:r>
    </w:p>
    <w:p w14:paraId="3B94797D" w14:textId="77777777" w:rsidR="007D32FC" w:rsidRDefault="007D32FC">
      <w:pPr>
        <w:pBdr>
          <w:bottom w:val="single" w:sz="4" w:space="1" w:color="CCCCCC"/>
        </w:pBdr>
        <w:spacing w:after="200"/>
      </w:pPr>
    </w:p>
    <w:p w14:paraId="4A0582C2" w14:textId="77777777" w:rsidR="007D32FC" w:rsidRDefault="00000000">
      <w:pPr>
        <w:pStyle w:val="Heading2"/>
      </w:pPr>
      <w:r>
        <w:t>SDQ Energy Intelligence  ·  energy</w:t>
      </w:r>
    </w:p>
    <w:p w14:paraId="507617DB" w14:textId="77777777" w:rsidR="007D32FC" w:rsidRDefault="00000000">
      <w:pPr>
        <w:spacing w:after="100"/>
      </w:pPr>
      <w:r>
        <w:rPr>
          <w:b/>
          <w:bCs/>
          <w:color w:val="1B2A4A"/>
        </w:rPr>
        <w:lastRenderedPageBreak/>
        <w:t xml:space="preserve">Estado: </w:t>
      </w:r>
      <w:r>
        <w:t>Solo Pulse (readiness 0.812). Brechas: Datos (G1 0.65, dimensión de transición faltante) y Validación (G5 0.45, preliminar). NO cruza Insight/Deep.</w:t>
      </w:r>
    </w:p>
    <w:p w14:paraId="5D7DFC0E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453B9A93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La serie de TRANSICIÓN energética que falta en la matriz del índice: participación renovable en la matriz, emisiones del sector eléctrico, capacidad instalada por fuente, pérdidas del sistema, cumplimiento de metas (Pacto Eléctrico, Ley 57-07).</w:t>
      </w:r>
    </w:p>
    <w:p w14:paraId="1AA5CC0D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Outcomes del sector para el backtest: déficit/apagones, pérdidas técnicas y no técnicas, recuperación de efectivo.</w:t>
      </w:r>
    </w:p>
    <w:p w14:paraId="6591CF9C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25D6790D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Organismo Coordinador del SENI (despacho y generación por fuente), CNE — Comisión Nacional de Energía (plan energético, renovables), SIE — Superintendencia de Electricidad, MEM — Ministerio de Energía y Minas.</w:t>
      </w:r>
    </w:p>
    <w:p w14:paraId="2FEEB859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Ember (mix eléctrico nacional) — ya operativa como cruce.</w:t>
      </w:r>
    </w:p>
    <w:p w14:paraId="7422F2E3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7BCCF662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¿Qué serie de transición es pública y con qué cadencia (mensual del OC, anual del MEM)?</w:t>
      </w:r>
    </w:p>
    <w:p w14:paraId="0114FA7A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¿El Organismo Coordinador publica generación por fuente en formato descargable?</w:t>
      </w:r>
    </w:p>
    <w:p w14:paraId="1CD9CAF4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¿Qué outcome del sector eléctrico (pérdidas, déficit) sirve para el backtest?</w:t>
      </w:r>
    </w:p>
    <w:p w14:paraId="6A4BA1B2" w14:textId="77777777" w:rsidR="007D32FC" w:rsidRDefault="007D32FC">
      <w:pPr>
        <w:pBdr>
          <w:bottom w:val="single" w:sz="4" w:space="1" w:color="CCCCCC"/>
        </w:pBdr>
        <w:spacing w:after="200"/>
      </w:pPr>
    </w:p>
    <w:p w14:paraId="728711B3" w14:textId="77777777" w:rsidR="007D32FC" w:rsidRDefault="00000000">
      <w:pPr>
        <w:pStyle w:val="Heading2"/>
      </w:pPr>
      <w:r>
        <w:t>SDQ Telecom Intelligence  ·  telecom</w:t>
      </w:r>
    </w:p>
    <w:p w14:paraId="42BEF511" w14:textId="77777777" w:rsidR="007D32FC" w:rsidRDefault="00000000">
      <w:pPr>
        <w:spacing w:after="100"/>
      </w:pPr>
      <w:r>
        <w:rPr>
          <w:b/>
          <w:bCs/>
          <w:color w:val="1B2A4A"/>
        </w:rPr>
        <w:t xml:space="preserve">Estado: </w:t>
      </w:r>
      <w:r>
        <w:t>BLOQUEADO — no publica ningún nivel (readiness 0.632). Brecha #1 de toda la plataforma: Datos (G1 = 0), el dato INDOTEL está congelado en 2022-Q1 (≈1.553 días).</w:t>
      </w:r>
    </w:p>
    <w:p w14:paraId="32CC5C60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Información que necesitamos</w:t>
      </w:r>
    </w:p>
    <w:p w14:paraId="6500A87D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El boletín estadístico trimestral VIGENTE de INDOTEL: penetración móvil y fija, banda ancha, cuentas, tráfico e ingresos del sector. Es casi puro problema de ingesta, no de método.</w:t>
      </w:r>
    </w:p>
    <w:p w14:paraId="654CA68A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Entender por qué se cortó la ingesta en 2022-Q1 (¿cambio de URL, de formato o de portal?).</w:t>
      </w:r>
    </w:p>
    <w:p w14:paraId="489DE1E3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Fuentes candidatas a investigar</w:t>
      </w:r>
    </w:p>
    <w:p w14:paraId="6BEF8E90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INDOTEL — portal de estadísticas / boletines trimestrales (la fuente ya conocida).</w:t>
      </w:r>
    </w:p>
    <w:p w14:paraId="603D26FE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ITU (Unión Internacional de Telecomunicaciones) — datos de RD como cruce / fallback.</w:t>
      </w:r>
    </w:p>
    <w:p w14:paraId="250DC1B5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Preguntas para arrancar la investigación</w:t>
      </w:r>
    </w:p>
    <w:p w14:paraId="1BCCF1A8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¿Está publicada la serie reciente 2022–2026 y en qué formato (PDF, Excel, API)?</w:t>
      </w:r>
    </w:p>
    <w:p w14:paraId="205F76A7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¿El corte se debió a un cambio de portal/formato de INDOTEL? — de ahí sale el arreglo del conector.</w:t>
      </w:r>
    </w:p>
    <w:p w14:paraId="09579620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Es la palanca de mayor retorno: cerrarla pasa telecom de 0.632 a publicable.</w:t>
      </w:r>
    </w:p>
    <w:p w14:paraId="0026F89C" w14:textId="77777777" w:rsidR="007D32FC" w:rsidRDefault="007D32FC">
      <w:pPr>
        <w:pBdr>
          <w:bottom w:val="single" w:sz="4" w:space="1" w:color="CCCCCC"/>
        </w:pBdr>
        <w:spacing w:after="200"/>
      </w:pPr>
    </w:p>
    <w:p w14:paraId="721C27E0" w14:textId="77777777" w:rsidR="007D32FC" w:rsidRDefault="00000000">
      <w:pPr>
        <w:pStyle w:val="Heading1"/>
        <w:pageBreakBefore/>
      </w:pPr>
      <w:r>
        <w:lastRenderedPageBreak/>
        <w:t>5 · De informe a operación: cómo esto se vuelve automático</w:t>
      </w:r>
    </w:p>
    <w:p w14:paraId="3D32A6DA" w14:textId="77777777" w:rsidR="007D32FC" w:rsidRDefault="00000000">
      <w:pPr>
        <w:spacing w:after="120"/>
      </w:pPr>
      <w:r>
        <w:t xml:space="preserve">Este brief es la v0 manual de una </w:t>
      </w:r>
      <w:r>
        <w:rPr>
          <w:b/>
          <w:bCs/>
        </w:rPr>
        <w:t>operación recurrente de descubrimiento de fuentes</w:t>
      </w:r>
      <w:r>
        <w:t xml:space="preserve"> (la «Capa 3» del lazo de auto-mejora). El objetivo es sacar al programador del lazo mecánico: que el sistema se mantenga y mejore solo, proponiendo, mientras la decisión queda en manos del dueño.</w:t>
      </w:r>
    </w:p>
    <w:p w14:paraId="5B37BF40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Cómo operaría</w:t>
      </w:r>
    </w:p>
    <w:p w14:paraId="04B0F416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Lee, por eje, las brechas vivas del Readiness Audit (el mismo endpoint que alimenta este informe).</w:t>
      </w:r>
    </w:p>
    <w:p w14:paraId="1390B0CF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Por cada variable en rúbrica o fuente stale, ejecuta una búsqueda y evaluación de fuentes candidatas contra los criterios de aceptación.</w:t>
      </w:r>
    </w:p>
    <w:p w14:paraId="30DBAD3F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Redacta una ficha de evaluación de fuente (cobertura, cadencia, formato, licencia, gate que cierra) para revisión.</w:t>
      </w:r>
    </w:p>
    <w:p w14:paraId="76921EA1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Regenera este documento de forma agendada, mostrando qué cambió y qué fuentes nuevas aparecieron.</w:t>
      </w:r>
    </w:p>
    <w:p w14:paraId="5EADF109" w14:textId="77777777" w:rsidR="007D32FC" w:rsidRDefault="00000000">
      <w:pPr>
        <w:spacing w:before="120" w:after="60"/>
      </w:pPr>
      <w:r>
        <w:rPr>
          <w:b/>
          <w:bCs/>
          <w:color w:val="C8102E"/>
          <w:sz w:val="22"/>
          <w:szCs w:val="22"/>
        </w:rPr>
        <w:t>Lo que permanece humano (a propósito)</w:t>
      </w:r>
    </w:p>
    <w:p w14:paraId="5204CB59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Aceptar una fuente nueva y las decisiones de metodología — criterio del dueño.</w:t>
      </w:r>
    </w:p>
    <w:p w14:paraId="1CF9F073" w14:textId="77777777" w:rsidR="007D32FC" w:rsidRDefault="00000000">
      <w:pPr>
        <w:pStyle w:val="ListParagraph"/>
        <w:numPr>
          <w:ilvl w:val="0"/>
          <w:numId w:val="2"/>
        </w:numPr>
        <w:spacing w:after="60"/>
      </w:pPr>
      <w:r>
        <w:t>Activar un producto al público — siempre decisión manual.</w:t>
      </w:r>
    </w:p>
    <w:p w14:paraId="3B8A1A75" w14:textId="77777777" w:rsidR="007D32FC" w:rsidRDefault="00000000">
      <w:pPr>
        <w:spacing w:after="120"/>
      </w:pPr>
      <w:r>
        <w:rPr>
          <w:b/>
          <w:bCs/>
          <w:color w:val="1B2A4A"/>
        </w:rPr>
        <w:t xml:space="preserve">El sistema propone; el dueño dispone. </w:t>
      </w:r>
      <w:r>
        <w:t>La automatización elimina el trabajo mecánico de detectar, disparar y re-calcular, no el juicio.</w:t>
      </w:r>
    </w:p>
    <w:sectPr w:rsidR="007D32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B2D9A7" w14:textId="77777777" w:rsidR="00325DB7" w:rsidRDefault="00325DB7">
      <w:r>
        <w:separator/>
      </w:r>
    </w:p>
  </w:endnote>
  <w:endnote w:type="continuationSeparator" w:id="0">
    <w:p w14:paraId="54D95D90" w14:textId="77777777" w:rsidR="00325DB7" w:rsidRDefault="00325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75A966" w14:textId="77777777" w:rsidR="007D32FC" w:rsidRDefault="00000000">
    <w:pP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83462E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  <w:r>
      <w:rPr>
        <w:color w:val="5A6472"/>
        <w:sz w:val="16"/>
        <w:szCs w:val="16"/>
      </w:rPr>
      <w:t xml:space="preserve"> · Confidencial — SDQ Consulting Group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2DF466" w14:textId="77777777" w:rsidR="00325DB7" w:rsidRDefault="00325DB7">
      <w:r>
        <w:separator/>
      </w:r>
    </w:p>
  </w:footnote>
  <w:footnote w:type="continuationSeparator" w:id="0">
    <w:p w14:paraId="5ACA0024" w14:textId="77777777" w:rsidR="00325DB7" w:rsidRDefault="00325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B68F1B" w14:textId="77777777" w:rsidR="007D32FC" w:rsidRDefault="00000000">
    <w:pPr>
      <w:jc w:val="right"/>
    </w:pPr>
    <w:r>
      <w:rPr>
        <w:color w:val="5A6472"/>
        <w:sz w:val="16"/>
        <w:szCs w:val="16"/>
      </w:rPr>
      <w:t>SDQ·MIP — Brief de Investigación de Fuentes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7A20EE"/>
    <w:multiLevelType w:val="hybridMultilevel"/>
    <w:tmpl w:val="21B6C8B0"/>
    <w:lvl w:ilvl="0" w:tplc="ABD228FA">
      <w:start w:val="1"/>
      <w:numFmt w:val="bullet"/>
      <w:lvlText w:val="•"/>
      <w:lvlJc w:val="left"/>
      <w:pPr>
        <w:ind w:left="540" w:hanging="280"/>
      </w:pPr>
    </w:lvl>
    <w:lvl w:ilvl="1" w:tplc="776265B8">
      <w:numFmt w:val="decimal"/>
      <w:lvlText w:val=""/>
      <w:lvlJc w:val="left"/>
    </w:lvl>
    <w:lvl w:ilvl="2" w:tplc="B4DE3C52">
      <w:numFmt w:val="decimal"/>
      <w:lvlText w:val=""/>
      <w:lvlJc w:val="left"/>
    </w:lvl>
    <w:lvl w:ilvl="3" w:tplc="762E2248">
      <w:numFmt w:val="decimal"/>
      <w:lvlText w:val=""/>
      <w:lvlJc w:val="left"/>
    </w:lvl>
    <w:lvl w:ilvl="4" w:tplc="AFF83E1C">
      <w:numFmt w:val="decimal"/>
      <w:lvlText w:val=""/>
      <w:lvlJc w:val="left"/>
    </w:lvl>
    <w:lvl w:ilvl="5" w:tplc="3D846B08">
      <w:numFmt w:val="decimal"/>
      <w:lvlText w:val=""/>
      <w:lvlJc w:val="left"/>
    </w:lvl>
    <w:lvl w:ilvl="6" w:tplc="9990C0AE">
      <w:numFmt w:val="decimal"/>
      <w:lvlText w:val=""/>
      <w:lvlJc w:val="left"/>
    </w:lvl>
    <w:lvl w:ilvl="7" w:tplc="69F2E5C4">
      <w:numFmt w:val="decimal"/>
      <w:lvlText w:val=""/>
      <w:lvlJc w:val="left"/>
    </w:lvl>
    <w:lvl w:ilvl="8" w:tplc="3468CE5E">
      <w:numFmt w:val="decimal"/>
      <w:lvlText w:val=""/>
      <w:lvlJc w:val="left"/>
    </w:lvl>
  </w:abstractNum>
  <w:abstractNum w:abstractNumId="1" w15:restartNumberingAfterBreak="0">
    <w:nsid w:val="65884EFE"/>
    <w:multiLevelType w:val="hybridMultilevel"/>
    <w:tmpl w:val="67FC978A"/>
    <w:lvl w:ilvl="0" w:tplc="1BE43B0E">
      <w:start w:val="1"/>
      <w:numFmt w:val="bullet"/>
      <w:lvlText w:val="●"/>
      <w:lvlJc w:val="left"/>
      <w:pPr>
        <w:ind w:left="720" w:hanging="360"/>
      </w:pPr>
    </w:lvl>
    <w:lvl w:ilvl="1" w:tplc="DF6845A6">
      <w:start w:val="1"/>
      <w:numFmt w:val="bullet"/>
      <w:lvlText w:val="○"/>
      <w:lvlJc w:val="left"/>
      <w:pPr>
        <w:ind w:left="1440" w:hanging="360"/>
      </w:pPr>
    </w:lvl>
    <w:lvl w:ilvl="2" w:tplc="7E66AAD4">
      <w:start w:val="1"/>
      <w:numFmt w:val="bullet"/>
      <w:lvlText w:val="■"/>
      <w:lvlJc w:val="left"/>
      <w:pPr>
        <w:ind w:left="2160" w:hanging="360"/>
      </w:pPr>
    </w:lvl>
    <w:lvl w:ilvl="3" w:tplc="12DE4E12">
      <w:start w:val="1"/>
      <w:numFmt w:val="bullet"/>
      <w:lvlText w:val="●"/>
      <w:lvlJc w:val="left"/>
      <w:pPr>
        <w:ind w:left="2880" w:hanging="360"/>
      </w:pPr>
    </w:lvl>
    <w:lvl w:ilvl="4" w:tplc="86AA8FD8">
      <w:start w:val="1"/>
      <w:numFmt w:val="bullet"/>
      <w:lvlText w:val="○"/>
      <w:lvlJc w:val="left"/>
      <w:pPr>
        <w:ind w:left="3600" w:hanging="360"/>
      </w:pPr>
    </w:lvl>
    <w:lvl w:ilvl="5" w:tplc="C3FC2D88">
      <w:start w:val="1"/>
      <w:numFmt w:val="bullet"/>
      <w:lvlText w:val="■"/>
      <w:lvlJc w:val="left"/>
      <w:pPr>
        <w:ind w:left="4320" w:hanging="360"/>
      </w:pPr>
    </w:lvl>
    <w:lvl w:ilvl="6" w:tplc="0F520130">
      <w:start w:val="1"/>
      <w:numFmt w:val="bullet"/>
      <w:lvlText w:val="●"/>
      <w:lvlJc w:val="left"/>
      <w:pPr>
        <w:ind w:left="5040" w:hanging="360"/>
      </w:pPr>
    </w:lvl>
    <w:lvl w:ilvl="7" w:tplc="FB70886A">
      <w:start w:val="1"/>
      <w:numFmt w:val="bullet"/>
      <w:lvlText w:val="●"/>
      <w:lvlJc w:val="left"/>
      <w:pPr>
        <w:ind w:left="5760" w:hanging="360"/>
      </w:pPr>
    </w:lvl>
    <w:lvl w:ilvl="8" w:tplc="F410BDBA">
      <w:start w:val="1"/>
      <w:numFmt w:val="bullet"/>
      <w:lvlText w:val="●"/>
      <w:lvlJc w:val="left"/>
      <w:pPr>
        <w:ind w:left="6480" w:hanging="360"/>
      </w:pPr>
    </w:lvl>
  </w:abstractNum>
  <w:num w:numId="1" w16cid:durableId="686097887">
    <w:abstractNumId w:val="1"/>
    <w:lvlOverride w:ilvl="0">
      <w:startOverride w:val="1"/>
    </w:lvlOverride>
  </w:num>
  <w:num w:numId="2" w16cid:durableId="1641155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FC"/>
    <w:rsid w:val="00325DB7"/>
    <w:rsid w:val="007D32FC"/>
    <w:rsid w:val="0083462E"/>
    <w:rsid w:val="00D4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CEC6B"/>
  <w15:docId w15:val="{31ACDDDF-BAC8-C543-8833-0A4227AB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D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5DCE6"/>
      </w:pBdr>
      <w:spacing w:before="280" w:after="16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B2A4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2279</Words>
  <Characters>12991</Characters>
  <Application>Microsoft Office Word</Application>
  <DocSecurity>0</DocSecurity>
  <Lines>108</Lines>
  <Paragraphs>30</Paragraphs>
  <ScaleCrop>false</ScaleCrop>
  <Company/>
  <LinksUpToDate>false</LinksUpToDate>
  <CharactersWithSpaces>15240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Mercado</cp:lastModifiedBy>
  <cp:revision>2</cp:revision>
  <dcterms:created xsi:type="dcterms:W3CDTF">2026-06-28T20:08:00Z</dcterms:created>
  <dcterms:modified xsi:type="dcterms:W3CDTF">2026-06-28T20:08:00Z</dcterms:modified>
</cp:coreProperties>
</file>