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55" w:type="dxa"/>
        <w:tblInd w:w="-615" w:type="dxa"/>
        <w:tblLayout w:type="fixed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1658"/>
        <w:gridCol w:w="1671"/>
        <w:gridCol w:w="1673"/>
        <w:gridCol w:w="1657"/>
        <w:gridCol w:w="4096"/>
      </w:tblGrid>
      <w:tr w14:paraId="32B157A0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665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8F2C1E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Nombre del Use Case: Modificar Cliente</w:t>
            </w:r>
          </w:p>
        </w:tc>
        <w:tc>
          <w:tcPr>
            <w:tcW w:w="40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C9E1E5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Nº de orden: UC-003.1</w:t>
            </w:r>
          </w:p>
        </w:tc>
      </w:tr>
      <w:tr w14:paraId="7C7CF243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33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EBA8E1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Prioridad                        Alta</w:t>
            </w:r>
            <w:r>
              <w:rPr>
                <w:rFonts w:eastAsia="Aptos"/>
                <w:kern w:val="0"/>
                <w:sz w:val="24"/>
                <w:szCs w:val="24"/>
                <w:lang w:val="es-ES" w:eastAsia="en-US" w:bidi="ar-SA"/>
              </w:rPr>
              <w:drawing>
                <wp:inline distT="0" distB="0" distL="0" distR="0">
                  <wp:extent cx="142875" cy="95250"/>
                  <wp:effectExtent l="0" t="0" r="9525" b="11430"/>
                  <wp:docPr id="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FE1F48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                Media</w:t>
            </w:r>
          </w:p>
        </w:tc>
        <w:tc>
          <w:tcPr>
            <w:tcW w:w="40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4D4128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Baja</w:t>
            </w:r>
          </w:p>
        </w:tc>
      </w:tr>
      <w:tr w14:paraId="5364151D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33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06FA5F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Complejidad                  Alta</w:t>
            </w:r>
          </w:p>
        </w:tc>
        <w:tc>
          <w:tcPr>
            <w:tcW w:w="333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76F878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                Media     </w:t>
            </w:r>
            <w:r>
              <w:rPr>
                <w:rFonts w:eastAsia="Aptos"/>
                <w:kern w:val="0"/>
                <w:sz w:val="24"/>
                <w:szCs w:val="24"/>
                <w:lang w:val="es-ES" w:eastAsia="en-US" w:bidi="ar-SA"/>
              </w:rPr>
              <w:drawing>
                <wp:inline distT="0" distB="0" distL="0" distR="0">
                  <wp:extent cx="142875" cy="9525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BE14CE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Baja</w:t>
            </w:r>
          </w:p>
        </w:tc>
      </w:tr>
      <w:tr w14:paraId="18101C15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500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ACD498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Actor principal: Personal de Administración / Vendedor con permisos elevados.</w:t>
            </w:r>
          </w:p>
        </w:tc>
        <w:tc>
          <w:tcPr>
            <w:tcW w:w="575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CEBE42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Actor secundario: -</w:t>
            </w:r>
          </w:p>
        </w:tc>
      </w:tr>
      <w:tr w14:paraId="44938B86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55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4639C9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Tipo de Use Case                  Concreto     </w:t>
            </w:r>
            <w:r>
              <w:rPr>
                <w:rFonts w:eastAsia="Aptos"/>
                <w:kern w:val="0"/>
                <w:sz w:val="24"/>
                <w:szCs w:val="24"/>
                <w:lang w:val="es-ES" w:eastAsia="en-US" w:bidi="ar-SA"/>
              </w:rPr>
              <w:drawing>
                <wp:inline distT="0" distB="0" distL="0" distR="0">
                  <wp:extent cx="142875" cy="9525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       Abstracto</w:t>
            </w:r>
          </w:p>
        </w:tc>
      </w:tr>
      <w:tr w14:paraId="29D9866F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55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1F7A22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Objetivo: Actualizar la información de un cliente existente, aplicando restricciones de inmutabilidad sobre datos fiscales si el cliente posee historial transaccional.</w:t>
            </w:r>
          </w:p>
        </w:tc>
      </w:tr>
      <w:tr w14:paraId="48A87A16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55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DCEEE5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Precondiciones: 1. El actor debe tener rol autorizado. </w:t>
            </w:r>
            <w:r>
              <w:rPr>
                <w:rFonts w:eastAsia="Aptos"/>
                <w:kern w:val="0"/>
                <w:sz w:val="24"/>
                <w:szCs w:val="24"/>
                <w:lang w:val="es-ES" w:eastAsia="en-US" w:bidi="ar-SA"/>
              </w:rPr>
              <w:br w:type="textWrapping"/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                           2. El cliente debe existir en el sistema.</w:t>
            </w:r>
          </w:p>
        </w:tc>
      </w:tr>
      <w:tr w14:paraId="59BAF311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658" w:type="dxa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889F747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Post- condiciones</w:t>
            </w:r>
          </w:p>
        </w:tc>
        <w:tc>
          <w:tcPr>
            <w:tcW w:w="9097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357CE5">
            <w:pPr>
              <w:widowControl w:val="0"/>
              <w:spacing w:before="0" w:after="0" w:line="288" w:lineRule="auto"/>
              <w:ind w:left="720" w:hanging="7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Éxito: Datos del cliente actualizados en el sistema.</w:t>
            </w:r>
          </w:p>
        </w:tc>
      </w:tr>
      <w:tr w14:paraId="14E40CA7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658" w:type="dxa"/>
            <w:vMerge w:val="continue"/>
            <w:tcBorders>
              <w:left w:val="single" w:color="000000" w:sz="6" w:space="0"/>
            </w:tcBorders>
            <w:tcMar>
              <w:left w:w="108" w:type="dxa"/>
              <w:right w:w="108" w:type="dxa"/>
            </w:tcMar>
            <w:vAlign w:val="center"/>
          </w:tcPr>
          <w:p w14:paraId="46942B15">
            <w:pPr>
              <w:widowControl/>
              <w:spacing w:before="0" w:after="160" w:line="278" w:lineRule="auto"/>
              <w:jc w:val="left"/>
              <w:rPr>
                <w:rFonts w:ascii="Aptos" w:hAnsi="Aptos" w:eastAsia="Aptos"/>
                <w:kern w:val="0"/>
                <w:sz w:val="24"/>
                <w:szCs w:val="24"/>
                <w:lang w:val="es-ES" w:eastAsia="en-US" w:bidi="ar-SA"/>
              </w:rPr>
            </w:pPr>
          </w:p>
        </w:tc>
        <w:tc>
          <w:tcPr>
            <w:tcW w:w="9097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7C0522">
            <w:pPr>
              <w:widowControl w:val="0"/>
              <w:spacing w:before="0" w:after="0" w:line="288" w:lineRule="auto"/>
              <w:ind w:left="720" w:hanging="7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Fracaso: Se rechaza la modificación por violación de integridad fiscal o datos inválidos.</w:t>
            </w:r>
          </w:p>
        </w:tc>
      </w:tr>
      <w:tr w14:paraId="451B0D23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500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D6BA42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Curso Normal</w:t>
            </w:r>
          </w:p>
        </w:tc>
        <w:tc>
          <w:tcPr>
            <w:tcW w:w="575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05CAA2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Curso Alternativo</w:t>
            </w:r>
          </w:p>
        </w:tc>
      </w:tr>
      <w:tr w14:paraId="3E0220C1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780" w:hRule="atLeast"/>
        </w:trPr>
        <w:tc>
          <w:tcPr>
            <w:tcW w:w="500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471DF5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1. El actor selecciona la opción "Modificar Cliente".</w:t>
            </w:r>
          </w:p>
          <w:p w14:paraId="47C2E110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2. El sistema ejecuta el caso de uso incluido 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"Consultar Cliente"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(búsqueda por DNI/CUIT o Nombre).</w:t>
            </w:r>
          </w:p>
          <w:p w14:paraId="75F419A0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3. El actor selecciona al cliente deseado de los resultados.</w:t>
            </w:r>
          </w:p>
          <w:p w14:paraId="489D5032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4. El sistema evalúa el historial del cliente. El cliente 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no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posee facturas emitidas ni deudas activas.</w:t>
            </w:r>
          </w:p>
          <w:p w14:paraId="10FC2ECF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3376791C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5B07BAE8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374F777B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48F33A0F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3CAC2CA7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2AE53FD0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1B32AA6F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5C5CBB47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5. El sistema despliega el formulario con todos los datos actuales habilitados para edición.</w:t>
            </w:r>
          </w:p>
          <w:p w14:paraId="6B2AEC9A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6. El actor modifica los datos requeridos (ej. Domicilio, Posición Fiscal) y selecciona "Guardar".</w:t>
            </w:r>
          </w:p>
          <w:p w14:paraId="61E4FDD6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26192864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3417F94B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4062CF6A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2922CCC0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478AA9E8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5A59D6D8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6B89274D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2F4FA25B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1F315FC2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37FC6962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35C26774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7. El sistema valida los formatos de los nuevos datos.</w:t>
            </w:r>
          </w:p>
          <w:p w14:paraId="783025E8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60F7A740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34B2801F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3BE5DA24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70C39E50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15259F88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8. El sistema persiste los cambios en la base de datos.</w:t>
            </w:r>
          </w:p>
          <w:p w14:paraId="07734163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9. El sistema emite un mensaje de actualización exitosa.</w:t>
            </w:r>
          </w:p>
          <w:p w14:paraId="494334C2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303C6761">
            <w:pPr>
              <w:widowControl w:val="0"/>
              <w:spacing w:before="0" w:after="0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10. Fin del UC</w:t>
            </w:r>
          </w:p>
        </w:tc>
        <w:tc>
          <w:tcPr>
            <w:tcW w:w="575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930697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  <w:p w14:paraId="4DEBC7C3">
            <w:pPr>
              <w:widowControl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30CF5CDA">
            <w:pPr>
              <w:widowControl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3B1249E2">
            <w:pPr>
              <w:widowControl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03773173">
            <w:pPr>
              <w:widowControl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31545F2E">
            <w:pPr>
              <w:widowControl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0120693B">
            <w:pPr>
              <w:widowControl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4.1 El cliente YA posee facturas emitidas, historial de créditos o stock asociado.</w:t>
            </w:r>
          </w:p>
          <w:p w14:paraId="1338AFFF">
            <w:pPr>
              <w:widowControl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4.1.1 El sistema despliega el formulario, pero bloquea (modo solo lectura) los campos de DNI/CUIT y Posición Fiscal.</w:t>
            </w:r>
          </w:p>
          <w:p w14:paraId="18CDB650">
            <w:pPr>
              <w:widowControl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4.1.2 El sistema solo permite editar datos de contacto (Domicilio, Teléfono, Email).</w:t>
            </w:r>
          </w:p>
          <w:p w14:paraId="7EA8D710">
            <w:pPr>
              <w:widowControl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4.1.3 El flujo retoma en el paso 6.</w:t>
            </w:r>
          </w:p>
          <w:p w14:paraId="4C8B3FB7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091EB976">
            <w:pPr>
              <w:widowControl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094ABAA5">
            <w:pPr>
              <w:widowControl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3CFD546B">
            <w:pPr>
              <w:widowControl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21E31CB7">
            <w:pPr>
              <w:widowControl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6.1 El actor modifica datos críticos de identidad (Razón Social / CUIT) en un cliente sin historial.</w:t>
            </w:r>
          </w:p>
          <w:p w14:paraId="6C397726">
            <w:pPr>
              <w:widowControl/>
              <w:spacing w:before="0" w:beforeAutospacing="0" w:after="0" w:afterAutospacing="0" w:line="288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6.1.1 El sistema intercepta el guardado y exige re-ejecutar el caso de uso "Validar Antecedentes Cliente" contra la API externa para el nuevo CUIT.</w:t>
            </w:r>
          </w:p>
          <w:p w14:paraId="399947E2">
            <w:pPr>
              <w:widowControl/>
              <w:spacing w:before="0" w:beforeAutospacing="0" w:after="0" w:afterAutospacing="0" w:line="288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6.1.2 Si la API aprueba, el flujo retoma en el paso 8.</w:t>
            </w:r>
          </w:p>
          <w:p w14:paraId="411158E0">
            <w:pPr>
              <w:widowControl/>
              <w:spacing w:before="0" w:beforeAutospacing="0" w:after="0" w:afterAutospacing="0" w:line="288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6.1.3 Si la API rechaza (ej. el nuevo CUIT está inhabilitado crediticiamente), el sistema cancela la modificación, muestra el motivo y retorna al paso 5.</w:t>
            </w:r>
          </w:p>
          <w:p w14:paraId="4C329EA8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3570AAE6">
            <w:pPr>
              <w:widowControl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7.1 Los datos ingresados tienen formato inválido o faltan campos obligatorios.</w:t>
            </w:r>
          </w:p>
          <w:p w14:paraId="7F2BD89F">
            <w:pPr>
              <w:widowControl/>
              <w:spacing w:before="0" w:beforeAutospacing="0" w:after="0" w:afterAutospacing="0" w:line="288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7.1.1 El sistema marca los errores en la interfaz.</w:t>
            </w:r>
          </w:p>
          <w:p w14:paraId="7FC4DDEF">
            <w:pPr>
              <w:widowControl/>
              <w:spacing w:before="0" w:beforeAutospacing="0" w:after="0" w:afterAutospacing="0" w:line="288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  7.1.2 El flujo retorna al paso 5.</w:t>
            </w:r>
          </w:p>
          <w:p w14:paraId="058B15AA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ES"/>
              </w:rPr>
            </w:pPr>
          </w:p>
          <w:p w14:paraId="508C4FD2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</w:p>
        </w:tc>
      </w:tr>
      <w:tr w14:paraId="6AEB0240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55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664193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Asociaciones de extensión: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MX" w:eastAsia="en-US" w:bidi="ar-SA"/>
              </w:rPr>
              <w:t>No aplica</w:t>
            </w:r>
            <w:bookmarkStart w:id="0" w:name="_GoBack"/>
            <w:bookmarkEnd w:id="0"/>
          </w:p>
        </w:tc>
      </w:tr>
      <w:tr w14:paraId="7B83E7B1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55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501562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Asociaciones de inclusión: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MX" w:eastAsia="en-US" w:bidi="ar-SA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o aplica</w:t>
            </w:r>
          </w:p>
        </w:tc>
      </w:tr>
      <w:tr w14:paraId="56EBE39F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55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CCDAFC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Use case donde se incluye: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MX" w:eastAsia="en-US" w:bidi="ar-SA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o aplica</w:t>
            </w:r>
          </w:p>
        </w:tc>
      </w:tr>
      <w:tr w14:paraId="7BB1C70C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55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630270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Use case al que extiende: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MX" w:eastAsia="en-US" w:bidi="ar-SA"/>
              </w:rPr>
              <w:t>Consultar cliente</w:t>
            </w:r>
          </w:p>
        </w:tc>
      </w:tr>
      <w:tr w14:paraId="4E95DF22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00" w:hRule="atLeast"/>
        </w:trPr>
        <w:tc>
          <w:tcPr>
            <w:tcW w:w="10755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D77B9BD">
            <w:pPr>
              <w:widowControl w:val="0"/>
              <w:spacing w:before="0" w:after="0" w:line="288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 xml:space="preserve">Use case de generalización: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MX" w:eastAsia="en-US" w:bidi="ar-SA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kern w:val="0"/>
                <w:sz w:val="21"/>
                <w:szCs w:val="21"/>
                <w:lang w:val="es-AR" w:eastAsia="en-US" w:bidi="ar-SA"/>
              </w:rPr>
              <w:t>o aplica</w:t>
            </w:r>
          </w:p>
        </w:tc>
      </w:tr>
    </w:tbl>
    <w:p w14:paraId="10E86AA0">
      <w:pPr>
        <w:widowControl/>
        <w:bidi w:val="0"/>
        <w:spacing w:before="0" w:after="160" w:line="278" w:lineRule="auto"/>
        <w:jc w:val="left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20" w:footer="72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901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35727A3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5" w:hRule="atLeast"/>
      </w:trPr>
      <w:tc>
        <w:tcPr>
          <w:tcW w:w="3005" w:type="dxa"/>
        </w:tcPr>
        <w:p w14:paraId="1F09039A">
          <w:pPr>
            <w:pStyle w:val="5"/>
            <w:widowControl/>
            <w:bidi w:val="0"/>
            <w:spacing w:before="0" w:after="0"/>
            <w:ind w:left="-115"/>
            <w:jc w:val="left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14:paraId="7E144561">
          <w:pPr>
            <w:pStyle w:val="5"/>
            <w:widowControl/>
            <w:bidi w:val="0"/>
            <w:spacing w:before="0" w:after="0"/>
            <w:jc w:val="center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14:paraId="0E79760D">
          <w:pPr>
            <w:pStyle w:val="5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</w:tr>
  </w:tbl>
  <w:p w14:paraId="18DA13AB">
    <w:pPr>
      <w:pStyle w:val="8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7F2F0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901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06CC47F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5" w:hRule="atLeast"/>
      </w:trPr>
      <w:tc>
        <w:tcPr>
          <w:tcW w:w="3005" w:type="dxa"/>
        </w:tcPr>
        <w:p w14:paraId="415F615F">
          <w:pPr>
            <w:pStyle w:val="5"/>
            <w:widowControl/>
            <w:bidi w:val="0"/>
            <w:spacing w:before="0" w:after="0"/>
            <w:ind w:left="-115"/>
            <w:jc w:val="left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14:paraId="01B78AB8">
          <w:pPr>
            <w:pStyle w:val="5"/>
            <w:widowControl/>
            <w:bidi w:val="0"/>
            <w:spacing w:before="0" w:after="0"/>
            <w:jc w:val="center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14:paraId="720ADA5F">
          <w:pPr>
            <w:pStyle w:val="5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</w:tr>
  </w:tbl>
  <w:p w14:paraId="384F53A2">
    <w:pPr>
      <w:pStyle w:val="8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901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62655DE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60A5C369">
          <w:pPr>
            <w:pStyle w:val="5"/>
            <w:widowControl/>
            <w:bidi w:val="0"/>
            <w:spacing w:before="0" w:after="0"/>
            <w:ind w:left="-115"/>
            <w:jc w:val="left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14:paraId="74FBA6BC">
          <w:pPr>
            <w:pStyle w:val="5"/>
            <w:widowControl/>
            <w:bidi w:val="0"/>
            <w:spacing w:before="0" w:after="0"/>
            <w:jc w:val="center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14:paraId="67090E83">
          <w:pPr>
            <w:pStyle w:val="5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</w:tr>
  </w:tbl>
  <w:p w14:paraId="159D3191">
    <w:pPr>
      <w:pStyle w:val="5"/>
      <w:bidi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C4D7D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901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3C523E2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79E4EDCA">
          <w:pPr>
            <w:pStyle w:val="5"/>
            <w:widowControl/>
            <w:bidi w:val="0"/>
            <w:spacing w:before="0" w:after="0"/>
            <w:ind w:left="-115"/>
            <w:jc w:val="left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14:paraId="26BDB222">
          <w:pPr>
            <w:pStyle w:val="5"/>
            <w:widowControl/>
            <w:bidi w:val="0"/>
            <w:spacing w:before="0" w:after="0"/>
            <w:jc w:val="center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14:paraId="15298CF6">
          <w:pPr>
            <w:pStyle w:val="5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/>
              <w:kern w:val="0"/>
              <w:sz w:val="24"/>
              <w:szCs w:val="24"/>
              <w:lang w:val="es-ES" w:eastAsia="en-US" w:bidi="ar-SA"/>
            </w:rPr>
          </w:pPr>
        </w:p>
      </w:tc>
    </w:tr>
  </w:tbl>
  <w:p w14:paraId="2B1F64C9">
    <w:pPr>
      <w:pStyle w:val="5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A33863"/>
    <w:rsid w:val="19BF0295"/>
    <w:rsid w:val="64406FC4"/>
    <w:rsid w:val="64D37E39"/>
    <w:rsid w:val="653C23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78" w:lineRule="auto"/>
      <w:jc w:val="left"/>
    </w:pPr>
    <w:rPr>
      <w:rFonts w:asciiTheme="minorHAnsi" w:hAnsiTheme="minorHAnsi" w:eastAsiaTheme="minorHAnsi" w:cstheme="minorBidi"/>
      <w:color w:val="auto"/>
      <w:kern w:val="0"/>
      <w:sz w:val="24"/>
      <w:szCs w:val="24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Noto Sans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table" w:styleId="9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Header and Foote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400</Words>
  <Characters>2144</Characters>
  <Paragraphs>44</Paragraphs>
  <TotalTime>0</TotalTime>
  <ScaleCrop>false</ScaleCrop>
  <LinksUpToDate>false</LinksUpToDate>
  <CharactersWithSpaces>2656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2026-04-11T22:44:00Z</dcterms:created>
  <dc:creator>Jonathan Nahuel Mora Colodrero</dc:creator>
  <cp:lastModifiedBy>Santi</cp:lastModifiedBy>
  <dcterms:modified xsi:type="dcterms:W3CDTF">2026-05-15T22:48:02Z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eyJoZGlkIjoiM2I4MmIwODc3NTgwNDI2ZWY1ZDdiNGI3NjgzNDA5YjcifQ==</vt:lpwstr>
  </property>
  <property fmtid="{D5CDD505-2E9C-101B-9397-08002B2CF9AE}" pid="3" name="KSOProductBuildVer">
    <vt:lpwstr>2058-12.1.0.26372</vt:lpwstr>
  </property>
  <property fmtid="{D5CDD505-2E9C-101B-9397-08002B2CF9AE}" pid="4" name="ICV">
    <vt:lpwstr>053E2771AB6A493695051510B8D860F9_12</vt:lpwstr>
  </property>
</Properties>
</file>