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7579432E"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widowControl w:val="0"/>
              <w:spacing w:after="0"/>
            </w:pPr>
            <w:r>
              <w:rPr>
                <w:rtl w:val="0"/>
              </w:rPr>
              <w:t>Nombre del Use Case: Calcular comisiones y bonos</w:t>
            </w:r>
          </w:p>
          <w:p w14:paraId="00000003">
            <w:pPr>
              <w:widowControl w:val="0"/>
              <w:spacing w:after="0"/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widowControl w:val="0"/>
              <w:spacing w:after="0"/>
              <w:rPr>
                <w:u w:val="single"/>
              </w:rPr>
            </w:pPr>
            <w:r>
              <w:rPr>
                <w:rtl w:val="0"/>
              </w:rPr>
              <w:t>Nº de orden: UC-015</w:t>
            </w:r>
          </w:p>
        </w:tc>
      </w:tr>
      <w:tr w14:paraId="5F2A6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widowControl w:val="0"/>
              <w:spacing w:after="0"/>
            </w:pPr>
            <w:r>
              <w:rPr>
                <w:rtl w:val="0"/>
              </w:rPr>
              <w:t>Prioridad                              Alta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A">
            <w:pPr>
              <w:widowControl w:val="0"/>
              <w:spacing w:after="0"/>
            </w:pPr>
            <w:r>
              <w:rPr>
                <w:rtl w:val="0"/>
              </w:rPr>
              <w:t>Media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C">
            <w:pPr>
              <w:widowControl w:val="0"/>
              <w:spacing w:after="0"/>
            </w:pPr>
            <w:r>
              <w:rPr>
                <w:rtl w:val="0"/>
              </w:rPr>
              <w:t>Baja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307340</wp:posOffset>
                      </wp:positionH>
                      <wp:positionV relativeFrom="paragraph">
                        <wp:posOffset>22860</wp:posOffset>
                      </wp:positionV>
                      <wp:extent cx="185420" cy="140970"/>
                      <wp:effectExtent l="0" t="0" r="0" b="0"/>
                      <wp:wrapNone/>
                      <wp:docPr id="6" name="Rectángulo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20" y="373464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C12059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4.2pt;margin-top:1.8pt;height:11.1pt;width:14.6pt;z-index:251659264;v-text-anchor:middle;mso-width-relative:page;mso-height-relative:page;" fillcolor="#FFFFFF" filled="t" stroked="t" coordsize="21600,21600" o:gfxdata="UEsDBAoAAAAAAIdO4kAAAAAAAAAAAAAAAAAEAAAAZHJzL1BLAwQUAAAACACHTuJAxnMYMtcAAAAG&#10;AQAADwAAAGRycy9kb3ducmV2LnhtbE2OT0vDQBTE74LfYXmCN7vpvzSkeSkiWCziwcaDx23ymoRm&#10;34bstqnf3ufJnoZhhplftrnaTl1o8K1jhOkkAkVcuqrlGuGreH1KQPlguDKdY0L4IQ+b/P4uM2nl&#10;Rv6kyz7USkbYpwahCaFPtfZlQ9b4ieuJJTu6wZogdqh1NZhRxm2nZ1EUa2talofG9PTSUHnany1C&#10;sdVFvF26j9337tTP396f9RiPiI8P02gNKtA1/JfhD1/QIRemgztz5VWHsEgW0kSYx6AkXq1EDwiz&#10;ZQI6z/Qtfv4LUEsDBBQAAAAIAIdO4kBZr2TCRQIAALUEAAAOAAAAZHJzL2Uyb0RvYy54bWytVFtu&#10;2zAQ/C/QOxD8byTLiZMYkYMirosCQWM07QHWFGUR4Ktc+nWcnqUX65JSYyct0HxUH/KuOR7Ozu76&#10;5nZvNNvKgMrZmo/OSs6kFa5Rdl3zb18X7644wwi2Ae2srPlBIr+dvX1zs/NTWbnO6UYGRiQWpztf&#10;8y5GPy0KFJ00gGfOS0uHrQsGIqVhXTQBdsRudFGV5aTYudD44IREpG/n/SEfGMNrCF3bKiHnTmyM&#10;tLFnDVJDpJKwUx75LKttWyniQ9uijEzXnCqN+U2XULxK72J2A9N1AN8pMUiA10h4UZMBZenSJ6o5&#10;RGCboP6gMkoEh66NZ8KZoi8kO0JVjMoX3jx24GWuhaxG/2Q6/j9a8Xm7DEw1NZ9wZsFQw7+QaT9/&#10;2PVGO2ST5NDO45SAj34ZhgwpTOXu22DSJxXC9jW/qC6vxhV5e6j5+HJ8PjkfHJb7yAQBRuOL8YTO&#10;BQGuy0uCEmFx5PEB40fpDEtBzQNJybbC9h5jD/0NSdei06pZKK1zEtarOx3YFqjXi/wM7M9g2rId&#10;CakmZdIBNMEtTQ6FxpMLaNf5wmc/wVPmMj9/Y07K5oBdr6ChKKFgGtzGNjnqJDQfbMPiwZPRlvaL&#10;JzFoONOStpGCjIug9L9x5Ju2ZF9qT9+QFMX9ak8kKVy55kDdRS8WirTdA8YlBJrvEV1LM08Xft9A&#10;IBH6k6Whuh6dVxe0JKdJOE1WpwlY0TlaJREDZ31yF/NqpaKte7+JrlW5a0cxg1ya5tz3YfPSupzm&#10;GXX8t5n9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ZzGDLXAAAABgEAAA8AAAAAAAAAAQAgAAAA&#10;IgAAAGRycy9kb3ducmV2LnhtbFBLAQIUABQAAAAIAIdO4kBZr2TCRQIAALUEAAAOAAAAAAAAAAEA&#10;IAAAACYBAABkcnMvZTJvRG9jLnhtbFBLBQYAAAAABgAGAFkBAADdBQAAAAA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68C12059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6C259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D">
            <w:pPr>
              <w:widowControl w:val="0"/>
              <w:spacing w:after="0"/>
            </w:pPr>
            <w:r>
              <w:rPr>
                <w:rtl w:val="0"/>
              </w:rPr>
              <w:t>Complejidad                        Alta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2007870</wp:posOffset>
                      </wp:positionH>
                      <wp:positionV relativeFrom="paragraph">
                        <wp:posOffset>15240</wp:posOffset>
                      </wp:positionV>
                      <wp:extent cx="185420" cy="140970"/>
                      <wp:effectExtent l="0" t="0" r="0" b="0"/>
                      <wp:wrapNone/>
                      <wp:docPr id="5" name="Rectángulo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4598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D6B672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58.1pt;margin-top:1.2pt;height:11.1pt;width:14.6pt;z-index:251659264;v-text-anchor:middle;mso-width-relative:page;mso-height-relative:page;" fillcolor="#000000" filled="t" stroked="t" coordsize="21600,21600" o:gfxdata="UEsDBAoAAAAAAIdO4kAAAAAAAAAAAAAAAAAEAAAAZHJzL1BLAwQUAAAACACHTuJABZEPP9gAAAAI&#10;AQAADwAAAGRycy9kb3ducmV2LnhtbE2PQUvDQBCF74L/YRnBi9hN0ho0ZlNoxItYwajgcZodN8Hs&#10;bMhu2vrv3Z70No/3ePO9cn20g9jT5HvHCtJFAoK4dbpno+D97fH6FoQPyBoHx6Tghzysq/OzEgvt&#10;DvxK+yYYEUvYF6igC2EspPRtRxb9wo3E0ftyk8UQ5WSknvAQy+0gsyTJpcWe44cOR6o7ar+b2SoI&#10;d2Z79WKe8fPjYTOP1tX15qlR6vIiTe5BBDqGvzCc8CM6VJFp52bWXgwKlmmexaiCbAUi+svVTTx2&#10;J52DrEr5f0D1C1BLAwQUAAAACACHTuJArp/ZZUECAAC1BAAADgAAAGRycy9lMm9Eb2MueG1srVRL&#10;btswEN0X6B0I7hvJTpw4RuSgiJuiQNAGTXsAmqIsAvyVQ/+O07P0Yn2k3MRJF82iWkgz0vDNe/PR&#10;1fXOGrZRkbR3DR+d1JwpJ32r3arh37/dvptyRkm4VhjvVMP3ivj1/O2bq22YqbHvvWlVZABxNNuG&#10;hvcphVlVkeyVFXTig3L42PloRYIbV1UbxRbo1lTjuj6vtj62IXqpiPB2MXzkB8T4GkDfdVqqhZdr&#10;q1waUKMyIkES9ToQnxe2Xadk+tJ1pBIzDYfSVO5IAnuZ79X8SsxWUYReywMF8RoKLzRZoR2SPkIt&#10;RBJsHfVfUFbL6Ml36UR6Ww1CSkWgYlS/qM1DL4IqWlBqCo9Fp/8HKz9v7iPTbcMnnDlh0fCvKNqv&#10;n261Np7YJFdoG2iGwIdwHw8ewcxyd120+QkhbAeM8cX09OKUs33D8TybXE6HCqtdYhIBo9PJeIJM&#10;EgGX9bQu8NUTToiUPipvWTYaHkGllFVs7ighN0L/hOS05I1ub7UxxYmr5Y2JbCNyr8uVk+PIszDj&#10;2BZExuc1ZkAKTHCHyYFpA6pAblUSPjtCr0POzBaC+oFBC2sQH/3atWAiZr0S7QfXsrQPKLTDfvFM&#10;hixnRmEbYZS4JLT5dxyUGQeBuT1DQ7KVdssdQLK59O0e3aUgbzW43QlK9yJivkdIi5lHwh9rEUHC&#10;fHIYqsvR2RjNScdOPHaWx45wsvdYJZkiZ4Nzk8pqZanOv18n3+nStScyB7qY5tKZw+bldTn2S9TT&#10;32b+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WRDz/YAAAACAEAAA8AAAAAAAAAAQAgAAAAIgAA&#10;AGRycy9kb3ducmV2LnhtbFBLAQIUABQAAAAIAIdO4kCun9llQQIAALUEAAAOAAAAAAAAAAEAIAAA&#10;ACcBAABkcnMvZTJvRG9jLnhtbFBLBQYAAAAABgAGAFkBAADaBQAAAAA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0BD6B672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F">
            <w:pPr>
              <w:widowControl w:val="0"/>
              <w:spacing w:after="0"/>
            </w:pPr>
            <w:r>
              <w:rPr>
                <w:rtl w:val="0"/>
              </w:rPr>
              <w:t>Media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411480</wp:posOffset>
                      </wp:positionH>
                      <wp:positionV relativeFrom="paragraph">
                        <wp:posOffset>26035</wp:posOffset>
                      </wp:positionV>
                      <wp:extent cx="187960" cy="140970"/>
                      <wp:effectExtent l="0" t="0" r="0" b="0"/>
                      <wp:wrapNone/>
                      <wp:docPr id="8" name="Rectángulo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7060" y="373464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35704D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2.4pt;margin-top:2.05pt;height:11.1pt;width:14.8pt;z-index:251659264;v-text-anchor:middle;mso-width-relative:page;mso-height-relative:page;" fillcolor="#FFFFFF" filled="t" stroked="t" coordsize="21600,21600" o:gfxdata="UEsDBAoAAAAAAIdO4kAAAAAAAAAAAAAAAAAEAAAAZHJzL1BLAwQUAAAACACHTuJA0vJIrtcAAAAG&#10;AQAADwAAAGRycy9kb3ducmV2LnhtbE3OMU/DMBAF4B2p/8G6SmytkzZYEHKpEBIVFWKgYWB04yOJ&#10;Gp+j2G3Kv8dMZTy903tfsbnYXpxp9J1jhHSZgCCunem4QfisXhb3IHzQbHTvmBB+yMOmnN0UOjdu&#10;4g8670MjYgn7XCO0IQy5lL5uyWq/dANxzL7daHWI59hIM+opltterpJESas7jgutHui5pfq4P1mE&#10;aisrtb1z77uv3XFYv749yUlNiLfzNHkEEegSrs/wx490KKPp4E5svOgRVBblASFLQcT4IctAHBBW&#10;ag2yLOR/fvkLUEsDBBQAAAAIAIdO4kDeGtiURwIAALUEAAAOAAAAZHJzL2Uyb0RvYy54bWytVNtu&#10;EzEQfUfiHyy/092kbZJG3VSoIQgJQUXhAxyvN2vJNzzO7XP4Fn6MYye0aUGiD+zD7sx69syZMzN7&#10;fbOzhm1UJO1dwwdnNWfKSd9qt2r4t6+LNxPOKAnXCuOdavheEb+ZvX51vQ1TNfS9N62KDCCOptvQ&#10;8D6lMK0qkr2ygs58UA6HnY9WJLhxVbVRbIFuTTWs61G19bEN0UtFhLfzwyE/IsaXAPqu01LNvVxb&#10;5dIBNSojEkqiXgfis8K265RMn7uOVGKm4ag0lTuSwF7mezW7FtNVFKHX8khBvITCs5qs0A5JH6Dm&#10;Igm2jvoPKKtl9OS7dCa9rQ6FFEVQxaB+ps19L4IqtUBqCg+i0/+DlZ82d5HptuFouxMWDf8C0X7+&#10;cKu18cQmWaFtoCkC78NdPHoEM5e766LNTxTCdg2/HI7H9Qja7ht+Pj6/GF0cFVa7xCQCBufjyQTn&#10;EgFX9XhYjqtHnBApvVfesmw0PIJKkVVsPlJCboT+DslpyRvdLrQxxYmr5a2JbCPQ60W5Mnl88iTM&#10;OLYFkeGozjwEJrjD5MC0ASqQW5WETz6hU+S6XH9DzszmgvoDgxZWjhLT6NeuLVavRPvOtSztA4R2&#10;2C+eyZDlzChsI4wSl4Q2/45DZcahwNyeQ0OylXbLHUCyufTtHt2lIBca3D4KSnciYr4HSIuZR8Lv&#10;axFBwnxwGKqrwcXwEkty6sRTZ3nqCCd7j1WSKXJ2cG5TWa1ctPNv18l3unTtkcyRLqa5dOa4eXld&#10;Tv0S9fi3mf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0vJIrtcAAAAGAQAADwAAAAAAAAABACAA&#10;AAAiAAAAZHJzL2Rvd25yZXYueG1sUEsBAhQAFAAAAAgAh07iQN4a2JRHAgAAtQQAAA4AAAAAAAAA&#10;AQAgAAAAJgEAAGRycy9lMm9Eb2MueG1sUEsFBgAAAAAGAAYAWQEAAN8FAAAAAA=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E35704D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1">
            <w:pPr>
              <w:widowControl w:val="0"/>
              <w:spacing w:after="0"/>
            </w:pPr>
            <w:r>
              <w:rPr>
                <w:rtl w:val="0"/>
              </w:rPr>
              <w:t>Baja</w:t>
            </w:r>
          </w:p>
        </w:tc>
      </w:tr>
      <w:tr w14:paraId="7596B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2">
            <w:pPr>
              <w:widowControl w:val="0"/>
              <w:spacing w:after="0"/>
            </w:pPr>
            <w:r>
              <w:rPr>
                <w:rtl w:val="0"/>
              </w:rPr>
              <w:t>Actor principal: Encargado / Administrador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-376555</wp:posOffset>
                      </wp:positionV>
                      <wp:extent cx="185420" cy="139700"/>
                      <wp:effectExtent l="0" t="0" r="0" b="0"/>
                      <wp:wrapNone/>
                      <wp:docPr id="7" name="Rectángulo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5233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 scaled="0"/>
                              </a:gradFill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01C590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58.05pt;margin-top:-29.65pt;height:11pt;width:14.6pt;z-index:251659264;v-text-anchor:middle;mso-width-relative:page;mso-height-relative:page;" fillcolor="#666666" filled="t" stroked="t" coordsize="21600,21600" o:gfxdata="UEsDBAoAAAAAAIdO4kAAAAAAAAAAAAAAAAAEAAAAZHJzL1BLAwQUAAAACACHTuJA4yAmqdsAAAAL&#10;AQAADwAAAGRycy9kb3ducmV2LnhtbE2PyU7EMAyG70i8Q2QkLmgmbcMslKYjQICEuDDbgVumMW1F&#10;41RNZnt7zAluXj79/lwsTq4TBxxC60lDOk5AIFXetlRr2KxfRnMQIRqypvOEGs4YYFFeXhQmt/5I&#10;SzysYi04hEJuNDQx9rmUoWrQmTD2PRLvvvzgTOR2qKUdzJHDXSezJJlKZ1riC43p8anB6nu1dxra&#10;8Pn4/vZxft5uZxt/k9GrfVhmWl9fpck9iIin+AfDrz6rQ8lOO78nG0SnQaXTlFENo8mdAsGEup1w&#10;seOJmimQZSH//1D+AFBLAwQUAAAACACHTuJAGIlG3IICAABjBQAADgAAAGRycy9lMm9Eb2MueG1s&#10;rVRdbtswDH4fsDsIel8cJ3PSBnWKoVmGAcVWrNsBGFm2BciSJip/x9lZdrFRspumLbD1YX6wSevT&#10;R/ITqavrQ6fZTnpU1pQ8H405k0bYSpmm5D++r99dcIYBTAXaGlnyo0R+vXz75mrvFnJiW6sr6RmR&#10;GFzsXcnbENwiy1C0sgMcWScNLdbWdxDI9U1WedgTe6ezyXg8y/bWV85bIRHp76pf5AOjfw2hrWsl&#10;5MqKbSdN6Fm91BCoJGyVQ75M2da1FOFrXaMMTJecKg3pTUHI3sR3tryCRePBtUoMKcBrUnhWUwfK&#10;UNAT1QoCsK1XL6g6JbxFW4eRsF3WF5IUoSry8TNt7ltwMtVCUqM7iY7/j1Z82d15pqqSzzkz0NGB&#10;fyPRfv8yzVZbZPOo0N7hgoD37s4PHpIZyz3UvotfKoQdSl5M5hfT+ZSzY8npW0ym015heQhMECCn&#10;f0XBmSDAxWUxLeJy9sjjPIZP0nYsGiX3lEqSFXa3GHroA2RQu1orrZONBOkN5ixJNE470TebG+3Z&#10;DqgDZukZYjZ4ji7G9LzcEf/S/z700x15vxRJ/h6E6msektPKMIiTls9oGCI1QwFa0gGcong4FaUN&#10;2xN2MotAATRuNbU5mZ2jHWiaPmOr1WnLk1xSiAdiPIdFGVeAbS9MWuqPytutqaheWLQSqo+mYuHo&#10;qC0M3QY8ZoMdZ1rS3UFGwgVQ+t84UkEbOuzYTH37RCscNgciiebGVkfqRXRirSi5W8BwB56mMaew&#10;NKEU8OcWPCWhPxs638v8/YRaKZw7/tzZnDtgRGtp8EXwnE4gOjchXQSxVGM/bIOtVeqxx2SGdGn2&#10;UpcO90Qc7nM/oR7vxu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4yAmqdsAAAALAQAADwAAAAAA&#10;AAABACAAAAAiAAAAZHJzL2Rvd25yZXYueG1sUEsBAhQAFAAAAAgAh07iQBiJRtyCAgAAYwUAAA4A&#10;AAAAAAAAAQAgAAAAKgEAAGRycy9lMm9Eb2MueG1sUEsFBgAAAAAGAAYAWQEAAB4GAAAAAA==&#10;">
                      <v:fill type="gradient" on="t" color2="#000000" angle="180" focus="50%" focussize="0,0" rotate="t">
                        <o:fill type="gradientUnscaled" v:ext="backwardCompatible"/>
                      </v:fill>
                      <v:stroke weight="0.992125984251969pt" color="#000000" joinstyle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1001C59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4">
            <w:pPr>
              <w:widowControl w:val="0"/>
              <w:spacing w:after="0"/>
            </w:pPr>
            <w:r>
              <w:rPr>
                <w:rtl w:val="0"/>
              </w:rPr>
              <w:t>Actor secundario: -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410845</wp:posOffset>
                      </wp:positionH>
                      <wp:positionV relativeFrom="paragraph">
                        <wp:posOffset>-363220</wp:posOffset>
                      </wp:positionV>
                      <wp:extent cx="185420" cy="140970"/>
                      <wp:effectExtent l="0" t="0" r="0" b="0"/>
                      <wp:wrapNone/>
                      <wp:docPr id="2" name="Rectángulo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4598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59D85E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2.35pt;margin-top:-28.6pt;height:11.1pt;width:14.6pt;z-index:251659264;v-text-anchor:middle;mso-width-relative:page;mso-height-relative:page;" fillcolor="#FFFFFF" filled="t" stroked="t" coordsize="21600,21600" o:gfxdata="UEsDBAoAAAAAAIdO4kAAAAAAAAAAAAAAAAAEAAAAZHJzL1BLAwQUAAAACACHTuJA+iSfeNoAAAAJ&#10;AQAADwAAAGRycy9kb3ducmV2LnhtbE2PwU7DMAyG70i8Q2QkbluylXasNJ0QEhMT4sDKgWPWmLZa&#10;41RNto63x5zgaPvT7+8vNhfXizOOofOkYTFXIJBqbztqNHxUz7N7ECEasqb3hBq+McCmvL4qTG79&#10;RO943sdGcAiF3GhoYxxyKUPdojNh7gckvn350ZnI49hIO5qJw10vl0pl0pmO+ENrBnxqsT7uT05D&#10;tZVVtk392+5zdxySl9dHOWWT1rc3C/UAIuIl/sHwq8/qULLTwZ/IBtFryO5WTGqYpaslCAbWyRrE&#10;gRdJqkCWhfzfoPwBUEsDBBQAAAAIAIdO4kASSqdzRgIAALUEAAAOAAAAZHJzL2Uyb0RvYy54bWyt&#10;VNtu2zAMfR+wfxD0vtpxmzYN6hRDswwDijVYtw9gZNkWoNtE5fY5+5b92Cg5a9JuwPowP9ikRR8e&#10;HpK+ud0ZzTYyoHK25qOzkjNphWuU7Wr+7evi3YQzjGAb0M7Kmu8l8tvZ2zc3Wz+VleudbmRgBGJx&#10;uvU172P006JA0UsDeOa8tHTYumAgkhu6ogmwJXSji6osL4utC40PTkhEejsfDvkBMbwG0LWtEnLu&#10;xNpIGwfUIDVEKgl75ZHPMtu2lSI+tC3KyHTNqdKY75SE7FW6F7MbmHYBfK/EgQK8hsKLmgwoS0mf&#10;oOYQga2D+gPKKBEcujaeCWeKoZCsCFUxKl9o89iDl7kWkhr9k+j4/2DF580yMNXUvOLMgqGGfyHR&#10;fv6w3Vo7ZFVSaOtxSoGPfhkOHpKZyt21waQnFcJ2NR9XV5Pzq3PO9jWn58X4ejIoLHeRCQoYnY+r&#10;8ZgzQQHX5aQcp+PiiOMDxo/SGZaMmgeikmWFzT3GIfR3SEqLTqtmobTOTuhWdzqwDVCvF/k6oD8L&#10;05ZtiUh1WdIMCKAJbmlyyDSeVEDb5YTPPsFT5DJff0NOzOaA/cCgIWsoPri1bYg8THsJzQfbsLj3&#10;JLSl/eKJDBrOtKRtJCPHRVD633Gkm7YkX2rP0JBkxd1qRyDJXLlmT91FLxaKuN0DxiUEmu8RpaWZ&#10;p4Tf1xCIhP5kaaiuRxcVNSeeOuHUWZ06YEXvaJVEDJwNzl3Mq5VKte79OrpW5a4dyRzo0jTnvh82&#10;L63LqZ+jjn+b2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6JJ942gAAAAkBAAAPAAAAAAAAAAEA&#10;IAAAACIAAABkcnMvZG93bnJldi54bWxQSwECFAAUAAAACACHTuJAEkqnc0YCAAC1BAAADgAAAAAA&#10;AAABACAAAAApAQAAZHJzL2Uyb0RvYy54bWxQSwUGAAAAAAYABgBZAQAA4QUAAAAA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4959D85E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2C113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7">
            <w:pPr>
              <w:widowControl w:val="0"/>
              <w:spacing w:after="0"/>
              <w:rPr>
                <w:u w:val="single"/>
              </w:rPr>
            </w:pPr>
            <w:r>
              <w:rPr>
                <w:rtl w:val="0"/>
              </w:rPr>
              <w:t>Tipo de Use Case                  Concreto               Abstracto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3058795</wp:posOffset>
                      </wp:positionH>
                      <wp:positionV relativeFrom="paragraph">
                        <wp:posOffset>16510</wp:posOffset>
                      </wp:positionV>
                      <wp:extent cx="184785" cy="154940"/>
                      <wp:effectExtent l="0" t="0" r="0" b="0"/>
                      <wp:wrapNone/>
                      <wp:docPr id="1" name="Rectángulo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680" y="372762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99AAC2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40.85pt;margin-top:1.3pt;height:12.2pt;width:14.55pt;z-index:251659264;v-text-anchor:middle;mso-width-relative:page;mso-height-relative:page;" fillcolor="#FFFFFF" filled="t" stroked="t" coordsize="21600,21600" o:gfxdata="UEsDBAoAAAAAAIdO4kAAAAAAAAAAAAAAAAAEAAAAZHJzL1BLAwQUAAAACACHTuJA/uST59gAAAAI&#10;AQAADwAAAGRycy9kb3ducmV2LnhtbE2PQU/CQBSE7yb8h80j8Sa7RSmkdksIiURiPEg9eFy6z7ah&#10;+7bpLhT/vc+THCczmfkmX19dJy44hNaThmSmQCBV3rZUa/gsXx5WIEI0ZE3nCTX8YIB1MbnLTWb9&#10;SB94OcRacAmFzGhoYuwzKUPVoDNh5nsk9r794ExkOdTSDmbkctfJuVKpdKYlXmhMj9sGq9Ph7DSU&#10;O1mmu4V/33/tT/3j69tGjumo9f00Uc8gIl7jfxj+8BkdCmY6+jPZIDoNT6tkyVEN8xQE+4tE8ZUj&#10;66UCWeTy9kDxC1BLAwQUAAAACACHTuJAeQnO0kgCAAC2BAAADgAAAGRycy9lMm9Eb2MueG1srVTt&#10;btMwFP2PxDtY/s+SZl07qqUTWilCmmBi8ACu4zSWHNv4uk37ODwLL8axW7ZuILEf5Edyb3xz7jn3&#10;I1fXu96wrQqkna356KzkTFnpGm3XNf/2dfnmkjOKwjbCOKtqvlfEr+evX10NfqYq1znTqMAAYmk2&#10;+Jp3MfpZUZDsVC/ozHllcdi60IsIN6yLJogB6L0pqrKcFIMLjQ9OKiK8XRwO+RExvATQta2WauHk&#10;plc2HlCDMiJCEnXaE59ntm2rZPzctqQiMzWH0pjvSAJ7le7F/ErM1kH4TssjBfESCs809UJbJH2A&#10;Wogo2CboP6B6LYMj18Yz6friICRXBCpG5bPa3HfCq6wFpSb/UHT6f7Dy0/YuMN1gEjizokfDv6Bo&#10;P3/Y9cY4YqNUocHTDIH3/i4cPYKZ5O7a0KcnhLBdzS+q6eXkErXd1/x8Wk0n1bHCaheZRMDofDwZ&#10;41wiYFSOp5N8XjwC+UDxg3I9S0bNA7jkuortLUUkR+jvkJSXnNHNUhuTnbBe3ZjAtgLNXuYrsccn&#10;T8KMZQOyV5MyEREY4RajA7P3KAPZdU745BM6RS7z9TfkxGwhqDswaGClKDELbmObbHVKNO9tw+Le&#10;o9IWC8YTGeo5MwrrCCPHRaHNv+OgzFgITP05dCRZcbfaASSZK9fs0V7ycqnB7VZQvBMBA45mDxh6&#10;JPy+EQEkzEeLqXo7GlcX2JJTJ5w6q1NHWNk57JKMgbODcxPzbiXR1r3bRNfq3LVHMke6GOfcmePq&#10;pX059XPU4+9m/g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+5JPn2AAAAAgBAAAPAAAAAAAAAAEA&#10;IAAAACIAAABkcnMvZG93bnJldi54bWxQSwECFAAUAAAACACHTuJAeQnO0kgCAAC2BAAADgAAAAAA&#10;AAABACAAAAAnAQAAZHJzL2Uyb0RvYy54bWxQSwUGAAAAAAYABgBZAQAA4QUAAAAA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0799AAC2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2037080</wp:posOffset>
                      </wp:positionH>
                      <wp:positionV relativeFrom="paragraph">
                        <wp:posOffset>12065</wp:posOffset>
                      </wp:positionV>
                      <wp:extent cx="216535" cy="158115"/>
                      <wp:effectExtent l="0" t="0" r="0" b="0"/>
                      <wp:wrapNone/>
                      <wp:docPr id="4" name="Rectángulo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2815" y="3726025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 scaled="0"/>
                              </a:gradFill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F63892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60.4pt;margin-top:0.95pt;height:12.45pt;width:17.05pt;z-index:251659264;v-text-anchor:middle;mso-width-relative:page;mso-height-relative:page;" fillcolor="#666666" filled="t" stroked="t" coordsize="21600,21600" o:gfxdata="UEsDBAoAAAAAAIdO4kAAAAAAAAAAAAAAAAAEAAAAZHJzL1BLAwQUAAAACACHTuJAoCMaFdkAAAAI&#10;AQAADwAAAGRycy9kb3ducmV2LnhtbE2PTU/DMAyG70j7D5EncUEsWQZjdE0nQICEuLCxHbhljddW&#10;NE7VZF//HnOCm63n1evH+eLkW3HAPjaBDIxHCgRSGVxDlYH158v1DERMlpxtA6GBM0ZYFIOL3GYu&#10;HGmJh1WqBJdQzKyBOqUukzKWNXobR6FDYrYLvbeJ176SrrdHLvet1EpNpbcN8YXadvhUY/m92nsD&#10;Tfx6fH/7OD9vNnfrcKXp1T0stTGXw7Gag0h4Sn9h+NVndSjYaRv25KJoDUy0YvXE4B4E88ntDQ9b&#10;A3o6A1nk8v8DxQ9QSwMEFAAAAAgAh07iQFHkB9WEAgAAZAUAAA4AAABkcnMvZTJvRG9jLnhtbK1U&#10;227UMBB9R+IfLL/TJNvutl01W6EuRUgIKgof4HWcjSXHNh7v7XP4Fn6MY2e7XVoEfSAPyUw8PnPm&#10;eMZX19vesLUKpJ2teXVScqasdI22y5p/+3r75oIzisI2wjirar5TxK9nr19dbfxUjVznTKMCA4il&#10;6cbXvIvRT4uCZKd6QSfOK4vF1oVeRLhhWTRBbIDem2JUlpNi40Ljg5OKCH/nwyLfI4aXALq21VLN&#10;nVz1ysYBNSgjIkqiTnvis8y2bZWMn9uWVGSm5qg05jeSwF6kdzG7EtNlEL7Tck9BvITCk5p6oS2S&#10;HqDmIgq2CvoZVK9lcOTaeCJdXwyFZEVQRVU+0ea+E17lWiA1+YPo9P9g5af1XWC6qfkZZ1b0OPAv&#10;EO3nD7tcGUfsLCm08TRF4L2/C3uPYKZyt23o0xeFsG3Nx6PJ6KIac7ar+en5aFKOxoPCahuZREA1&#10;mZyeQ3uJgKo8vxznEygegXyg+F65niWj5gFcsq5i/ZEikiP0IWQvd3Orjck2IWQwmHfQqMw7KSwX&#10;NyawtUALTPKTOAFoScfR4xLP8x3pL/7/aUc1LCWQvyfJufbkjLZMpFGrJpiGBM1ICqNwAocsQRyK&#10;MpZtEAspk2oC89aiz2H2HjvILgfGzujDlt+45BQPwHQclmScC+oGYfLScFbBrWyDesW0U6J5ZxsW&#10;dx59YXEd8MSGes6MwuUBI8dFoc2/46CCsRA+ddPQP8mK28UWIMlcuGaHZiQvbzXIfRQU70TAOFZI&#10;ixFFwu8rEUDCfLA438vqDP3F4rETjp3FsSOs7BwmX8bAcQLJuYn5JkilWvd2FV2rc489ktnTxfAN&#10;HTNcFGm6j/0c9Xg5zn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oCMaFdkAAAAIAQAADwAAAAAA&#10;AAABACAAAAAiAAAAZHJzL2Rvd25yZXYueG1sUEsBAhQAFAAAAAgAh07iQFHkB9WEAgAAZAUAAA4A&#10;AAAAAAAAAQAgAAAAKAEAAGRycy9lMm9Eb2MueG1sUEsFBgAAAAAGAAYAWQEAAB4GAAAAAA==&#10;">
                      <v:fill type="gradient" on="t" color2="#000000" angle="180" focus="50%" focussize="0,0" rotate="t">
                        <o:fill type="gradientUnscaled" v:ext="backwardCompatible"/>
                      </v:fill>
                      <v:stroke weight="0.992125984251969pt" color="#000000" joinstyle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65F63892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4879975</wp:posOffset>
                      </wp:positionH>
                      <wp:positionV relativeFrom="paragraph">
                        <wp:posOffset>-381635</wp:posOffset>
                      </wp:positionV>
                      <wp:extent cx="185420" cy="140970"/>
                      <wp:effectExtent l="0" t="0" r="0" b="0"/>
                      <wp:wrapNone/>
                      <wp:docPr id="3" name="Rectángulo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4598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F18024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84.25pt;margin-top:-30.05pt;height:11.1pt;width:14.6pt;z-index:251659264;v-text-anchor:middle;mso-width-relative:page;mso-height-relative:page;" fillcolor="#FFFFFF" filled="t" stroked="t" coordsize="21600,21600" o:gfxdata="UEsDBAoAAAAAAIdO4kAAAAAAAAAAAAAAAAAEAAAAZHJzL1BLAwQUAAAACACHTuJAFRTpttkAAAAL&#10;AQAADwAAAGRycy9kb3ducmV2LnhtbE2PwU7DMAyG70i8Q2QkbltS0Jq1NJ20SeMGEtsOO6ZNaCsa&#10;J2qybrw95gRH259+f3+1ubmRzXaKg0cF2VIAs9h6M2Cn4HTcL9bAYtJo9OjRKvi2ETb1/V2lS+Ov&#10;+GHnQ+oYhWAstYI+pVByHtveOh2XPlik26efnE40Th03k75SuBv5kxA5d3pA+tDrYHe9bb8OF6eg&#10;lc3bObzPcrXdbfVrSHE/F1Gpx4dMvABL9pb+YPjVJ3WoyanxFzSRjQpkvl4RqmCRiwwYEbKQElhD&#10;m2dZAK8r/r9D/QNQSwMEFAAAAAgAh07iQCpVpURGAgAAtAQAAA4AAABkcnMvZTJvRG9jLnhtbK1U&#10;227bMAx9H7B/EPS+2kmaNg3qFEOzDAOKNVi3D1AkORag20jl9jn7lv3YKDlr027A+jA/2KRFHx4e&#10;kr6+2TvLthrQBN/wwVnNmfYyKOPXDf/2dfFuwhkm4ZWwweuGHzTym9nbN9e7ONXD0AWrNDAC8Tjd&#10;xYZ3KcVpVaHstBN4FqL2dNgGcCKRC+tKgdgRurPVsK4vql0AFSFIjUhv5/0hPyLCawBD2xqp50Fu&#10;nPapRwVtRaKSsDMR+aywbVst033bok7MNpwqTeVOSche5Xs1uxbTNYjYGXmkIF5D4UVNThhPSR+h&#10;5iIJtgHzB5QzEgKGNp3J4Kq+kKIIVTGoX2jz0ImoSy0kNcZH0fH/wcrP2yUwoxo+4swLRw3/QqL9&#10;/OHXGxuQjbJCu4hTCnyISzh6SGYud9+Cy08qhO0bPh5eTkaXhHQgvMvR+fhq0ius94lJChiMxsPx&#10;mDNJAVf1pB7n4+oJJwKmjzo4lo2GA1EpsortHaY+9HdITovBGrUw1hYH1qtbC2wrqNeLch3Rn4VZ&#10;z3ZEZHhR0wxIQRMMXpHlIomAfl3yPfsCT4Hrcv0NOBObC+x6AoqsvnYIG6+Iu5h2WqgPXrF0iKSz&#10;p/XimQs6zqymZSSjxCVh7L/jSDbrSb3cnb4f2Ur71Z5AsrkK6kDNxSgXhrjdCUxLATTeA0pLI08J&#10;v28EEAn7ydNMXQ3Oh9SbdOrAqbM6dYSXXaBNkgk4653bVDYrl+rD+00KrSlNeyJzpEvDXNp+XLy8&#10;Lad+iXr62cx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UU6bbZAAAACwEAAA8AAAAAAAAAAQAg&#10;AAAAIgAAAGRycy9kb3ducmV2LnhtbFBLAQIUABQAAAAIAIdO4kAqVaVERgIAALQEAAAOAAAAAAAA&#10;AAEAIAAAACgBAABkcnMvZTJvRG9jLnhtbFBLBQYAAAAABgAGAFkBAADgBQAAAAA=&#10;">
                      <v:fill on="t" focussize="0,0"/>
                      <v:stroke weight="0.992125984251969pt" color="#000000" joinstyle="round" dashstyle="dash" endcap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28F18024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16D38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C">
            <w:pPr>
              <w:widowControl w:val="0"/>
              <w:spacing w:after="0"/>
            </w:pPr>
            <w:r>
              <w:rPr>
                <w:rtl w:val="0"/>
              </w:rPr>
              <w:t>Objetivo: Liquidar los incentivos económicos de los vendedores y encargados de sucursal basándose en el rendimiento de ventas y la colocación de créditos personales en un periodo determinado.</w:t>
            </w:r>
          </w:p>
        </w:tc>
      </w:tr>
      <w:tr w14:paraId="506B8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1">
            <w:pPr>
              <w:widowControl w:val="0"/>
              <w:spacing w:after="0"/>
            </w:pPr>
            <w:r>
              <w:rPr>
                <w:rtl w:val="0"/>
              </w:rPr>
              <w:t xml:space="preserve">Precondiciones: </w:t>
            </w:r>
          </w:p>
          <w:p w14:paraId="00000022">
            <w:pPr>
              <w:widowControl w:val="0"/>
              <w:numPr>
                <w:ilvl w:val="0"/>
                <w:numId w:val="1"/>
              </w:numPr>
              <w:spacing w:after="0"/>
              <w:ind w:left="720" w:hanging="360"/>
              <w:rPr>
                <w:u w:val="none"/>
              </w:rPr>
            </w:pPr>
            <w:r>
              <w:rPr>
                <w:rtl w:val="0"/>
              </w:rPr>
              <w:t>- El usuario debe poseer permisos de nivel Gerencial o Administrativo.</w:t>
            </w:r>
          </w:p>
          <w:p w14:paraId="00000023">
            <w:pPr>
              <w:widowControl w:val="0"/>
              <w:numPr>
                <w:ilvl w:val="0"/>
                <w:numId w:val="1"/>
              </w:numPr>
              <w:spacing w:after="0"/>
              <w:ind w:left="720" w:hanging="360"/>
            </w:pPr>
            <w:r>
              <w:rPr>
                <w:rtl w:val="0"/>
              </w:rPr>
              <w:t>El periodo a liquidar debe estar cerrado (generalmente fin de mes o año).</w:t>
            </w:r>
          </w:p>
          <w:p w14:paraId="00000024">
            <w:pPr>
              <w:widowControl w:val="0"/>
              <w:numPr>
                <w:ilvl w:val="0"/>
                <w:numId w:val="1"/>
              </w:numPr>
              <w:spacing w:after="0"/>
              <w:ind w:left="720" w:hanging="360"/>
            </w:pPr>
            <w:r>
              <w:rPr>
                <w:rtl w:val="0"/>
              </w:rPr>
              <w:t>Deben existir registros de ventas y créditos aprobados vinculados a legajos de empleados.</w:t>
            </w:r>
          </w:p>
        </w:tc>
      </w:tr>
      <w:tr w14:paraId="00BF2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9">
            <w:pPr>
              <w:widowControl w:val="0"/>
              <w:spacing w:after="0"/>
            </w:pPr>
            <w:r>
              <w:rPr>
                <w:rtl w:val="0"/>
              </w:rPr>
              <w:t>Post- condiciones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A">
            <w:pPr>
              <w:widowControl w:val="0"/>
              <w:spacing w:after="0"/>
            </w:pPr>
            <w:r>
              <w:rPr>
                <w:b/>
                <w:bCs/>
                <w:rtl w:val="0"/>
              </w:rPr>
              <w:t>Éxito:</w:t>
            </w:r>
            <w:r>
              <w:rPr>
                <w:rtl w:val="0"/>
              </w:rPr>
              <w:t xml:space="preserve"> </w:t>
            </w:r>
          </w:p>
          <w:p w14:paraId="0000002B">
            <w:pPr>
              <w:widowControl w:val="0"/>
              <w:spacing w:after="0"/>
            </w:pPr>
            <w:r>
              <w:rPr>
                <w:rtl w:val="0"/>
              </w:rPr>
              <w:t>- Se genera un informe de liquidación de bonos detallado por empleado.</w:t>
            </w:r>
          </w:p>
        </w:tc>
      </w:tr>
      <w:tr w14:paraId="19BC9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0">
            <w:pPr>
              <w:widowControl w:val="0"/>
              <w:spacing w:after="0"/>
            </w:pPr>
            <w:r>
              <w:rPr>
                <w:b/>
                <w:bCs/>
                <w:rtl w:val="0"/>
              </w:rPr>
              <w:t>Fracaso</w:t>
            </w:r>
            <w:r>
              <w:rPr>
                <w:rtl w:val="0"/>
              </w:rPr>
              <w:t xml:space="preserve">: </w:t>
            </w:r>
          </w:p>
          <w:p w14:paraId="00000031">
            <w:pPr>
              <w:widowControl w:val="0"/>
              <w:spacing w:after="0"/>
            </w:pPr>
            <w:r>
              <w:rPr>
                <w:rtl w:val="0"/>
              </w:rPr>
              <w:t>- No se realiza el cálculo por inconsistencia en los datos de ventas o falta de asociación de vendedores a las facturas.</w:t>
            </w:r>
          </w:p>
        </w:tc>
      </w:tr>
      <w:tr w14:paraId="60FD3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5">
            <w:pPr>
              <w:widowControl w:val="0"/>
              <w:spacing w:after="0"/>
            </w:pPr>
            <w:r>
              <w:rPr>
                <w:rtl w:val="0"/>
              </w:rPr>
              <w:t>Curso Normal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8">
            <w:pPr>
              <w:widowControl w:val="0"/>
              <w:spacing w:after="0"/>
            </w:pPr>
            <w:r>
              <w:rPr>
                <w:rtl w:val="0"/>
              </w:rPr>
              <w:t>Curso Alternativo</w:t>
            </w:r>
          </w:p>
        </w:tc>
      </w:tr>
      <w:tr w14:paraId="0AAC5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4" w:hRule="atLeast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A">
            <w:pPr>
              <w:widowControl w:val="0"/>
              <w:spacing w:after="0" w:line="240" w:lineRule="auto"/>
            </w:pPr>
            <w:r>
              <w:rPr>
                <w:rtl w:val="0"/>
              </w:rPr>
              <w:t>1. El UC comienza cuando el usuario selecciona "Liquidación de Comisiones y Bonos".</w:t>
            </w:r>
            <w:r>
              <w:rPr>
                <w:rtl w:val="0"/>
              </w:rPr>
              <w:tab/>
            </w:r>
          </w:p>
          <w:p w14:paraId="0000003B">
            <w:pPr>
              <w:widowControl w:val="0"/>
              <w:spacing w:after="0" w:line="240" w:lineRule="auto"/>
            </w:pPr>
            <w:r>
              <w:rPr>
                <w:rtl w:val="0"/>
              </w:rPr>
              <w:t>2. El sistema solicita seleccionar la Sucursal y el Periodo (Mes/Año).</w:t>
            </w:r>
            <w:r>
              <w:rPr>
                <w:rtl w:val="0"/>
              </w:rPr>
              <w:tab/>
            </w:r>
          </w:p>
          <w:p w14:paraId="0000003C">
            <w:pPr>
              <w:widowControl w:val="0"/>
              <w:spacing w:after="0" w:line="240" w:lineRule="auto"/>
            </w:pPr>
            <w:r>
              <w:rPr>
                <w:rtl w:val="0"/>
              </w:rPr>
              <w:t>3. El sistema recupera el listado de empleados activos de la sucursal.</w:t>
            </w:r>
            <w:r>
              <w:rPr>
                <w:rtl w:val="0"/>
              </w:rPr>
              <w:tab/>
            </w:r>
          </w:p>
          <w:p w14:paraId="0000003D">
            <w:pPr>
              <w:widowControl w:val="0"/>
              <w:spacing w:after="0" w:line="240" w:lineRule="auto"/>
            </w:pPr>
            <w:r>
              <w:rPr>
                <w:rtl w:val="0"/>
              </w:rPr>
              <w:t>4. Por cada Vendedor, el sistema ejecuta la inclusión "Consultar Ventas por Vendedor".</w:t>
            </w:r>
            <w:r>
              <w:rPr>
                <w:rtl w:val="0"/>
              </w:rPr>
              <w:tab/>
            </w:r>
          </w:p>
          <w:p w14:paraId="0000003E">
            <w:pPr>
              <w:widowControl w:val="0"/>
              <w:spacing w:after="0" w:line="240" w:lineRule="auto"/>
            </w:pPr>
          </w:p>
          <w:p w14:paraId="0000003F">
            <w:pPr>
              <w:widowControl w:val="0"/>
              <w:spacing w:after="0" w:line="240" w:lineRule="auto"/>
            </w:pPr>
          </w:p>
          <w:p w14:paraId="00000040">
            <w:pPr>
              <w:widowControl w:val="0"/>
              <w:spacing w:after="0" w:line="240" w:lineRule="auto"/>
            </w:pPr>
            <w:r>
              <w:rPr>
                <w:rtl w:val="0"/>
              </w:rPr>
              <w:t>5. El sistema identifica los créditos personales aprobados (UC-011) asociados a cada vendedor en el periodo.</w:t>
            </w:r>
            <w:r>
              <w:rPr>
                <w:rtl w:val="0"/>
              </w:rPr>
              <w:tab/>
            </w:r>
          </w:p>
          <w:p w14:paraId="00000041">
            <w:pPr>
              <w:widowControl w:val="0"/>
              <w:spacing w:after="0" w:line="240" w:lineRule="auto"/>
            </w:pPr>
            <w:r>
              <w:rPr>
                <w:rtl w:val="0"/>
              </w:rPr>
              <w:t xml:space="preserve">6. El sistema aplica la fórmula: </w:t>
            </w:r>
            <w:r>
              <w:rPr>
                <w:rtl w:val="0"/>
              </w:rPr>
              <w:br w:type="textWrapping"/>
            </w:r>
            <w:r>
              <w:rPr>
                <w:rtl w:val="0"/>
              </w:rPr>
              <w:t>(Total Ventas Vendedor * 0.10) + (Suma Montos Créditos Aprobados * 0.03).</w:t>
            </w:r>
            <w:r>
              <w:rPr>
                <w:rtl w:val="0"/>
              </w:rPr>
              <w:tab/>
            </w:r>
          </w:p>
          <w:p w14:paraId="00000042">
            <w:pPr>
              <w:widowControl w:val="0"/>
              <w:spacing w:after="0" w:line="240" w:lineRule="auto"/>
            </w:pPr>
            <w:r>
              <w:rPr>
                <w:rtl w:val="0"/>
              </w:rPr>
              <w:t>7. Para el Encargado, el sistema ejecuta la inclusión "Consultar Ventas Totales Sucursal".</w:t>
            </w:r>
            <w:r>
              <w:rPr>
                <w:rtl w:val="0"/>
              </w:rPr>
              <w:tab/>
            </w:r>
          </w:p>
          <w:p w14:paraId="00000043">
            <w:pPr>
              <w:widowControl w:val="0"/>
              <w:spacing w:after="0" w:line="240" w:lineRule="auto"/>
            </w:pPr>
            <w:r>
              <w:rPr>
                <w:rtl w:val="0"/>
              </w:rPr>
              <w:t>8. El sistema aplica la fórmula para el Encargado: (Total Ventas Sucursal * 0.15).</w:t>
            </w:r>
            <w:r>
              <w:rPr>
                <w:rtl w:val="0"/>
              </w:rPr>
              <w:tab/>
            </w:r>
          </w:p>
          <w:p w14:paraId="00000044">
            <w:pPr>
              <w:widowControl w:val="0"/>
              <w:spacing w:after="0" w:line="240" w:lineRule="auto"/>
            </w:pPr>
            <w:r>
              <w:rPr>
                <w:rtl w:val="0"/>
              </w:rPr>
              <w:t>9. El sistema presenta el resumen de bonos en pantalla para revisión.</w:t>
            </w:r>
            <w:r>
              <w:rPr>
                <w:rtl w:val="0"/>
              </w:rPr>
              <w:tab/>
            </w:r>
          </w:p>
          <w:p w14:paraId="00000045">
            <w:pPr>
              <w:widowControl w:val="0"/>
              <w:spacing w:after="0" w:line="240" w:lineRule="auto"/>
            </w:pPr>
          </w:p>
          <w:p w14:paraId="00000046">
            <w:pPr>
              <w:widowControl w:val="0"/>
              <w:spacing w:after="0" w:line="240" w:lineRule="auto"/>
            </w:pPr>
          </w:p>
          <w:p w14:paraId="00000047">
            <w:pPr>
              <w:widowControl w:val="0"/>
              <w:spacing w:after="0" w:line="240" w:lineRule="auto"/>
            </w:pPr>
          </w:p>
          <w:p w14:paraId="00000048">
            <w:pPr>
              <w:widowControl w:val="0"/>
              <w:spacing w:after="0" w:line="240" w:lineRule="auto"/>
            </w:pPr>
            <w:r>
              <w:rPr>
                <w:rtl w:val="0"/>
              </w:rPr>
              <w:t>10. El usuario confirma la liquidación.</w:t>
            </w:r>
            <w:r>
              <w:rPr>
                <w:rtl w:val="0"/>
              </w:rPr>
              <w:tab/>
            </w:r>
          </w:p>
          <w:p w14:paraId="00000049">
            <w:pPr>
              <w:widowControl w:val="0"/>
              <w:spacing w:after="0" w:line="240" w:lineRule="auto"/>
            </w:pPr>
            <w:r>
              <w:rPr>
                <w:rtl w:val="0"/>
              </w:rPr>
              <w:t>11. El sistema genera el reporte de liquidación y actualiza el historial de bonos.</w:t>
            </w:r>
            <w:r>
              <w:rPr>
                <w:rtl w:val="0"/>
              </w:rPr>
              <w:tab/>
            </w:r>
          </w:p>
          <w:p w14:paraId="0000004A">
            <w:pPr>
              <w:widowControl w:val="0"/>
              <w:spacing w:after="0" w:line="240" w:lineRule="auto"/>
            </w:pPr>
            <w:r>
              <w:rPr>
                <w:rtl w:val="0"/>
              </w:rPr>
              <w:t>12. Fin del UC.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D">
            <w:pPr>
              <w:widowControl w:val="0"/>
              <w:spacing w:after="0" w:line="240" w:lineRule="auto"/>
            </w:pPr>
          </w:p>
          <w:p w14:paraId="0000004E">
            <w:pPr>
              <w:widowControl w:val="0"/>
              <w:spacing w:after="0" w:line="240" w:lineRule="auto"/>
            </w:pPr>
          </w:p>
          <w:p w14:paraId="0000004F">
            <w:pPr>
              <w:widowControl w:val="0"/>
              <w:spacing w:after="0" w:line="240" w:lineRule="auto"/>
            </w:pPr>
          </w:p>
          <w:p w14:paraId="00000050">
            <w:pPr>
              <w:widowControl w:val="0"/>
              <w:spacing w:after="0" w:line="240" w:lineRule="auto"/>
            </w:pPr>
          </w:p>
          <w:p w14:paraId="00000051">
            <w:pPr>
              <w:widowControl w:val="0"/>
              <w:spacing w:after="0" w:line="240" w:lineRule="auto"/>
            </w:pPr>
          </w:p>
          <w:p w14:paraId="00000052">
            <w:pPr>
              <w:widowControl w:val="0"/>
              <w:spacing w:after="0" w:line="240" w:lineRule="auto"/>
            </w:pPr>
          </w:p>
          <w:p w14:paraId="00000053">
            <w:pPr>
              <w:widowControl w:val="0"/>
              <w:spacing w:after="0" w:line="240" w:lineRule="auto"/>
            </w:pPr>
          </w:p>
          <w:p w14:paraId="00000054">
            <w:pPr>
              <w:widowControl w:val="0"/>
              <w:spacing w:after="0" w:line="240" w:lineRule="auto"/>
            </w:pPr>
            <w:r>
              <w:rPr>
                <w:rtl w:val="0"/>
              </w:rPr>
              <w:t>4.1 No se encuentran ventas para el vendedor.</w:t>
            </w:r>
          </w:p>
          <w:p w14:paraId="00000055">
            <w:pPr>
              <w:widowControl w:val="0"/>
              <w:spacing w:after="0" w:line="240" w:lineRule="auto"/>
            </w:pPr>
          </w:p>
          <w:p w14:paraId="00000056">
            <w:pPr>
              <w:widowControl w:val="0"/>
              <w:spacing w:after="0" w:line="240" w:lineRule="auto"/>
            </w:pPr>
            <w:r>
              <w:rPr>
                <w:rtl w:val="0"/>
              </w:rPr>
              <w:t>4.2 El sistema asigna bono $0 y continúa con el siguiente.</w:t>
            </w:r>
          </w:p>
          <w:p w14:paraId="00000057">
            <w:pPr>
              <w:widowControl w:val="0"/>
              <w:spacing w:after="0" w:line="240" w:lineRule="auto"/>
            </w:pPr>
          </w:p>
          <w:p w14:paraId="00000058">
            <w:pPr>
              <w:widowControl w:val="0"/>
              <w:spacing w:after="0" w:line="240" w:lineRule="auto"/>
            </w:pPr>
          </w:p>
          <w:p w14:paraId="00000059">
            <w:pPr>
              <w:widowControl w:val="0"/>
              <w:spacing w:after="0" w:line="240" w:lineRule="auto"/>
            </w:pPr>
          </w:p>
          <w:p w14:paraId="0000005A">
            <w:pPr>
              <w:widowControl w:val="0"/>
              <w:spacing w:after="0" w:line="240" w:lineRule="auto"/>
            </w:pPr>
          </w:p>
          <w:p w14:paraId="0000005B">
            <w:pPr>
              <w:widowControl w:val="0"/>
              <w:spacing w:after="0" w:line="240" w:lineRule="auto"/>
            </w:pPr>
          </w:p>
          <w:p w14:paraId="0000005C">
            <w:pPr>
              <w:widowControl w:val="0"/>
              <w:spacing w:after="0" w:line="240" w:lineRule="auto"/>
            </w:pPr>
          </w:p>
          <w:p w14:paraId="0000005D">
            <w:pPr>
              <w:widowControl w:val="0"/>
              <w:spacing w:after="0" w:line="240" w:lineRule="auto"/>
            </w:pPr>
          </w:p>
          <w:p w14:paraId="0000005E">
            <w:pPr>
              <w:widowControl w:val="0"/>
              <w:spacing w:after="0" w:line="240" w:lineRule="auto"/>
            </w:pPr>
          </w:p>
          <w:p w14:paraId="0000005F">
            <w:pPr>
              <w:widowControl w:val="0"/>
              <w:spacing w:after="0" w:line="240" w:lineRule="auto"/>
            </w:pPr>
          </w:p>
          <w:p w14:paraId="00000060">
            <w:pPr>
              <w:widowControl w:val="0"/>
              <w:spacing w:after="0" w:line="240" w:lineRule="auto"/>
            </w:pPr>
          </w:p>
          <w:p w14:paraId="00000061">
            <w:pPr>
              <w:widowControl w:val="0"/>
              <w:spacing w:after="0" w:line="240" w:lineRule="auto"/>
            </w:pPr>
            <w:r>
              <w:rPr>
                <w:rtl w:val="0"/>
              </w:rPr>
              <w:t>9.1 El administrador detecta un error de carga manual.</w:t>
            </w:r>
          </w:p>
          <w:p w14:paraId="00000062">
            <w:pPr>
              <w:widowControl w:val="0"/>
              <w:spacing w:after="0" w:line="240" w:lineRule="auto"/>
            </w:pPr>
            <w:r>
              <w:rPr>
                <w:rtl w:val="0"/>
              </w:rPr>
              <w:t>9.2 Se permite ajustar manualmente con un motivo de auditoría.</w:t>
            </w:r>
          </w:p>
          <w:p w14:paraId="00000063">
            <w:pPr>
              <w:widowControl w:val="0"/>
              <w:spacing w:after="0" w:line="240" w:lineRule="auto"/>
            </w:pPr>
            <w:r>
              <w:rPr>
                <w:rtl w:val="0"/>
              </w:rPr>
              <w:t>9.3 Se guarda el ajuste.</w:t>
            </w:r>
          </w:p>
        </w:tc>
      </w:tr>
      <w:tr w14:paraId="01B7D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5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rPr>
                <w:rtl w:val="0"/>
              </w:rPr>
              <w:t xml:space="preserve">Asociaciones de extensión: </w:t>
            </w:r>
            <w:r>
              <w:rPr>
                <w:rFonts w:hint="default"/>
                <w:rtl w:val="0"/>
                <w:lang w:val="es-MX"/>
              </w:rPr>
              <w:t>No aplica</w:t>
            </w:r>
            <w:bookmarkStart w:id="1" w:name="_GoBack"/>
            <w:bookmarkEnd w:id="1"/>
          </w:p>
        </w:tc>
      </w:tr>
      <w:tr w14:paraId="039D7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D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rPr>
                <w:rtl w:val="0"/>
              </w:rPr>
              <w:t>Asociaciones de inclusión:</w:t>
            </w:r>
            <w:r>
              <w:rPr>
                <w:rFonts w:hint="default"/>
                <w:rtl w:val="0"/>
                <w:lang w:val="es-MX"/>
              </w:rPr>
              <w:t xml:space="preserve"> No aplica</w:t>
            </w:r>
          </w:p>
        </w:tc>
      </w:tr>
      <w:tr w14:paraId="1A4BB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2">
            <w:pPr>
              <w:widowControl w:val="0"/>
              <w:spacing w:after="0"/>
            </w:pPr>
            <w:r>
              <w:rPr>
                <w:rtl w:val="0"/>
              </w:rPr>
              <w:t>Use case donde se incluye: No aplica</w:t>
            </w:r>
          </w:p>
        </w:tc>
      </w:tr>
      <w:tr w14:paraId="459F4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7">
            <w:pPr>
              <w:widowControl w:val="0"/>
              <w:spacing w:after="0"/>
            </w:pPr>
            <w:bookmarkStart w:id="0" w:name="_heading=h.52p5xo6og55o" w:colFirst="0" w:colLast="0"/>
            <w:bookmarkEnd w:id="0"/>
            <w:r>
              <w:rPr>
                <w:rtl w:val="0"/>
              </w:rPr>
              <w:t xml:space="preserve">Use case al que extiende: </w:t>
            </w:r>
            <w:r>
              <w:rPr>
                <w:rFonts w:hint="default"/>
                <w:rtl w:val="0"/>
                <w:lang w:val="es-MX"/>
              </w:rPr>
              <w:t>Registrar venta</w:t>
            </w:r>
          </w:p>
        </w:tc>
      </w:tr>
      <w:tr w14:paraId="2584E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C">
            <w:pPr>
              <w:widowControl w:val="0"/>
              <w:spacing w:after="0"/>
            </w:pPr>
            <w:r>
              <w:rPr>
                <w:rtl w:val="0"/>
              </w:rPr>
              <w:t>Use case de generalización: No aplica</w:t>
            </w:r>
          </w:p>
        </w:tc>
      </w:tr>
    </w:tbl>
    <w:p w14:paraId="00000081"/>
    <w:p w14:paraId="00000082">
      <w:pPr>
        <w:spacing w:line="276" w:lineRule="auto"/>
      </w:pPr>
    </w:p>
    <w:sectPr>
      <w:pgSz w:w="11906" w:h="16838"/>
      <w:pgMar w:top="709" w:right="1701" w:bottom="993" w:left="1701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2D18D83-E7FA-4364-A73C-4ABE3B75FAD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6F9855F-3D5D-4CAA-A7AA-53C35B4CA14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5EC2C43-51E1-4D13-AA34-6696F5385F5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381D124B-8BC9-4491-A5BF-CC7C23FAF195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D0731AA4-F185-4F7C-8F19-C209D5CEE5E5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3A2AF8BC-2069-4FD4-AF13-5CFAD64A8508}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  <w:embedRegular r:id="rId7" w:fontKey="{4A6B1A8F-C9F8-4C43-9E87-98CBFE18005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CA357D9"/>
    <w:rsid w:val="6E2352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="Calibri" w:hAnsi="Calibri" w:eastAsia="Calibri" w:cs="Calibri"/>
      <w:sz w:val="21"/>
      <w:szCs w:val="21"/>
      <w:lang w:val="es-AR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/YtgaXw//CKbdBNvM6ThcU4G1Q==">CgMxLjAyDmguNTJwNXhvNm9nNTVvOAByITFKVWExNFAxenVKSFlGVXZLY3pnYjdmRFJETlVXVDZoYQ==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361</Words>
  <Characters>1918</Characters>
  <TotalTime>0</TotalTime>
  <ScaleCrop>false</ScaleCrop>
  <LinksUpToDate>false</LinksUpToDate>
  <CharactersWithSpaces>2331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2026-05-10T23:30:00Z</dcterms:created>
  <dc:creator>Santi</dc:creator>
  <cp:lastModifiedBy>Santi</cp:lastModifiedBy>
  <dcterms:modified xsi:type="dcterms:W3CDTF">2026-05-15T23:28:17Z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