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5"/>
        <w:gridCol w:w="2352"/>
        <w:gridCol w:w="404"/>
        <w:gridCol w:w="1987"/>
        <w:gridCol w:w="3686"/>
      </w:tblGrid>
      <w:tr w14:paraId="4B4D6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BBB6D7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Nombre del Use Case: Registrar Scoring Cliente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E24A8">
            <w:pPr>
              <w:widowControl w:val="0"/>
              <w:spacing w:before="0" w:after="0"/>
              <w:jc w:val="left"/>
              <w:rPr>
                <w:u w:val="single"/>
                <w:lang w:val="es-MX"/>
              </w:rPr>
            </w:pPr>
            <w:r>
              <w:rPr>
                <w:kern w:val="0"/>
              </w:rPr>
              <w:t>Nº de orden: UC-0</w:t>
            </w:r>
            <w:r>
              <w:rPr>
                <w:kern w:val="0"/>
                <w:lang w:val="es-MX"/>
              </w:rPr>
              <w:t>16</w:t>
            </w:r>
            <w:r>
              <w:rPr>
                <w:kern w:val="0"/>
                <w:u w:val="single"/>
                <w:lang w:val="es-MX"/>
              </w:rPr>
              <w:t>.1</w:t>
            </w:r>
          </w:p>
        </w:tc>
      </w:tr>
      <w:tr w14:paraId="7FC77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14B9CF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F081F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83E0B8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1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PwE7t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voJXAWhKeB78rolkWZMWFHCQ/pHq4ekllo&#10;ng348iUC7FzVvNzU1OfMJB3Olx+XK9JZUuhL+2lRxW6e7ibA/E1Hz4rRc6BZVQnF6Ttmqkepf1JK&#10;KYzOqp11rjpw2H91wE6C5rqrqzRMV16kucBGamSxatsK/SKIzzHauv6FUXrYChymWoqskiU6iMeg&#10;ppouUOki1iRPsfZRXapq9ZyGV5u7PrTyOp779fbTz7X5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PwE7t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kern w:val="0"/>
              </w:rPr>
              <w:t>Baja</w:t>
            </w:r>
          </w:p>
        </w:tc>
      </w:tr>
      <w:tr w14:paraId="1DE2A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79B6EB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2033270</wp:posOffset>
                      </wp:positionH>
                      <wp:positionV relativeFrom="paragraph">
                        <wp:posOffset>40640</wp:posOffset>
                      </wp:positionV>
                      <wp:extent cx="135255" cy="90805"/>
                      <wp:effectExtent l="6985" t="6985" r="5715" b="5715"/>
                      <wp:wrapNone/>
                      <wp:docPr id="2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160.1pt;margin-top:3.2pt;height:7.15pt;width:10.65pt;z-index:251659264;mso-width-relative:page;mso-height-relative:page;" fillcolor="#000000" filled="t" stroked="t" coordsize="21600,21600" o:gfxdata="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R&#10;gVqH2AAAAAgBAAAPAAAAAAAAAAEAIAAAACIAAABkcnMvZG93bnJldi54bWxQSwECFAAUAAAACACH&#10;TuJA+2b3E7IBAACkAwAADgAAAAAAAAABACAAAAAnAQAAZHJzL2Uyb0RvYy54bWxQSwUGAAAAAAYA&#10;BgBZAQAASw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kern w:val="0"/>
              </w:rP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0FA6AC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436880</wp:posOffset>
                      </wp:positionH>
                      <wp:positionV relativeFrom="paragraph">
                        <wp:posOffset>51435</wp:posOffset>
                      </wp:positionV>
                      <wp:extent cx="137795" cy="90805"/>
                      <wp:effectExtent l="6985" t="6985" r="5715" b="5715"/>
                      <wp:wrapNone/>
                      <wp:docPr id="3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34.4pt;margin-top:4.05pt;height:7.15pt;width:10.85pt;z-index:251659264;mso-width-relative:page;mso-height-relative:page;" fillcolor="#FFFFFF" filled="t" stroked="t" coordsize="21600,21600" o:gfxdata="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j0ycPtUAAAAGAQAADwAAAAAAAAABACAAAAAiAAAAZHJzL2Rvd25yZXYueG1sUEsBAhQAFAAA&#10;AAgAh07iQI0IiUu5AQAApAMAAA4AAAAAAAAAAQAgAAAAJAEAAGRycy9lMm9Eb2MueG1sUEsFBgAA&#10;AAAGAAYAWQEAAE8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kern w:val="0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5594D4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Baja</w:t>
            </w:r>
          </w:p>
        </w:tc>
      </w:tr>
      <w:tr w14:paraId="22167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0DBAD8">
            <w:pPr>
              <w:widowControl w:val="0"/>
              <w:spacing w:before="0" w:after="0"/>
              <w:jc w:val="left"/>
              <w:rPr>
                <w:lang w:val="es-MX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2032635</wp:posOffset>
                      </wp:positionH>
                      <wp:positionV relativeFrom="paragraph">
                        <wp:posOffset>-351790</wp:posOffset>
                      </wp:positionV>
                      <wp:extent cx="135255" cy="89535"/>
                      <wp:effectExtent l="6985" t="6985" r="5715" b="5715"/>
                      <wp:wrapNone/>
                      <wp:docPr id="4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8964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0.05pt;margin-top:-27.7pt;height:7.05pt;width:10.65pt;z-index:251659264;mso-width-relative:page;mso-height-relative:page;" fillcolor="#666666" filled="t" stroked="t" coordsize="21600,21600" o:gfxdata="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v+&#10;XmXYAAAACwEAAA8AAAAAAAAAAQAgAAAAIgAAAGRycy9kb3ducmV2LnhtbFBLAQIUABQAAAAIAIdO&#10;4kC/cgGR6gEAAD8EAAAOAAAAAAAAAAEAIAAAACcBAABkcnMvZTJvRG9jLnhtbFBLBQYAAAAABgAG&#10;AFkBAACDBQAAAAA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kern w:val="0"/>
              </w:rPr>
              <w:t xml:space="preserve">Actor principal: </w:t>
            </w:r>
            <w:r>
              <w:rPr>
                <w:kern w:val="0"/>
                <w:lang w:val="es-MX"/>
              </w:rPr>
              <w:t>Sistema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575CF6">
            <w:pPr>
              <w:widowControl w:val="0"/>
              <w:spacing w:before="0" w:after="0"/>
              <w:jc w:val="left"/>
              <w:rPr>
                <w:lang w:val="es-MX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-338455</wp:posOffset>
                      </wp:positionV>
                      <wp:extent cx="135255" cy="90805"/>
                      <wp:effectExtent l="6985" t="6985" r="5715" b="5715"/>
                      <wp:wrapNone/>
                      <wp:docPr id="5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34.35pt;margin-top:-26.65pt;height:7.15pt;width:10.65pt;z-index:251659264;mso-width-relative:page;mso-height-relative:page;" fillcolor="#FFFFFF" filled="t" stroked="t" coordsize="21600,21600" o:gfxdata="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223w/NgAAAAJAQAADwAAAAAAAAABACAAAAAiAAAAZHJzL2Rvd25yZXYueG1sUEsBAhQA&#10;FAAAAAgAh07iQJP9bCa5AQAApAMAAA4AAAAAAAAAAQAgAAAAJwEAAGRycy9lMm9Eb2MueG1sUEsF&#10;BgAAAAAGAAYAWQEAAFI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kern w:val="0"/>
              </w:rPr>
              <w:t>Actor secundario: Sistema externo de créditos</w:t>
            </w:r>
          </w:p>
        </w:tc>
      </w:tr>
      <w:tr w14:paraId="5515C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9B8FDF">
            <w:pPr>
              <w:widowControl w:val="0"/>
              <w:spacing w:before="0" w:after="0"/>
              <w:jc w:val="left"/>
              <w:rPr>
                <w:u w:val="single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-356870</wp:posOffset>
                      </wp:positionV>
                      <wp:extent cx="135255" cy="90805"/>
                      <wp:effectExtent l="6985" t="6985" r="5715" b="5715"/>
                      <wp:wrapNone/>
                      <wp:docPr id="6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386.25pt;margin-top:-28.1pt;height:7.15pt;width:10.65pt;z-index:251659264;mso-width-relative:page;mso-height-relative:page;" fillcolor="#FFFFFF" filled="t" stroked="t" coordsize="21600,21600" o:gfxdata="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3pMvoNkAAAALAQAADwAAAAAAAAABACAAAAAiAAAAZHJzL2Rvd25yZXYueG1s&#10;UEsBAhQAFAAAAAgAh07iQM5co02+AQAArgMAAA4AAAAAAAAAAQAgAAAAKAEAAGRycy9lMm9Eb2Mu&#10;eG1sUEsFBgAAAAAGAAYAWQEAAFgFAAAAAA==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985" distB="5715" distL="6350" distR="6350" simplePos="0" relativeHeight="251659264" behindDoc="0" locked="0" layoutInCell="1" allowOverlap="1">
                      <wp:simplePos x="0" y="0"/>
                      <wp:positionH relativeFrom="column">
                        <wp:posOffset>2016125</wp:posOffset>
                      </wp:positionH>
                      <wp:positionV relativeFrom="paragraph">
                        <wp:posOffset>41910</wp:posOffset>
                      </wp:positionV>
                      <wp:extent cx="134620" cy="104775"/>
                      <wp:effectExtent l="6350" t="6985" r="6350" b="5715"/>
                      <wp:wrapNone/>
                      <wp:docPr id="7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158.75pt;margin-top:3.3pt;height:8.25pt;width:10.6pt;z-index:251659264;mso-width-relative:page;mso-height-relative:page;" fillcolor="#FFFFFF" filled="t" stroked="t" coordsize="21600,21600" o:gfxdata="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mCCK81wAAAAgBAAAPAAAAAAAAAAEAIAAAACIAAABkcnMvZG93bnJldi54bWxQSwECFAAU&#10;AAAACACHTuJAg5ygWbkBAAClAwAADgAAAAAAAAABACAAAAAm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3006725</wp:posOffset>
                      </wp:positionH>
                      <wp:positionV relativeFrom="paragraph">
                        <wp:posOffset>31115</wp:posOffset>
                      </wp:positionV>
                      <wp:extent cx="166370" cy="107950"/>
                      <wp:effectExtent l="6350" t="6350" r="6350" b="6350"/>
                      <wp:wrapNone/>
                      <wp:docPr id="8" name="Forma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20" cy="10800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8" o:spid="_x0000_s1026" o:spt="1" style="position:absolute;left:0pt;margin-left:236.75pt;margin-top:2.45pt;height:8.5pt;width:13.1pt;z-index:251659264;mso-width-relative:page;mso-height-relative:page;" fillcolor="#666666" filled="t" stroked="t" coordsize="21600,21600" o:gfxdata="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RMEz+1wAA&#10;AAgBAAAPAAAAAAAAAAEAIAAAACIAAABkcnMvZG93bnJldi54bWxQSwECFAAUAAAACACHTuJAKUsY&#10;7uYBAABABAAADgAAAAAAAAABACAAAAAmAQAAZHJzL2Uyb0RvYy54bWxQSwUGAAAAAAYABgBZAQAA&#10;fgUAAAAA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kern w:val="0"/>
              </w:rPr>
              <w:t>Tipo de Use Case                  Concreto               Abstracto</w:t>
            </w:r>
          </w:p>
        </w:tc>
      </w:tr>
      <w:tr w14:paraId="660A3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4F242A">
            <w:pPr>
              <w:widowControl w:val="0"/>
              <w:spacing w:before="0" w:after="0"/>
              <w:jc w:val="left"/>
              <w:rPr>
                <w:lang w:val="es-MX"/>
              </w:rPr>
            </w:pPr>
            <w:r>
              <w:rPr>
                <w:kern w:val="0"/>
              </w:rPr>
              <w:t>Objetivo:</w:t>
            </w:r>
            <w:r>
              <w:rPr>
                <w:kern w:val="0"/>
                <w:lang w:val="es-MX"/>
              </w:rPr>
              <w:t xml:space="preserve"> Generar un puntaje de crédito del cliente en base a su historial de compras y comportamiento de pagos, con el fin de asistir en la evaluación de solicitudes de crédito, evitando otorgar financiamiento a clientes con alto riesgo y permitiendo premiar a aquellos con buen historial mediante beneficios como mejores condiciones o descuentos.</w:t>
            </w:r>
          </w:p>
        </w:tc>
      </w:tr>
      <w:tr w14:paraId="6B30E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5B11CC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Precondiciones: </w:t>
            </w:r>
          </w:p>
          <w:p w14:paraId="2898DFBD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- Debe existir un cliente registrado.</w:t>
            </w:r>
          </w:p>
          <w:p w14:paraId="34E1223F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- El cliente debe poseer historial de compras o créditos previos.</w:t>
            </w:r>
          </w:p>
          <w:p w14:paraId="3696F5AE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- El sistema debe tener acceso a los datos históricos de ventas y créditos.</w:t>
            </w:r>
          </w:p>
        </w:tc>
      </w:tr>
      <w:tr w14:paraId="5ED1D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3114B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Post- condiciones</w:t>
            </w: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5FD0B8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Éxito: </w:t>
            </w:r>
          </w:p>
          <w:p w14:paraId="32114F18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- Se genera un score de crédito para el cliente.</w:t>
            </w:r>
          </w:p>
          <w:p w14:paraId="4EB3CB35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- El score queda disponible para su uso en la evaluación del crédito.</w:t>
            </w:r>
          </w:p>
        </w:tc>
      </w:tr>
      <w:tr w14:paraId="0CBA0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AA42A">
            <w:pPr>
              <w:widowControl/>
              <w:spacing w:before="0" w:after="200"/>
              <w:jc w:val="left"/>
              <w:rPr>
                <w:kern w:val="0"/>
              </w:rPr>
            </w:pP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058747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Fracaso: </w:t>
            </w:r>
          </w:p>
          <w:p w14:paraId="61D8048D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- No se puede calcular el score por falta de datos.</w:t>
            </w:r>
          </w:p>
        </w:tc>
      </w:tr>
      <w:tr w14:paraId="74298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CA4D83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6F7C4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Curso Alternativo</w:t>
            </w:r>
          </w:p>
        </w:tc>
      </w:tr>
      <w:tr w14:paraId="68E9B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A9827A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</w:p>
          <w:p w14:paraId="59672A35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kern w:val="0"/>
              </w:rPr>
              <w:t>1. El UC comienza cuando el sistema valida que no existe un scoring para un cliente con cantidad de ventas o contratoscréditos suficientes.</w:t>
            </w:r>
          </w:p>
          <w:p w14:paraId="2C70ACDB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</w:p>
          <w:p w14:paraId="3094F2DA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</w:p>
          <w:p w14:paraId="5DAC4C2E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</w:p>
          <w:p w14:paraId="7046B518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</w:p>
          <w:p w14:paraId="1C36B6B9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</w:p>
          <w:p w14:paraId="58C4B956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kern w:val="0"/>
              </w:rPr>
              <w:t>2. El sistema calcula el scoring inicial del cliente</w:t>
            </w:r>
          </w:p>
          <w:p w14:paraId="50447205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kern w:val="0"/>
              </w:rPr>
              <w:t>3. El sistema registra el scoring inicial del cliente</w:t>
            </w:r>
          </w:p>
          <w:p w14:paraId="57EE8923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4. Fin del UC </w:t>
            </w:r>
          </w:p>
          <w:p w14:paraId="34FC4016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DACB75">
            <w:pPr>
              <w:widowControl w:val="0"/>
              <w:spacing w:before="0" w:after="0"/>
              <w:jc w:val="left"/>
              <w:rPr>
                <w:kern w:val="0"/>
              </w:rPr>
            </w:pPr>
          </w:p>
          <w:p w14:paraId="04479D89">
            <w:pPr>
              <w:widowControl w:val="0"/>
              <w:spacing w:before="0" w:after="0"/>
              <w:jc w:val="both"/>
              <w:rPr>
                <w:kern w:val="0"/>
              </w:rPr>
            </w:pPr>
            <w:r>
              <w:rPr>
                <w:kern w:val="0"/>
              </w:rPr>
              <w:t>1.1 El cliente no tiene registros de ventas o Contratos de Crédito suficientes.</w:t>
            </w:r>
          </w:p>
          <w:p w14:paraId="0515E551">
            <w:pPr>
              <w:widowControl w:val="0"/>
              <w:spacing w:before="0" w:after="0"/>
              <w:jc w:val="both"/>
              <w:rPr>
                <w:kern w:val="0"/>
              </w:rPr>
            </w:pPr>
            <w:r>
              <w:rPr>
                <w:kern w:val="0"/>
              </w:rPr>
              <w:t>1.2 No se registra el scoring del cliente</w:t>
            </w:r>
          </w:p>
          <w:p w14:paraId="3EA36F6C">
            <w:pPr>
              <w:widowControl w:val="0"/>
              <w:spacing w:before="0" w:after="0"/>
              <w:jc w:val="both"/>
              <w:rPr>
                <w:kern w:val="0"/>
              </w:rPr>
            </w:pPr>
            <w:r>
              <w:rPr>
                <w:kern w:val="0"/>
              </w:rPr>
              <w:t>1.3 El sistema notifica al usuario que no se puede registrar un score sobre el cliente por no tener ventas o créditos asociados.</w:t>
            </w:r>
          </w:p>
          <w:p w14:paraId="1C242305">
            <w:pPr>
              <w:widowControl w:val="0"/>
              <w:spacing w:before="0" w:after="0"/>
              <w:jc w:val="both"/>
              <w:rPr>
                <w:kern w:val="0"/>
              </w:rPr>
            </w:pPr>
            <w:r>
              <w:rPr>
                <w:kern w:val="0"/>
              </w:rPr>
              <w:t>1.4 Se cancela el UC</w:t>
            </w:r>
          </w:p>
          <w:p w14:paraId="49D61AD4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kern w:val="0"/>
              </w:rPr>
            </w:pPr>
          </w:p>
          <w:p w14:paraId="1529279E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kern w:val="0"/>
              </w:rPr>
            </w:pPr>
          </w:p>
          <w:p w14:paraId="7C541CCA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kern w:val="0"/>
              </w:rPr>
            </w:pPr>
          </w:p>
        </w:tc>
      </w:tr>
      <w:tr w14:paraId="48952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7CCB53">
            <w:pPr>
              <w:widowControl w:val="0"/>
              <w:spacing w:before="0" w:after="0"/>
              <w:jc w:val="left"/>
              <w:rPr>
                <w:rFonts w:hint="default"/>
                <w:kern w:val="0"/>
                <w:lang w:val="es-MX"/>
              </w:rPr>
            </w:pPr>
            <w:r>
              <w:rPr>
                <w:kern w:val="0"/>
              </w:rPr>
              <w:t xml:space="preserve">Asociaciones de extensión: </w:t>
            </w:r>
            <w:r>
              <w:rPr>
                <w:rFonts w:hint="default"/>
                <w:kern w:val="0"/>
                <w:lang w:val="es-MX"/>
              </w:rPr>
              <w:t>No aplica</w:t>
            </w:r>
            <w:bookmarkStart w:id="0" w:name="_GoBack"/>
            <w:bookmarkEnd w:id="0"/>
          </w:p>
        </w:tc>
      </w:tr>
      <w:tr w14:paraId="331A7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785843">
            <w:pPr>
              <w:widowControl w:val="0"/>
              <w:spacing w:before="0" w:after="0"/>
              <w:jc w:val="left"/>
              <w:rPr>
                <w:lang w:val="es-MX"/>
              </w:rPr>
            </w:pPr>
            <w:r>
              <w:rPr>
                <w:kern w:val="0"/>
              </w:rPr>
              <w:t xml:space="preserve">Asociaciones de inclusión: </w:t>
            </w:r>
            <w:r>
              <w:rPr>
                <w:kern w:val="0"/>
                <w:lang w:val="es-MX"/>
              </w:rPr>
              <w:t>N</w:t>
            </w:r>
            <w:r>
              <w:rPr>
                <w:kern w:val="0"/>
              </w:rPr>
              <w:t xml:space="preserve">o aplica </w:t>
            </w:r>
          </w:p>
        </w:tc>
      </w:tr>
      <w:tr w14:paraId="1CB7B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6FE8FC">
            <w:pPr>
              <w:widowControl w:val="0"/>
              <w:spacing w:before="0" w:after="0"/>
              <w:jc w:val="left"/>
              <w:rPr>
                <w:rFonts w:hint="default"/>
                <w:lang w:val="es-MX"/>
              </w:rPr>
            </w:pPr>
            <w:r>
              <w:rPr>
                <w:kern w:val="0"/>
              </w:rPr>
              <w:t>Use case donde se incluye:</w:t>
            </w:r>
            <w:r>
              <w:rPr>
                <w:kern w:val="0"/>
                <w:lang w:val="es-MX"/>
              </w:rPr>
              <w:t xml:space="preserve"> </w:t>
            </w:r>
            <w:r>
              <w:rPr>
                <w:rFonts w:hint="default"/>
                <w:kern w:val="0"/>
                <w:lang w:val="es-MX"/>
              </w:rPr>
              <w:t>No aplica</w:t>
            </w:r>
          </w:p>
        </w:tc>
      </w:tr>
      <w:tr w14:paraId="03935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2C6420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Use case al que extiende: </w:t>
            </w:r>
            <w:r>
              <w:rPr>
                <w:rFonts w:hint="default"/>
                <w:kern w:val="0"/>
                <w:lang w:val="es-MX"/>
              </w:rPr>
              <w:t>Consultar</w:t>
            </w:r>
            <w:r>
              <w:rPr>
                <w:kern w:val="0"/>
              </w:rPr>
              <w:t xml:space="preserve"> </w:t>
            </w:r>
            <w:r>
              <w:rPr>
                <w:rFonts w:hint="default"/>
                <w:kern w:val="0"/>
                <w:lang w:val="es-MX"/>
              </w:rPr>
              <w:t>s</w:t>
            </w:r>
            <w:r>
              <w:rPr>
                <w:kern w:val="0"/>
              </w:rPr>
              <w:t>coring Cliente</w:t>
            </w:r>
          </w:p>
        </w:tc>
      </w:tr>
      <w:tr w14:paraId="57C44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8DA238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Use case de generalización: </w:t>
            </w:r>
            <w:r>
              <w:rPr>
                <w:kern w:val="0"/>
                <w:lang w:val="es-MX"/>
              </w:rPr>
              <w:t>N</w:t>
            </w:r>
            <w:r>
              <w:rPr>
                <w:kern w:val="0"/>
              </w:rPr>
              <w:t>o aplica</w:t>
            </w:r>
          </w:p>
        </w:tc>
      </w:tr>
    </w:tbl>
    <w:p w14:paraId="294FA49E"/>
    <w:p w14:paraId="185EF5D8">
      <w:pPr>
        <w:spacing w:before="0" w:after="200" w:line="276" w:lineRule="auto"/>
      </w:pPr>
    </w:p>
    <w:sectPr>
      <w:pgSz w:w="11906" w:h="16838"/>
      <w:pgMar w:top="709" w:right="1701" w:bottom="993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Segoe Print"/>
    <w:panose1 w:val="020B0604020202020204"/>
    <w:charset w:val="01"/>
    <w:family w:val="swiss"/>
    <w:pitch w:val="default"/>
    <w:sig w:usb0="00000000" w:usb1="00000000" w:usb2="00000021" w:usb3="00000000" w:csb0="600001BF" w:csb1="DFF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08"/>
  <w:autoHyphenation/>
  <w:hyphenationZone w:val="425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7086607"/>
    <w:rsid w:val="76021C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88" w:lineRule="auto"/>
      <w:jc w:val="left"/>
    </w:pPr>
    <w:rPr>
      <w:rFonts w:ascii="Calibri" w:hAnsi="Calibri" w:eastAsia="Calibri" w:cs="Noto Sans"/>
      <w:color w:val="auto"/>
      <w:kern w:val="0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0"/>
    <w:qFormat/>
    <w:uiPriority w:val="0"/>
    <w:pPr>
      <w:tabs>
        <w:tab w:val="center" w:pos="4419"/>
        <w:tab w:val="right" w:pos="8838"/>
      </w:tabs>
      <w:spacing w:before="0"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footer"/>
    <w:basedOn w:val="1"/>
    <w:link w:val="11"/>
    <w:qFormat/>
    <w:uiPriority w:val="0"/>
    <w:pPr>
      <w:tabs>
        <w:tab w:val="center" w:pos="4419"/>
        <w:tab w:val="right" w:pos="8838"/>
      </w:tabs>
      <w:spacing w:before="0" w:after="0" w:line="240" w:lineRule="auto"/>
    </w:pPr>
  </w:style>
  <w:style w:type="paragraph" w:styleId="9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0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1">
    <w:name w:val="Footer Char"/>
    <w:basedOn w:val="2"/>
    <w:link w:val="8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normaltextrun"/>
    <w:basedOn w:val="2"/>
    <w:qFormat/>
    <w:uiPriority w:val="0"/>
  </w:style>
  <w:style w:type="character" w:customStyle="1" w:styleId="13">
    <w:name w:val="Símbolos de numeración"/>
    <w:qFormat/>
    <w:uiPriority w:val="0"/>
  </w:style>
  <w:style w:type="paragraph" w:customStyle="1" w:styleId="14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5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6">
    <w:name w:val="Header and Footer"/>
    <w:basedOn w:val="1"/>
    <w:qFormat/>
    <w:uiPriority w:val="0"/>
  </w:style>
  <w:style w:type="paragraph" w:customStyle="1" w:styleId="17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8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19">
    <w:name w:val="List Paragraph"/>
    <w:basedOn w:val="1"/>
    <w:qFormat/>
    <w:uiPriority w:val="0"/>
    <w:pPr>
      <w:spacing w:before="0" w:after="200"/>
      <w:ind w:left="720"/>
      <w:contextualSpacing/>
    </w:pPr>
  </w:style>
  <w:style w:type="paragraph" w:customStyle="1" w:styleId="20">
    <w:name w:val="Cabecera y pie"/>
    <w:basedOn w:val="1"/>
    <w:qFormat/>
    <w:uiPriority w:val="0"/>
  </w:style>
  <w:style w:type="paragraph" w:customStyle="1" w:styleId="21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35D19B-92AA-40D1-A250-F0977FEF6321}">
  <ds:schemaRefs/>
</ds:datastoreItem>
</file>

<file path=customXml/itemProps3.xml><?xml version="1.0" encoding="utf-8"?>
<ds:datastoreItem xmlns:ds="http://schemas.openxmlformats.org/officeDocument/2006/customXml" ds:itemID="{CD15B3DF-7EC2-4C1E-984B-BE8A2354B205}">
  <ds:schemaRefs/>
</ds:datastoreItem>
</file>

<file path=customXml/itemProps4.xml><?xml version="1.0" encoding="utf-8"?>
<ds:datastoreItem xmlns:ds="http://schemas.openxmlformats.org/officeDocument/2006/customXml" ds:itemID="{67E9B3C8-8EB5-4E4C-ADEE-70B6197AA4A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288</Words>
  <Characters>1473</Characters>
  <Paragraphs>37</Paragraphs>
  <TotalTime>0</TotalTime>
  <ScaleCrop>false</ScaleCrop>
  <LinksUpToDate>false</LinksUpToDate>
  <CharactersWithSpaces>1812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2026-05-15T23:28:52Z</dcterms:modified>
  <cp:revision>158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ICV">
    <vt:lpwstr>EB06409198ED4C0CAC8142AAC4344AE0_12</vt:lpwstr>
  </property>
  <property fmtid="{D5CDD505-2E9C-101B-9397-08002B2CF9AE}" pid="4" name="KSOProductBuildVer">
    <vt:lpwstr>2058-12.1.0.26372</vt:lpwstr>
  </property>
  <property fmtid="{D5CDD505-2E9C-101B-9397-08002B2CF9AE}" pid="5" name="KSOTemplateDocerSaveRecord">
    <vt:lpwstr>eyJoZGlkIjoiM2I4MmIwODc3NTgwNDI2ZWY1ZDdiNGI3NjgzNDA5YjcifQ==</vt:lpwstr>
  </property>
</Properties>
</file>