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3EC17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31474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Nombre del Use Case: Consultar Scoring Cliente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C8E59">
            <w:pPr>
              <w:widowControl w:val="0"/>
              <w:spacing w:before="0" w:after="0"/>
              <w:jc w:val="left"/>
              <w:rPr>
                <w:u w:val="single"/>
                <w:lang w:val="es-MX"/>
              </w:rPr>
            </w:pPr>
            <w:r>
              <w:rPr>
                <w:kern w:val="0"/>
              </w:rPr>
              <w:t>Nº de orden: UC-0</w:t>
            </w:r>
            <w:r>
              <w:rPr>
                <w:kern w:val="0"/>
                <w:lang w:val="es-MX"/>
              </w:rPr>
              <w:t>16</w:t>
            </w:r>
          </w:p>
        </w:tc>
      </w:tr>
      <w:tr w14:paraId="728B1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C3569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41A2A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5C332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Baja</w:t>
            </w:r>
          </w:p>
        </w:tc>
      </w:tr>
      <w:tr w14:paraId="18519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1D0AB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2033270</wp:posOffset>
                      </wp:positionH>
                      <wp:positionV relativeFrom="paragraph">
                        <wp:posOffset>40640</wp:posOffset>
                      </wp:positionV>
                      <wp:extent cx="135255" cy="90805"/>
                      <wp:effectExtent l="6985" t="6985" r="5715" b="5715"/>
                      <wp:wrapNone/>
                      <wp:docPr id="2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160.1pt;margin-top:3.2pt;height:7.15pt;width:10.65pt;z-index:251659264;mso-width-relative:page;mso-height-relative:page;" fillcolor="#000000" filled="t" stroked="t" coordsize="21600,21600" o:gfxdata="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R&#10;gVqH2AAAAAgBAAAPAAAAAAAAAAEAIAAAACIAAABkcnMvZG93bnJldi54bWxQSwECFAAUAAAACACH&#10;TuJA+2b3E7IBAACkAwAADgAAAAAAAAABACAAAAAnAQAAZHJzL2Uyb0RvYy54bWxQSwUGAAAAAAYA&#10;BgBZAQAASw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B6BD2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3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4.4pt;margin-top:4.05pt;height:7.15pt;width:10.85pt;z-index:251659264;mso-width-relative:page;mso-height-relative:page;" fillcolor="#FFFFFF" filled="t" stroked="t" coordsize="21600,21600" o:gfxdata="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5zUWZM2FHCY3qAi4dk&#10;FponA758iQA7VTXPVzX1KTNJh/Ob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0ycPtUAAAAGAQAADwAAAAAAAAABACAAAAAiAAAAZHJzL2Rvd25yZXYueG1sUEsBAhQAFAAA&#10;AAgAh07iQI0IiUu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43516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Baja</w:t>
            </w:r>
          </w:p>
        </w:tc>
      </w:tr>
      <w:tr w14:paraId="475A6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A4CEC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4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C/cgGR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 xml:space="preserve">Actor principal: </w:t>
            </w:r>
            <w:r>
              <w:rPr>
                <w:kern w:val="0"/>
                <w:lang w:val="es-MX"/>
              </w:rPr>
              <w:t>Sistema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23889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5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23w/NgAAAAJAQAADwAAAAAAAAABACAAAAAiAAAAZHJzL2Rvd25yZXYueG1sUEsBAhQA&#10;FAAAAAgAh07iQJP9bCa5AQAApA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Actor secundario: Sistema externo de créditos</w:t>
            </w:r>
          </w:p>
        </w:tc>
      </w:tr>
      <w:tr w14:paraId="6B324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9ABD8">
            <w:pPr>
              <w:widowControl w:val="0"/>
              <w:spacing w:before="0" w:after="0"/>
              <w:jc w:val="left"/>
              <w:rPr>
                <w:u w:val="single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6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M5co02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158.75pt;margin-top:3.3pt;height:8.25pt;width:10.6pt;z-index:251659264;mso-width-relative:page;mso-height-relative:page;" fillcolor="#FFFFFF" filled="t" stroked="t" coordsize="21600,21600" o:gfxdata="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mCCK8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3006725</wp:posOffset>
                      </wp:positionH>
                      <wp:positionV relativeFrom="paragraph">
                        <wp:posOffset>31115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236.75pt;margin-top:2.45pt;height:8.5pt;width:13.1pt;z-index:251659264;mso-width-relative:page;mso-height-relative:page;" fillcolor="#666666" filled="t" stroked="t" coordsize="21600,21600" o:gfxdata="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RMEz+1wAA&#10;AAgBAAAPAAAAAAAAAAEAIAAAACIAAABkcnMvZG93bnJldi54bWxQSwECFAAUAAAACACHTuJAKUsY&#10;7uYBAABABAAADgAAAAAAAAABACAAAAAmAQAAZHJzL2Uyb0RvYy54bWxQSwUGAAAAAAYABgBZAQAA&#10;fgUA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Tipo de Use Case                  Concreto               Abstracto</w:t>
            </w:r>
          </w:p>
        </w:tc>
      </w:tr>
      <w:tr w14:paraId="4BD22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40EE9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w:rPr>
                <w:kern w:val="0"/>
              </w:rPr>
              <w:t>Objetivo:</w:t>
            </w:r>
            <w:r>
              <w:rPr>
                <w:kern w:val="0"/>
                <w:lang w:val="es-MX"/>
              </w:rPr>
              <w:t xml:space="preserve"> Consultar el puntaje de crédito de un cliente en base a su historial de compras y comportamiento de pagos, con el fin de asistir en la evaluación de solicitudes de crédito, evitando otorgar financiamiento a clientes con alto riesgo y permitiendo premiar a aquellos con buen historial mediante beneficios como mejores condiciones o descuentos.</w:t>
            </w:r>
          </w:p>
        </w:tc>
      </w:tr>
      <w:tr w14:paraId="07592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8E28F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Precondiciones: </w:t>
            </w:r>
          </w:p>
          <w:p w14:paraId="3E46F586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Debe existir un cliente registrado.</w:t>
            </w:r>
          </w:p>
          <w:p w14:paraId="1E800D8C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El cliente debe poseer historial de compras o créditos previos.</w:t>
            </w:r>
          </w:p>
          <w:p w14:paraId="1D5581BC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El sistema debe tener acceso a los datos históricos de ventas y créditos.</w:t>
            </w:r>
          </w:p>
        </w:tc>
      </w:tr>
      <w:tr w14:paraId="098BD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87139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0E812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Éxito: </w:t>
            </w:r>
          </w:p>
          <w:p w14:paraId="45B9758A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Existe un registro de score para el cliente consultado</w:t>
            </w:r>
          </w:p>
        </w:tc>
      </w:tr>
      <w:tr w14:paraId="0C271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563E9">
            <w:pPr>
              <w:widowControl/>
              <w:spacing w:before="0" w:after="200"/>
              <w:jc w:val="left"/>
              <w:rPr>
                <w:kern w:val="0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45450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Fracaso: </w:t>
            </w:r>
          </w:p>
          <w:p w14:paraId="53214B58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No se puede calcular el score por falta de datos.</w:t>
            </w:r>
          </w:p>
        </w:tc>
      </w:tr>
      <w:tr w14:paraId="506B5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D4FBA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B49BC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Curso Alternativo</w:t>
            </w:r>
          </w:p>
        </w:tc>
      </w:tr>
      <w:tr w14:paraId="69409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9E8C1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054A1494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1. El UC comienza cuando el sistema necesita evaluar una solicitud de crédito.</w:t>
            </w:r>
          </w:p>
          <w:p w14:paraId="176FCBBC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2. El sistema obtiene el registro de score de un cliente.</w:t>
            </w:r>
          </w:p>
          <w:p w14:paraId="4B927C69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67CDDE50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435E462F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130EF962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0667EF72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El sistema obtiene el historial de score del cliente.</w:t>
            </w:r>
          </w:p>
          <w:p w14:paraId="09C5DA02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El sistema muestra el último registro de score del cliente.</w:t>
            </w:r>
          </w:p>
          <w:p w14:paraId="05F06CBA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Fin de UC</w:t>
            </w:r>
          </w:p>
          <w:p w14:paraId="7160A8DC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5B764">
            <w:pPr>
              <w:widowControl w:val="0"/>
              <w:spacing w:before="0" w:after="0"/>
              <w:jc w:val="left"/>
              <w:rPr>
                <w:kern w:val="0"/>
              </w:rPr>
            </w:pPr>
          </w:p>
          <w:p w14:paraId="212642BA">
            <w:pPr>
              <w:widowControl w:val="0"/>
              <w:spacing w:before="0" w:after="0"/>
              <w:jc w:val="both"/>
              <w:rPr>
                <w:kern w:val="0"/>
              </w:rPr>
            </w:pPr>
          </w:p>
          <w:p w14:paraId="17272D04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4A948632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  <w:r>
              <w:rPr>
                <w:kern w:val="0"/>
              </w:rPr>
              <w:t>2.1 No existe un registro de score para el cliente obtenido</w:t>
            </w:r>
          </w:p>
          <w:p w14:paraId="08B98B51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  <w:r>
              <w:rPr>
                <w:kern w:val="0"/>
              </w:rPr>
              <w:t>2.2 El sistema muestra un mensaje que indica que no exise un registro de score para el cliente.</w:t>
            </w:r>
          </w:p>
          <w:p w14:paraId="4CA39F1B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  <w:r>
              <w:rPr>
                <w:kern w:val="0"/>
              </w:rPr>
              <w:t>2.3 Se cancela el UC.</w:t>
            </w:r>
          </w:p>
          <w:p w14:paraId="2A8C7DFE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556EF3C5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6336ED15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</w:tc>
      </w:tr>
      <w:tr w14:paraId="73019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6FF1B">
            <w:pPr>
              <w:widowControl w:val="0"/>
              <w:spacing w:before="0" w:after="0"/>
              <w:jc w:val="left"/>
              <w:rPr>
                <w:rFonts w:hint="default"/>
                <w:kern w:val="0"/>
                <w:lang w:val="es-MX"/>
              </w:rPr>
            </w:pPr>
            <w:r>
              <w:rPr>
                <w:kern w:val="0"/>
              </w:rPr>
              <w:t xml:space="preserve">Asociaciones de extensión: </w:t>
            </w:r>
            <w:r>
              <w:rPr>
                <w:rFonts w:hint="default"/>
                <w:kern w:val="0"/>
                <w:lang w:val="es-MX"/>
              </w:rPr>
              <w:t>Registrar scoring cliente - Actualizar scoring cliente</w:t>
            </w:r>
          </w:p>
        </w:tc>
      </w:tr>
      <w:tr w14:paraId="129EC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88502">
            <w:pPr>
              <w:widowControl w:val="0"/>
              <w:spacing w:before="0" w:after="0"/>
              <w:jc w:val="left"/>
              <w:rPr>
                <w:rFonts w:hint="default"/>
                <w:lang w:val="es-MX"/>
              </w:rPr>
            </w:pPr>
            <w:r>
              <w:rPr>
                <w:kern w:val="0"/>
              </w:rPr>
              <w:t xml:space="preserve">Asociaciones de inclusión: </w:t>
            </w:r>
            <w:r>
              <w:rPr>
                <w:rFonts w:hint="default"/>
                <w:kern w:val="0"/>
                <w:lang w:val="es-MX"/>
              </w:rPr>
              <w:t>No aplica</w:t>
            </w:r>
          </w:p>
        </w:tc>
      </w:tr>
      <w:tr w14:paraId="14BA7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4D6EA">
            <w:pPr>
              <w:widowControl w:val="0"/>
              <w:spacing w:before="0" w:after="0"/>
              <w:jc w:val="left"/>
              <w:rPr>
                <w:rFonts w:hint="default"/>
                <w:lang w:val="es-MX"/>
              </w:rPr>
            </w:pPr>
            <w:r>
              <w:rPr>
                <w:kern w:val="0"/>
              </w:rPr>
              <w:t>Use case donde se incluye:</w:t>
            </w:r>
            <w:r>
              <w:rPr>
                <w:kern w:val="0"/>
                <w:lang w:val="es-MX"/>
              </w:rPr>
              <w:t xml:space="preserve"> </w:t>
            </w:r>
            <w:r>
              <w:rPr>
                <w:rFonts w:hint="default"/>
                <w:kern w:val="0"/>
                <w:lang w:val="es-MX"/>
              </w:rPr>
              <w:t>No aplica</w:t>
            </w:r>
          </w:p>
        </w:tc>
      </w:tr>
      <w:tr w14:paraId="75CAA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C450A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Use case al que extiende: </w:t>
            </w:r>
            <w:r>
              <w:rPr>
                <w:rFonts w:hint="default"/>
                <w:kern w:val="0"/>
                <w:lang w:val="es-MX"/>
              </w:rPr>
              <w:t>Crear solicitud de crédito</w:t>
            </w:r>
          </w:p>
        </w:tc>
      </w:tr>
      <w:tr w14:paraId="37BE3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FC6B2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Use case de generalización: </w:t>
            </w:r>
            <w:r>
              <w:rPr>
                <w:kern w:val="0"/>
                <w:lang w:val="es-MX"/>
              </w:rPr>
              <w:t>N</w:t>
            </w:r>
            <w:r>
              <w:rPr>
                <w:kern w:val="0"/>
              </w:rPr>
              <w:t>o aplica</w:t>
            </w:r>
          </w:p>
        </w:tc>
      </w:tr>
    </w:tbl>
    <w:p w14:paraId="381FE2BC"/>
    <w:p w14:paraId="4592729D">
      <w:pPr>
        <w:spacing w:before="0" w:after="200" w:line="276" w:lineRule="auto"/>
      </w:pPr>
      <w:bookmarkStart w:id="0" w:name="_GoBack"/>
      <w:bookmarkEnd w:id="0"/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21" w:usb3="00000000" w:csb0="6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3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EC2318A"/>
    <w:rsid w:val="53D71C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6">
    <w:name w:val="Header and Footer"/>
    <w:basedOn w:val="1"/>
    <w:qFormat/>
    <w:uiPriority w:val="0"/>
  </w:style>
  <w:style w:type="paragraph" w:customStyle="1" w:styleId="17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9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0">
    <w:name w:val="Cabecera y pie"/>
    <w:basedOn w:val="1"/>
    <w:qFormat/>
    <w:uiPriority w:val="0"/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1353</Characters>
  <Paragraphs>36</Paragraphs>
  <TotalTime>2</TotalTime>
  <ScaleCrop>false</ScaleCrop>
  <LinksUpToDate>false</LinksUpToDate>
  <CharactersWithSpaces>1667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2026-05-15T23:30:54Z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