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4.0" w:type="dxa"/>
        <w:jc w:val="left"/>
        <w:tblInd w:w="-601.0" w:type="dxa"/>
        <w:tblLayout w:type="fixed"/>
        <w:tblLook w:val="0000"/>
      </w:tblPr>
      <w:tblGrid>
        <w:gridCol w:w="2346"/>
        <w:gridCol w:w="2351"/>
        <w:gridCol w:w="404"/>
        <w:gridCol w:w="1987"/>
        <w:gridCol w:w="3686"/>
        <w:tblGridChange w:id="0">
          <w:tblGrid>
            <w:gridCol w:w="2346"/>
            <w:gridCol w:w="2351"/>
            <w:gridCol w:w="404"/>
            <w:gridCol w:w="1987"/>
            <w:gridCol w:w="3686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Nombre del Use Case: Generar contrato y seguimiento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Nº de orden: UC-012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Prioridad                              Alta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320140</wp:posOffset>
                      </wp:positionH>
                      <wp:positionV relativeFrom="paragraph">
                        <wp:posOffset>35660</wp:posOffset>
                      </wp:positionV>
                      <wp:extent cx="160455" cy="11600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78320" y="373464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320140</wp:posOffset>
                      </wp:positionH>
                      <wp:positionV relativeFrom="paragraph">
                        <wp:posOffset>35660</wp:posOffset>
                      </wp:positionV>
                      <wp:extent cx="160455" cy="116005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0455" cy="1160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Complejidad                        Alta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2020670</wp:posOffset>
                      </wp:positionH>
                      <wp:positionV relativeFrom="paragraph">
                        <wp:posOffset>28039</wp:posOffset>
                      </wp:positionV>
                      <wp:extent cx="160455" cy="11600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2020670</wp:posOffset>
                      </wp:positionH>
                      <wp:positionV relativeFrom="paragraph">
                        <wp:posOffset>28039</wp:posOffset>
                      </wp:positionV>
                      <wp:extent cx="160455" cy="11600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0455" cy="1160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424280</wp:posOffset>
                      </wp:positionH>
                      <wp:positionV relativeFrom="paragraph">
                        <wp:posOffset>38835</wp:posOffset>
                      </wp:positionV>
                      <wp:extent cx="162995" cy="11600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77060" y="373464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424280</wp:posOffset>
                      </wp:positionH>
                      <wp:positionV relativeFrom="paragraph">
                        <wp:posOffset>38835</wp:posOffset>
                      </wp:positionV>
                      <wp:extent cx="162995" cy="11600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2995" cy="1160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principal: Cajero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2020034</wp:posOffset>
                      </wp:positionH>
                      <wp:positionV relativeFrom="paragraph">
                        <wp:posOffset>-364388</wp:posOffset>
                      </wp:positionV>
                      <wp:extent cx="160455" cy="11473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78373" y="3735233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2020034</wp:posOffset>
                      </wp:positionH>
                      <wp:positionV relativeFrom="paragraph">
                        <wp:posOffset>-364388</wp:posOffset>
                      </wp:positionV>
                      <wp:extent cx="160455" cy="11473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0455" cy="1147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secundario: -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423645</wp:posOffset>
                      </wp:positionH>
                      <wp:positionV relativeFrom="paragraph">
                        <wp:posOffset>-351053</wp:posOffset>
                      </wp:positionV>
                      <wp:extent cx="160455" cy="11600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423645</wp:posOffset>
                      </wp:positionH>
                      <wp:positionV relativeFrom="paragraph">
                        <wp:posOffset>-351053</wp:posOffset>
                      </wp:positionV>
                      <wp:extent cx="160455" cy="11600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0455" cy="1160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Tipo de Use Case                  Concreto               Abstracto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3071595</wp:posOffset>
                      </wp:positionH>
                      <wp:positionV relativeFrom="paragraph">
                        <wp:posOffset>29309</wp:posOffset>
                      </wp:positionV>
                      <wp:extent cx="159820" cy="12997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78680" y="372762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3071595</wp:posOffset>
                      </wp:positionH>
                      <wp:positionV relativeFrom="paragraph">
                        <wp:posOffset>29309</wp:posOffset>
                      </wp:positionV>
                      <wp:extent cx="159820" cy="12997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9820" cy="1299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2049879</wp:posOffset>
                      </wp:positionH>
                      <wp:positionV relativeFrom="paragraph">
                        <wp:posOffset>24864</wp:posOffset>
                      </wp:positionV>
                      <wp:extent cx="191570" cy="13315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62815" y="3726025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2049879</wp:posOffset>
                      </wp:positionH>
                      <wp:positionV relativeFrom="paragraph">
                        <wp:posOffset>24864</wp:posOffset>
                      </wp:positionV>
                      <wp:extent cx="191570" cy="13315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1570" cy="1331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4892775</wp:posOffset>
                      </wp:positionH>
                      <wp:positionV relativeFrom="paragraph">
                        <wp:posOffset>-369468</wp:posOffset>
                      </wp:positionV>
                      <wp:extent cx="160455" cy="11600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4892775</wp:posOffset>
                      </wp:positionH>
                      <wp:positionV relativeFrom="paragraph">
                        <wp:posOffset>-369468</wp:posOffset>
                      </wp:positionV>
                      <wp:extent cx="160455" cy="11600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0455" cy="1160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Objetivo: Generar el documento contractual del crédito aprobado y realizar el registro de seguimiento para asegurar que la documentación física y digital coincida con la operación de venta.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Precondiciones: 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El UC-011 (Solicitar y gestionar crédito) debe haber finalizado con estado "Aprobado".</w:t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-Los datos del cliente y de la sucursal deben estar completos.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Post- condiciones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Éxito: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Se genera el contrato en formato PDF/Impreso.</w:t>
            </w:r>
          </w:p>
          <w:p w:rsidR="00000000" w:rsidDel="00000000" w:rsidP="00000000" w:rsidRDefault="00000000" w:rsidRPr="00000000" w14:paraId="0000002B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-Se registra el inicio del seguimiento del contrato (ej. estado "Pendiente de Firma" o "Firmado").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Fracaso</w:t>
            </w:r>
            <w:r w:rsidDel="00000000" w:rsidR="00000000" w:rsidRPr="00000000">
              <w:rPr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No se genera el documento por falta de datos o error de sistema.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Normal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Alternativo</w:t>
            </w:r>
          </w:p>
        </w:tc>
      </w:tr>
      <w:tr>
        <w:trPr>
          <w:cantSplit w:val="0"/>
          <w:trHeight w:val="8194.51071428571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UC comienza automáticamente cuando un crédito es aprobado en el UC-011 o cuando el cajero selecciona "Generar Contrato" desde la gestión de créditos.</w:t>
              <w:tab/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El sistema recupera los datos de la organización (logo, CUIT), la sucursal, el cliente y las condiciones del crédito (monto, cuotas, tasas).</w:t>
              <w:tab/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El sistema genera el contrato aplicando la plantilla legal correspondiente al rubro y organización.</w:t>
              <w:tab/>
            </w:r>
          </w:p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El sistema muestra una vista previa del contrato al cajero.</w:t>
              <w:tab/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El cajero selecciona la opción "Imprimir/Generar PDF".</w:t>
              <w:tab/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El sistema registra el evento en el historial de seguimiento del crédito con fecha, hora y usuario responsable.</w:t>
              <w:tab/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El sistema actualiza el estado del seguimiento a "Contrato Generado".</w:t>
              <w:tab/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8. Fin del UC.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2.1 El sistema detecta datos faltantes del cliente para el contrato.</w:t>
            </w:r>
          </w:p>
          <w:p w:rsidR="00000000" w:rsidDel="00000000" w:rsidP="00000000" w:rsidRDefault="00000000" w:rsidRPr="00000000" w14:paraId="0000004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2.2 El sistema solicita completar datos.</w:t>
            </w:r>
          </w:p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2.3 Se cancela el UC hasta que se actualice el perfil del cliente.</w:t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5.1 El cajero detecta un error en la vista previa.</w:t>
            </w:r>
          </w:p>
          <w:p w:rsidR="00000000" w:rsidDel="00000000" w:rsidP="00000000" w:rsidRDefault="00000000" w:rsidRPr="00000000" w14:paraId="0000005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5.2 El cajero selecciona "Cancelar".</w:t>
            </w:r>
          </w:p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5.3 Se cancela el UC.</w:t>
            </w:r>
          </w:p>
        </w:tc>
      </w:tr>
      <w:tr>
        <w:trPr>
          <w:cantSplit w:val="0"/>
          <w:trHeight w:val="307.2941517857143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extensión: No aplica.</w:t>
            </w:r>
          </w:p>
        </w:tc>
      </w:tr>
      <w:tr>
        <w:trPr>
          <w:cantSplit w:val="0"/>
          <w:trHeight w:val="614.5883035714287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inclusión: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donde se incluye: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after="0" w:lineRule="auto"/>
              <w:rPr/>
            </w:pPr>
            <w:bookmarkStart w:colFirst="0" w:colLast="0" w:name="_heading=h.52p5xo6og55o" w:id="0"/>
            <w:bookmarkEnd w:id="0"/>
            <w:r w:rsidDel="00000000" w:rsidR="00000000" w:rsidRPr="00000000">
              <w:rPr>
                <w:rtl w:val="0"/>
              </w:rPr>
              <w:t xml:space="preserve">Use case al que extiende: UC-011 Solicitar y gestionar crédito.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de generalización: No aplica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709" w:left="1701" w:right="170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wtRMpnPcYbTfLrvsVeO5U3wb3g==">CgMxLjAyDmguNTJwNXhvNm9nNTVvOAByITFBS1JUdU9IVWQwTC1IdE5aT2l6UjBrcHpja3ZqYkJyLQ==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