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Normal"/>
        <w:tblW w:w="10755" w:type="dxa"/>
        <w:jc w:val="left"/>
        <w:tblInd w:w="-615" w:type="dxa"/>
        <w:tblLayout w:type="fixed"/>
        <w:tblCellMar>
          <w:top w:w="0" w:type="dxa"/>
          <w:left w:w="105" w:type="dxa"/>
          <w:bottom w:w="0" w:type="dxa"/>
          <w:right w:w="105" w:type="dxa"/>
        </w:tblCellMar>
        <w:tblLook w:val="0000" w:noHBand="0" w:noVBand="0" w:firstColumn="0" w:lastRow="0" w:lastColumn="0" w:firstRow="0"/>
      </w:tblPr>
      <w:tblGrid>
        <w:gridCol w:w="1658"/>
        <w:gridCol w:w="1671"/>
        <w:gridCol w:w="1673"/>
        <w:gridCol w:w="1657"/>
        <w:gridCol w:w="4096"/>
      </w:tblGrid>
      <w:tr>
        <w:trPr>
          <w:trHeight w:val="300" w:hRule="atLeast"/>
        </w:trPr>
        <w:tc>
          <w:tcPr>
            <w:tcW w:w="665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Nombre del Use Case: Modificar Cliente</w:t>
            </w:r>
          </w:p>
        </w:tc>
        <w:tc>
          <w:tcPr>
            <w:tcW w:w="4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Nº de orden: UC-003.1</w:t>
            </w:r>
          </w:p>
        </w:tc>
      </w:tr>
      <w:tr>
        <w:trPr>
          <w:trHeight w:val="300" w:hRule="atLeast"/>
        </w:trPr>
        <w:tc>
          <w:tcPr>
            <w:tcW w:w="332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95250"/>
                  <wp:effectExtent l="0" t="0" r="0" b="0"/>
                  <wp:docPr id="1" name="drawin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drawin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Prioridad                        Alta</w:t>
            </w:r>
          </w:p>
        </w:tc>
        <w:tc>
          <w:tcPr>
            <w:tcW w:w="333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             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Media</w:t>
            </w:r>
          </w:p>
        </w:tc>
        <w:tc>
          <w:tcPr>
            <w:tcW w:w="4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Baja</w:t>
            </w:r>
          </w:p>
        </w:tc>
      </w:tr>
      <w:tr>
        <w:trPr>
          <w:trHeight w:val="300" w:hRule="atLeast"/>
        </w:trPr>
        <w:tc>
          <w:tcPr>
            <w:tcW w:w="332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Complejidad                  Alta</w:t>
            </w:r>
          </w:p>
        </w:tc>
        <w:tc>
          <w:tcPr>
            <w:tcW w:w="333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              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Media     </w:t>
            </w: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95250"/>
                  <wp:effectExtent l="0" t="0" r="0" b="0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Baja</w:t>
            </w:r>
          </w:p>
        </w:tc>
      </w:tr>
      <w:tr>
        <w:trPr>
          <w:trHeight w:val="300" w:hRule="atLeast"/>
        </w:trPr>
        <w:tc>
          <w:tcPr>
            <w:tcW w:w="500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Actor principal: Personal de Administración / Vendedor con permisos elevados.</w:t>
            </w:r>
          </w:p>
        </w:tc>
        <w:tc>
          <w:tcPr>
            <w:tcW w:w="575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Actor secundario: -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Tipo de Use Case                  Concreto     </w:t>
            </w: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drawing>
                <wp:inline distT="0" distB="0" distL="0" distR="0">
                  <wp:extent cx="142875" cy="95250"/>
                  <wp:effectExtent l="0" t="0" r="0" b="0"/>
                  <wp:docPr id="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       Abstracto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Objetivo: Actualizar la información de un cliente existente, aplicando restricciones de inmutabilidad sobre datos fiscales si el cliente posee historial transaccional.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Precondiciones: 1. El actor debe tener rol autorizado. </w:t>
            </w: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  <w:br/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                           2. El cliente debe existir en el sistema.</w:t>
            </w:r>
          </w:p>
        </w:tc>
      </w:tr>
      <w:tr>
        <w:trPr>
          <w:trHeight w:val="300" w:hRule="atLeast"/>
        </w:trPr>
        <w:tc>
          <w:tcPr>
            <w:tcW w:w="1658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Post- condiciones</w:t>
            </w:r>
          </w:p>
        </w:tc>
        <w:tc>
          <w:tcPr>
            <w:tcW w:w="909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ind w:hanging="720" w:left="72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Éxito: Datos del cliente actualizados en el sistema.</w:t>
            </w:r>
          </w:p>
        </w:tc>
      </w:tr>
      <w:tr>
        <w:trPr>
          <w:trHeight w:val="300" w:hRule="atLeast"/>
        </w:trPr>
        <w:tc>
          <w:tcPr>
            <w:tcW w:w="1658" w:type="dxa"/>
            <w:vMerge w:val="continue"/>
            <w:tcBorders>
              <w:left w:val="single" w:sz="6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s-ES" w:eastAsia="en-US" w:bidi="ar-SA"/>
              </w:rPr>
            </w:r>
          </w:p>
        </w:tc>
        <w:tc>
          <w:tcPr>
            <w:tcW w:w="909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ind w:hanging="720" w:left="72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Fracaso: Se rechaza la modificación por violación de integridad fiscal o datos inválidos.</w:t>
            </w:r>
          </w:p>
        </w:tc>
      </w:tr>
      <w:tr>
        <w:trPr>
          <w:trHeight w:val="300" w:hRule="atLeast"/>
        </w:trPr>
        <w:tc>
          <w:tcPr>
            <w:tcW w:w="500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Curso Normal</w:t>
            </w:r>
          </w:p>
        </w:tc>
        <w:tc>
          <w:tcPr>
            <w:tcW w:w="575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Curso Alternativo</w:t>
            </w:r>
          </w:p>
        </w:tc>
      </w:tr>
      <w:tr>
        <w:trPr>
          <w:trHeight w:val="780" w:hRule="atLeast"/>
        </w:trPr>
        <w:tc>
          <w:tcPr>
            <w:tcW w:w="500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1. El actor selecciona la opción "Modificar Cliente".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2. El sistema ejecuta el caso de uso incluido </w:t>
            </w:r>
            <w:r>
              <w:rPr>
                <w:rFonts w:eastAsia="Calibri" w:cs="Calibri" w:ascii="Calibri" w:hAnsi="Calibri"/>
                <w:b/>
                <w:bCs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"Consultar Cliente"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(búsqueda por DNI/CUIT o Nombre).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3. El actor selecciona al cliente deseado de los resultados.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4. El sistema evalúa el historial del cliente. El cliente </w:t>
            </w:r>
            <w:r>
              <w:rPr>
                <w:rFonts w:eastAsia="Calibri" w:cs="Calibri" w:ascii="Calibri" w:hAnsi="Calibri"/>
                <w:b/>
                <w:bCs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no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posee facturas emitidas ni deudas activas.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5. El sistema despliega el formulario con todos los datos actuales habilitados para edición.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6. El actor modifica los datos requeridos (ej. Domicilio, Posición Fiscal) y selecciona "Guardar".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7. El sistema valida los formatos de los nuevos datos.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8. El sistema persiste los cambios en la base de datos.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9. El sistema emite un mensaje de actualización exitosa.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10. Fin del UC</w:t>
            </w:r>
          </w:p>
        </w:tc>
        <w:tc>
          <w:tcPr>
            <w:tcW w:w="575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4.1 El cliente YA posee facturas emitidas, historial de créditos o stock asociado.</w:t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4.1.1 El sistema despliega el formulario, pero bloquea (modo solo lectura) los campos de DNI/CUIT y Posición Fiscal.</w:t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4.1.2 El sistema solo permite editar datos de contacto (Domicilio, Teléfono, Email).</w:t>
            </w:r>
          </w:p>
          <w:p>
            <w:pPr>
              <w:pStyle w:val="Normal"/>
              <w:widowControl/>
              <w:spacing w:lineRule="auto" w:line="240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4.1.3 El flujo retoma en el paso 6.</w:t>
            </w:r>
          </w:p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6.1 El actor modifica datos críticos de identidad (Razón Social / CUIT) en un cliente sin historial.</w:t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6.1.1 El sistema intercepta el guardado y exige re-ejecutar el caso de uso "Validar Antecedentes Cliente" contra la API externa para el nuevo CUIT.</w:t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6.1.2 Si la API aprueba, el flujo retoma en el paso 8.</w:t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6.1.3 Si la API rechaza (ej. el nuevo CUIT está inhabilitado crediticiamente), el sistema cancela la modificación, muestra el motivo y retorna al paso 5.</w:t>
            </w:r>
          </w:p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7.1 Los datos ingresados tienen formato inválido o faltan campos obligatorios.</w:t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7.1.1 El sistema marca los errores en la interfaz.</w:t>
            </w:r>
          </w:p>
          <w:p>
            <w:pPr>
              <w:pStyle w:val="Normal"/>
              <w:widowControl/>
              <w:spacing w:lineRule="auto" w:line="288" w:beforeAutospacing="0" w:before="0" w:afterAutospacing="0" w:after="0"/>
              <w:ind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 xml:space="preserve">  </w:t>
            </w: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7.1.2 El flujo retorna al paso 5.</w:t>
            </w:r>
          </w:p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  <w:lang w:val="es-ES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ES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Asociaciones de extensión: no aplica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Autospacing="0" w:before="0" w:afterAutospacing="0" w:after="0"/>
              <w:ind w:left="0" w:right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Asociaciones de inclusión: no aplica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Use case donde se incluye: no aplica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Use case al que extiende: Consultar Producto</w:t>
            </w:r>
          </w:p>
        </w:tc>
      </w:tr>
      <w:tr>
        <w:trPr>
          <w:trHeight w:val="300" w:hRule="atLeast"/>
        </w:trPr>
        <w:tc>
          <w:tcPr>
            <w:tcW w:w="1075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88" w:before="0" w:after="0"/>
              <w:jc w:val="lef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color w:themeColor="text1" w:val="000000"/>
                <w:sz w:val="21"/>
                <w:szCs w:val="21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color w:themeColor="text1" w:val="000000"/>
                <w:kern w:val="0"/>
                <w:sz w:val="21"/>
                <w:szCs w:val="21"/>
                <w:lang w:val="es-AR" w:eastAsia="en-US" w:bidi="ar-SA"/>
              </w:rPr>
              <w:t>Use case de generalización: no aplica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285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285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rFonts w:ascii="Aptos" w:hAnsi="Aptos" w:eastAsia="Aptos" w:cs=""/>
              <w:kern w:val="0"/>
              <w:sz w:val="24"/>
              <w:szCs w:val="24"/>
              <w:lang w:val="es-ES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es-ES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9f01079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9f01079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2</Pages>
  <Words>400</Words>
  <Characters>2137</Characters>
  <CharactersWithSpaces>2650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2026-04-11T22:44:20Z</dcterms:created>
  <dc:creator>Jonathan Nahuel Mora Colodrero</dc:creator>
  <dc:description/>
  <dc:language>en-US</dc:language>
  <cp:lastModifiedBy/>
  <dcterms:modified xsi:type="dcterms:W3CDTF">2026-04-14T11:17:32Z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