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15BCE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BDF9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Nombre del Use Case: Registrar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Organización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6C73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Nº de orden: UC-00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2.1</w:t>
            </w:r>
          </w:p>
        </w:tc>
      </w:tr>
      <w:tr w14:paraId="5BECA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227E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3D9C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ADC9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1EC39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6EA47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2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Mr61uuQEAAKQDAAAOAAAAZHJzL2Uyb0RvYy54bWytU01v&#10;2zAMvQ/ofxB0X+x4Q5sZcXpokF6GrkC3H6BIcixAXyCVOPn3peQs/dgOPVQHmRSpR75HeXl7dJYd&#10;NKAJvuPzWc2Z9jIo43cd//N783XBGSbhlbDB646fNPLb1dWX5Rhb3YQhWKWBEYjHdowdH1KKbVWh&#10;HLQTOAtRewr2AZxI5MKuUiBGQne2aur6uhoDqAhBakQ6XU9BfkaEjwCGvjdSr4PcO+3ThAraikSU&#10;cDAR+ap02/dapl99jzox23FimspORcje5r1aLUW7AxEHI88tiI+08I6TE8ZT0QvUWiTB9mD+gXJG&#10;QsDQp5kMrpqIFEWIxbx+p83TIKIuXEhqjBfR8fNg5cPhEZhRHW8488LRwDd5dN+zMmPElhKe4iOc&#10;PSQz0zz24PKXCLBjUfN0UVMfE5N0OP92s1iQzpJCP+qbpohdvdyNgOleB8ey0XGgWRUJxeEnJqpH&#10;qX9TcikM1qiNsbY4sNveWWAHQXPdlJUbpitv0qxnIzXSXNd1gX4TxNcYdVn/w8g9rAUOUy1FVs4S&#10;LYS9V1NN66l0FmuSJ1vboE5FtXJOwyvNnR9afh2v/XL75edaP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DK+tbr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5C97C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6CF21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Baja</w:t>
            </w:r>
          </w:p>
        </w:tc>
      </w:tr>
      <w:tr w14:paraId="782E1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3C75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3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7OHkZOoBAAA/BAAADgAAAGRycy9lMm9Eb2MueG1srVM9&#10;b9swEN0L9D8Q3GtZdiOkhuUMMdylaAOkRWeaoiwC/MIdbdn/vkdKduykQ4ZokI738e7eO3H5cLSG&#10;HRSg9q7m5WTKmXLSN9rtav7n9+bLPWcYhWuE8U7V/KSQP6w+f1r2YaFmvvOmUcAIxOGiDzXvYgyL&#10;okDZKStw4oNyFGw9WBHpCLuiAdETujXFbDqtit5DE8BLhUje9RDkIyK8B9C3rZZq7eXeKhcHVFBG&#10;RKKEnQ7IV3natlUy/mpbVJGZmhPTmN/UhOxteherpVjsQIROy3EE8Z4RXnGyQjtqeoFaiyjYHvQb&#10;KKslePRtnEhvi4FIVoRYlNNX2jx3IqjMhaTGcBEdPw5W/jw8AdNNzeecOWFp4Zu0ujIp0wdcUMJz&#10;eILxhGQmmscWbPoSAXbMap4uaqpjZJKc5fxuXpHOkkL336qvWezipTYAxu/KW5aMmgPtKksoDj8w&#10;Uj9KPaeMyjYbbQwDH//q2GVxUtMcRKoZDBY86TO4EXbbRwPsIGj9VX4SL0Le4XX23ZSeDHRTkbzk&#10;/19FOYQSyE3Jmya51zic0Y6JdM3Kim7CFTSITC2hGcd6SphV54G80ZfgTauMcJ4Or9PA710zTG0c&#10;0U17HDaXrK1vTnmh2U//1SDIcAfSj3t9ztUv937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Ds4eRk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Actor principal: 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7064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4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ElpIA7kBAACkAwAADgAAAGRycy9lMm9Eb2MueG1srVNN&#10;b9swDL0P2H8QdF/suGu2GXF6WJBdiq5Atx+gSHIsQF8glTj596XkLP1YDz1UB5kUqUe+R3l5c3SW&#10;HTSgCb7j81nNmfYyKON3Hf/7Z/PlO2eYhFfCBq87ftLIb1afPy3H2OomDMEqDYxAPLZj7PiQUmyr&#10;CuWgncBZiNpTsA/gRCIXdpUCMRK6s1VT14tqDKAiBKkR6XQ9BfkZEd4DGPreSL0Ocu+0TxMqaCsS&#10;UcLBROSr0m3fa5l+9z3qxGzHiWkqOxUhe5v3arUU7Q5EHIw8tyDe08IrTk4YT0UvUGuRBNuD+Q/K&#10;GQkBQ59mMrhqIlIUIRbz+pU2D4OIunAhqTFeRMePg5V3h3tgRnX8K2deOBr4Jo+uycqMEVtKeIj3&#10;cPaQzEzz2IPLXyLAjkXN00VNfUxM0uH86vpqQTpLCv2ovzVF7OrpbgRMv3RwLBsdB5pVkVAcbjFR&#10;PUr9l5JLYbBGbYy1xYHd9qcFdhA0101ZuWG68iLNejZSI82irgv0iyA+x6jLegsj97AWOEy1FFk5&#10;S7QQ9l5NNa2n0lmsSZ5sbYM6FdXKOQ2vNHd+aPl1PPfL7aefa/UI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BJaSAO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 xml:space="preserve">Actor secundario: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-</w:t>
            </w:r>
          </w:p>
        </w:tc>
      </w:tr>
      <w:tr w14:paraId="51EBF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FA33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  <w:u w:val="single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FlEb/e+AQAArgMAAA4AAABkcnMvZTJvRG9jLnhtbK1T&#10;y44TMRC8I/EPlu9kJlklwCiTPRCFC4KVFj7A8SNjyS91O5nk72l7QvYBhz3gg6dtt6urqj3r+7N3&#10;7KQBbQw9n89aznSQUdlw6Pmvn7sPnzjDLIISLgbd84tGfr95/249pk4v4hCd0sAIJGA3pp4POaeu&#10;aVAO2gucxaQDHZoIXmRawqFRIEZC965ZtO2qGSOoBFFqRNrdTof8ighvAYzGWKm3UR69DnlCBe1E&#10;Jkk42IR8U9kao2X+YQzqzFzPSWmuMxWheF/mZrMW3QFEGqy8UhBvofBKkxc2UNEb1FZkwY5g/4Ly&#10;VkLEaPJMRt9MQqojpGLevvLmcRBJVy1kNaab6fj/YOX30wMwq3q+5CwITw3fldYtizNjwo4SHtMD&#10;XFdIYZF5NuDLlwSwc3XzcnNTnzOTtDm/W96tyGdJR5/bj4tqdvN0NwHmrzp6VoKeA/WqWihO3zBT&#10;PUr9k1JKYXRW7axzdQGH/RcH7CSor7s6CmG68iLNBTYSkcWqLTwEvVYIqhZ5kYbP0do6/oVW2GwF&#10;DlNVRVHJEh3EY1BTdReIRLFtMqpE+6gu1b+6T22sNK9PrryT5+t6++k32/w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FlEb/e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3433445</wp:posOffset>
                      </wp:positionH>
                      <wp:positionV relativeFrom="paragraph">
                        <wp:posOffset>-348615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70.35pt;margin-top:-27.45pt;height:7.15pt;width:10.65pt;z-index:251659264;mso-width-relative:page;mso-height-relative:page;" fillcolor="#000000" filled="t" stroked="t" coordsize="21600,21600" o:gfxdata="UEsDBAoAAAAAAIdO4kAAAAAAAAAAAAAAAAAEAAAAZHJzL1BLAwQUAAAACACHTuJANtBxh9oAAAAL&#10;AQAADwAAAGRycy9kb3ducmV2LnhtbE2PwU6DQBCG7ya+w2ZMvJh2lwawRZYeTDyZNlo9cNzCFFB2&#10;lrBbqG/veLLHmfnyz/fn24vtxYSj7xxpiJYKBFLl6o4aDZ8fL4s1CB8M1aZ3hBp+0MO2uL3JTVa7&#10;md5xOoRGcAj5zGhoQxgyKX3VojV+6QYkvp3caE3gcWxkPZqZw20vV0ql0pqO+ENrBnxusfo+nK2G&#10;rtxHb1+716l0+8Y9rEMo7bzT+v4uUk8gAl7CPwx/+qwOBTsd3ZlqL3oNSaweGdWwSOINCCaSdMXt&#10;jryJVQqyyOV1h+IXUEsDBBQAAAAIAIdO4kD/+GWHsgEAAKQDAAAOAAAAZHJzL2Uyb0RvYy54bWyt&#10;U01v2zAMvQ/ofxB0b+ykmLcZcXpYkF6GrkDXH6BIcixAXyCVOPn3peQs/dglh/kgkyL1yPcoLe+P&#10;zrKDBjTBd3w+qznTXgZl/K7jL382t985wyS8EjZ43fGTRn6/uvmyHGOrF2EIVmlgBOKxHWPHh5Ri&#10;W1UoB+0EzkLUnoJ9ACcSubCrFIiR0J2tFnXdVGMAFSFIjUi76ynIz4hwDWDoeyP1Osi90z5NqKCt&#10;SEQJBxORr0q3fa9l+t33qBOzHSemqaxUhOxtXqvVUrQ7EHEw8tyCuKaFT5ycMJ6KXqDWIgm2B/MP&#10;lDMSAoY+zWRw1USkKEIs5vUnbZ4HEXXhQlJjvIiO/w9WPh6egBnV8YYzLxwNfJNH12RlxogtJTzH&#10;Jzh7SGameezB5T8RYMei5umipj4mJmlzfvf1riGdJYV+1N8WRezq7WwETA86OJaNjgPNqkgoDr8w&#10;UT1K/ZuSS2GwRm2MtcWB3fanBXYQea7lyw3TkQ9p1rORGlk0dV2gPwTxOozcw1rgMNVSZE2XBsLe&#10;q6mm9VQ6izXJk61tUKeiWtmn4ZXmzhct3473fjn99rhWr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bQcYfaAAAACwEAAA8AAAAAAAAAAQAgAAAAIgAAAGRycy9kb3ducmV2LnhtbFBLAQIUABQAAAAI&#10;AIdO4kD/+GWHsgEAAKQDAAAOAAAAAAAAAAEAIAAAACk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2062480</wp:posOffset>
                      </wp:positionH>
                      <wp:positionV relativeFrom="paragraph">
                        <wp:posOffset>37465</wp:posOffset>
                      </wp:positionV>
                      <wp:extent cx="166370" cy="107950"/>
                      <wp:effectExtent l="6350" t="6350" r="6350" b="6350"/>
                      <wp:wrapNone/>
                      <wp:docPr id="7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162.4pt;margin-top:2.95pt;height:8.5pt;width:13.1pt;z-index:251659264;mso-width-relative:page;mso-height-relative:page;" fillcolor="#666666" filled="t" stroked="t" coordsize="21600,21600" o:gfxdata="UEsDBAoAAAAAAIdO4kAAAAAAAAAAAAAAAAAEAAAAZHJzL1BLAwQUAAAACACHTuJABbJWpdcAAAAI&#10;AQAADwAAAGRycy9kb3ducmV2LnhtbE2PzU7DMBCE70i8g7WVuFE7KUUkZNMDUm8IiRKJqxtvftR4&#10;HWKnTXl6zAmOoxnNfFPsFjuIM02+d4yQrBUI4tqZnluE6mN//wTCB81GD44J4UoeduXtTaFz4y78&#10;TudDaEUsYZ9rhC6EMZfS1x1Z7dduJI5e4yarQ5RTK82kL7HcDjJV6lFa3XNc6PRILx3Vp8NsEd4q&#10;p/rltaFmus7Vl9xn38lnhni3StQziEBL+AvDL35EhzIyHd3MxosBYZM+RPSAsM1ARH+zTeK3I0Ka&#10;ZiDLQv4/UP4AUEsDBBQAAAAIAIdO4kBgEkc55wEAAEAEAAAOAAAAZHJzL2Uyb0RvYy54bWytU01v&#10;2zAMvQ/YfxB0X2ynmBcEcXpokF2GrUA39KzIsi1AXyCVOPn3o+QkTbth6GE+2BQ/HvkerdX90Rp2&#10;UIDau4ZXs5Iz5aRvtesb/uvn9tOCM4zCtcJ4pxp+Usjv1x8/rMawVHM/eNMqYATicDmGhg8xhmVR&#10;oByUFTjzQTkKdh6siHSEvmhBjIRuTTEvy7oYPbQBvFSI5N1MQX5GhPcA+q7TUm283Fvl4oQKyohI&#10;lHDQAfk6T9t1SsYfXYcqMtNwYhrzm5qQvUvvYr0Syx5EGLQ8jyDeM8IbTlZoR02vUBsRBduD/gPK&#10;agkefRdn0ttiIpIVIRZV+Uabp0EElbmQ1BiuouP/g5XfD4/AdNvwL5w5YWnh27S6RVJmDLikhKfw&#10;COcTkploHjuw6UsE2DGrebqqqY6RSXJWdX03J50lhapyUZZZ7eKlOADGr8pbloyGAy0raygO3zBS&#10;Q0q9pJylbbfaGAY+Pus4ZHVS1xxEqpkMFjwJNLkR+t2DAXYQtP86P4kYIfd4m/2ZpvtLRfJex35d&#10;UU2hBPLvJrnXeTijHRPpnlU1XYUbaBCZWkIzjo2UMK8vA3mjr8FXrTLCRVS8TQO/d+3E0ziimxY5&#10;rS5ZO9+e8kazn36sSZDpEqQ/9/acq18u/v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bJWpdcA&#10;AAAIAQAADwAAAAAAAAABACAAAAAiAAAAZHJzL2Rvd25yZXYueG1sUEsBAhQAFAAAAAgAh07iQGAS&#10;RznnAQAAQAQAAA4AAAAAAAAAAQAgAAAAJg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3084195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8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42.85pt;margin-top:3.3pt;height:8.25pt;width:10.6pt;z-index:251659264;mso-width-relative:page;mso-height-relative:page;" fillcolor="#FFFFFF" filled="t" stroked="t" coordsize="21600,21600" o:gfxdata="UEsDBAoAAAAAAIdO4kAAAAAAAAAAAAAAAAAEAAAAZHJzL1BLAwQUAAAACACHTuJAcGSqJ9gAAAAI&#10;AQAADwAAAGRycy9kb3ducmV2LnhtbE2PwU7DMBBE70j8g7VIXBC1E9o0hDgVAiouXGj7AW68JFHj&#10;dRS7Sfl7lhMcRzM787bcXFwvJhxD50lDslAgkGpvO2o0HPbb+xxEiIas6T2hhm8MsKmur0pTWD/T&#10;J0672AguoVAYDW2MQyFlqFt0Jiz8gMTelx+diSzHRtrRzFzuepkqlUlnOuKF1gz40mJ92p0dY0xu&#10;e9p/OPv2+r5s72I658/JrPXtTaKeQES8xL8w/OLzDVTMdPRnskH0Gpb5as1RDVkGgv2Vyh5BHDWk&#10;DwnIqpT/H6h+AFBLAwQUAAAACACHTuJAeNh1JbgBAAClAwAADgAAAGRycy9lMm9Eb2MueG1srVPJ&#10;jtswDL0X6D8Iujd20iBTGHHm0CC9FO0A036AoiUWoA2kEid/X0pOM1sPc6gOMilSj3yP8vr+7B07&#10;aUAbQ8/ns5YzHWRUNhx6/vvX7tMXzjCLoISLQff8opHfbz5+WI+p04s4RKc0MAIJ2I2p50POqWsa&#10;lIP2Amcx6UBBE8GLTC4cGgViJHTvmkXbrpoxgkoQpUak0+0U5FdEeA9gNMZKvY3y6HXIEypoJzJR&#10;wsEm5JvarTFa5p/GoM7M9ZyY5rpTEbL3ZW82a9EdQKTBymsL4j0tvOLkhQ1U9Aa1FVmwI9g3UN5K&#10;iBhNnsnom4lIVYRYzNtX2jwOIunKhaTGdBMd/x+s/HF6AGZVz2nsQXga+K6M7q4oMybsKOExPcDV&#10;QzILzbMBX75EgJ2rmpebmvqcmaTD+eflakk6SwrN2+XdqqrdPF1OgPmbjp4Vo+dAw6oaitN3zFSQ&#10;Uv+mlFoYnVU761x14LD/6oCdBA12V1fpmK68SHOBjVR9sWrbCv0iiM8x2rr+hVF62AocplqKrJIl&#10;OojHoKaaLlDpotakT7H2UV2qbPWcplebu7608jye+/X209+1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ZKon2AAAAAgBAAAPAAAAAAAAAAEAIAAAACIAAABkcnMvZG93bnJldi54bWxQSwECFAAU&#10;AAAACACHTuJAeNh1JbgBAAClAwAADgAAAAAAAAABACAAAAAn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cs="Calibri"/>
                <w:kern w:val="0"/>
                <w:sz w:val="21"/>
                <w:szCs w:val="21"/>
              </w:rPr>
              <w:t>Tipo de Use Case                  Concreto               Abstracto</w:t>
            </w:r>
          </w:p>
        </w:tc>
      </w:tr>
      <w:tr w14:paraId="32CCF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4164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Objetivo: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Permitir registrar una nueva organización con sus datos identificatorios, rubros y servicios asociados.</w:t>
            </w:r>
          </w:p>
        </w:tc>
      </w:tr>
      <w:tr w14:paraId="1B50E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D30C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Precondiciones: </w:t>
            </w:r>
          </w:p>
          <w:p w14:paraId="0D58340A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El administrador debe estar autenticado.</w:t>
            </w:r>
          </w:p>
        </w:tc>
      </w:tr>
      <w:tr w14:paraId="476B2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0DBC0E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AE55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Éxito: </w:t>
            </w:r>
          </w:p>
          <w:p w14:paraId="00185795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- </w:t>
            </w:r>
            <w:r>
              <w:rPr>
                <w:rFonts w:eastAsia="SimSun" w:cs="Calibri"/>
                <w:kern w:val="0"/>
                <w:sz w:val="21"/>
                <w:szCs w:val="21"/>
              </w:rPr>
              <w:t>Organización registrada correctamente.</w:t>
            </w:r>
          </w:p>
        </w:tc>
      </w:tr>
      <w:tr w14:paraId="5ED95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D52584">
            <w:pPr>
              <w:widowControl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7E082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Fracaso: </w:t>
            </w:r>
          </w:p>
          <w:p w14:paraId="1B0A5CDB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-</w:t>
            </w:r>
            <w:r>
              <w:rPr>
                <w:rFonts w:eastAsia="SimSun" w:cs="Calibri"/>
                <w:kern w:val="0"/>
                <w:sz w:val="21"/>
                <w:szCs w:val="21"/>
              </w:rPr>
              <w:t>No se registra la organización.</w:t>
            </w:r>
          </w:p>
        </w:tc>
      </w:tr>
      <w:tr w14:paraId="43D72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3861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71CBB3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>Curso Alternativo</w:t>
            </w:r>
          </w:p>
        </w:tc>
      </w:tr>
      <w:tr w14:paraId="7BEFC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BF2DC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1C203E49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1.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administrador accede a la opción “Nueva Organización”. </w:t>
            </w:r>
          </w:p>
          <w:p w14:paraId="439E5B4F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2.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solicita los datos de la organización. </w:t>
            </w:r>
          </w:p>
          <w:p w14:paraId="44CE0216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3.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administrador ingresa CUIT, nombre, código y logo. </w:t>
            </w:r>
          </w:p>
          <w:p w14:paraId="04786FC8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  <w:lang w:val="es-MX"/>
              </w:rPr>
              <w:t>4.</w:t>
            </w:r>
            <w:r>
              <w:rPr>
                <w:rFonts w:eastAsia="SimSun" w:cs="Calibri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administrador define rubros y servicios. </w:t>
            </w:r>
          </w:p>
          <w:p w14:paraId="09A0FDCB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ymbol" w:cs="Calibri"/>
                <w:kern w:val="0"/>
                <w:sz w:val="21"/>
                <w:szCs w:val="21"/>
                <w:lang w:val="es-MX"/>
              </w:rPr>
              <w:t>5.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valida los datos. </w:t>
            </w:r>
          </w:p>
          <w:p w14:paraId="5D79532C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cs="Calibri"/>
                <w:sz w:val="21"/>
                <w:szCs w:val="21"/>
                <w:lang w:val="es-MX"/>
              </w:rPr>
            </w:pPr>
          </w:p>
          <w:p w14:paraId="770FF8A2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6.</w:t>
            </w:r>
            <w:r>
              <w:rPr>
                <w:rFonts w:cs="Calibri"/>
                <w:kern w:val="0"/>
                <w:sz w:val="21"/>
                <w:szCs w:val="21"/>
              </w:rPr>
              <w:t xml:space="preserve">El sistema registra la organización. </w:t>
            </w:r>
          </w:p>
          <w:p w14:paraId="3C2EA1C3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  <w:lang w:val="es-MX"/>
              </w:rPr>
              <w:t>7.</w:t>
            </w:r>
            <w:r>
              <w:rPr>
                <w:rFonts w:cs="Calibri"/>
                <w:kern w:val="0"/>
                <w:sz w:val="21"/>
                <w:szCs w:val="21"/>
              </w:rPr>
              <w:t>Fin del caso de uso.</w:t>
            </w:r>
          </w:p>
          <w:p w14:paraId="4071990A">
            <w:pPr>
              <w:widowControl w:val="0"/>
              <w:spacing w:before="0" w:after="0" w:line="240" w:lineRule="auto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FCD60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</w:p>
          <w:p w14:paraId="3BF9183C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00AC55F1">
            <w:pPr>
              <w:widowControl w:val="0"/>
              <w:spacing w:before="0" w:after="0"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1BF94D9A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</w:p>
          <w:p w14:paraId="3EB2DB2B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5D518B3F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48294231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2DAE4D50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51A05E9F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1207E8DC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72656FD8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eastAsia="SimSun" w:cs="Calibri"/>
                <w:sz w:val="21"/>
                <w:szCs w:val="21"/>
              </w:rPr>
            </w:pPr>
          </w:p>
          <w:p w14:paraId="4BDA0587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eastAsia="SimSun" w:cs="Calibri"/>
                <w:kern w:val="0"/>
                <w:sz w:val="21"/>
                <w:szCs w:val="21"/>
              </w:rPr>
              <w:t>5.1 Datos inválidos</w:t>
            </w:r>
            <w:r>
              <w:rPr>
                <w:rFonts w:eastAsia="SimSun" w:cs="Calibri"/>
                <w:kern w:val="0"/>
                <w:sz w:val="21"/>
                <w:szCs w:val="21"/>
              </w:rPr>
              <w:br w:type="textWrapping"/>
            </w:r>
            <w:r>
              <w:rPr>
                <w:rFonts w:eastAsia="SimSun" w:cs="Calibri"/>
                <w:kern w:val="0"/>
                <w:sz w:val="21"/>
                <w:szCs w:val="21"/>
              </w:rPr>
              <w:t>5.2 El sistema informa el error</w:t>
            </w:r>
          </w:p>
        </w:tc>
      </w:tr>
      <w:tr w14:paraId="4EB6C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0AD70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7A89F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3DF84">
            <w:pPr>
              <w:keepNext w:val="0"/>
              <w:keepLines w:val="0"/>
              <w:widowControl/>
              <w:suppressLineNumbers w:val="0"/>
              <w:spacing w:before="0" w:after="20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Asociaciones de inclusión: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  <w:tr w14:paraId="6A2B1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B306D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donde se incluye: </w:t>
            </w:r>
            <w:r>
              <w:rPr>
                <w:rFonts w:cs="Calibri"/>
                <w:kern w:val="0"/>
                <w:sz w:val="21"/>
                <w:szCs w:val="21"/>
                <w:lang w:val="es-MX"/>
              </w:rPr>
              <w:t>N</w:t>
            </w:r>
            <w:r>
              <w:rPr>
                <w:rFonts w:cs="Calibri"/>
                <w:kern w:val="0"/>
                <w:sz w:val="21"/>
                <w:szCs w:val="21"/>
              </w:rPr>
              <w:t>o aplica</w:t>
            </w:r>
          </w:p>
        </w:tc>
      </w:tr>
      <w:tr w14:paraId="63904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D93D8">
            <w:pPr>
              <w:widowControl w:val="0"/>
              <w:spacing w:before="0" w:after="0"/>
              <w:jc w:val="left"/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al que extiende: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Consultar organización</w:t>
            </w:r>
          </w:p>
        </w:tc>
      </w:tr>
      <w:tr w14:paraId="40C40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2BD83">
            <w:pPr>
              <w:widowControl w:val="0"/>
              <w:spacing w:before="0" w:after="0"/>
              <w:jc w:val="left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cs="Calibri"/>
                <w:kern w:val="0"/>
                <w:sz w:val="21"/>
                <w:szCs w:val="21"/>
              </w:rPr>
              <w:t xml:space="preserve">Use case de generalización: </w:t>
            </w:r>
            <w:r>
              <w:rPr>
                <w:rFonts w:hint="default" w:cs="Calibri"/>
                <w:kern w:val="0"/>
                <w:sz w:val="21"/>
                <w:szCs w:val="21"/>
                <w:lang w:val="es-MX"/>
              </w:rPr>
              <w:t>No aplica</w:t>
            </w:r>
          </w:p>
        </w:tc>
      </w:tr>
    </w:tbl>
    <w:p w14:paraId="777C3587"/>
    <w:p w14:paraId="5E29D8BC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C4C3E84"/>
    <w:rsid w:val="0FA365DA"/>
    <w:rsid w:val="17D5785E"/>
    <w:rsid w:val="6F1E46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152</Words>
  <Characters>937</Characters>
  <Paragraphs>34</Paragraphs>
  <TotalTime>0</TotalTime>
  <ScaleCrop>false</ScaleCrop>
  <LinksUpToDate>false</LinksUpToDate>
  <CharactersWithSpaces>1146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2026-05-15T22:40:52Z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