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28FD6A9F"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4B9C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Nombre del Use Case: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Consultar Sucursal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B1B40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Nº de orden: UC-00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2.8</w:t>
            </w:r>
          </w:p>
        </w:tc>
      </w:tr>
      <w:tr w14:paraId="19443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D984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2083435</wp:posOffset>
                      </wp:positionH>
                      <wp:positionV relativeFrom="paragraph">
                        <wp:posOffset>45085</wp:posOffset>
                      </wp:positionV>
                      <wp:extent cx="135255" cy="90805"/>
                      <wp:effectExtent l="6985" t="6985" r="5715" b="5715"/>
                      <wp:wrapNone/>
                      <wp:docPr id="1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164.05pt;margin-top:3.55pt;height:7.15pt;width:10.65pt;z-index:251659264;mso-width-relative:page;mso-height-relative:page;" fillcolor="#FFFFFF" filled="t" stroked="t" coordsize="21600,21600" o:gfxdata="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LRfHDXAAAACAEAAA8AAAAAAAAAAQAgAAAAIgAAAGRycy9kb3ducmV2LnhtbFBLAQIUABQA&#10;AAAIAIdO4kCXY/6yuAEAAKQDAAAOAAAAAAAAAAEAIAAAACYBAABkcnMvZTJvRG9jLnhtbFBLBQYA&#10;AAAABgAGAFkBAABQ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6CBAD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443230</wp:posOffset>
                      </wp:positionH>
                      <wp:positionV relativeFrom="paragraph">
                        <wp:posOffset>38735</wp:posOffset>
                      </wp:positionV>
                      <wp:extent cx="135255" cy="89535"/>
                      <wp:effectExtent l="6985" t="6985" r="5715" b="5715"/>
                      <wp:wrapNone/>
                      <wp:docPr id="2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34.9pt;margin-top:3.05pt;height:7.05pt;width:10.65pt;z-index:251659264;mso-width-relative:page;mso-height-relative:page;" fillcolor="#666666" filled="t" stroked="t" coordsize="21600,21600" o:gfxdata="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LxAKzSAAAA&#10;BgEAAA8AAAAAAAAAAQAgAAAAIgAAAGRycy9kb3ducmV2LnhtbFBLAQIUABQAAAAIAIdO4kDqZtUG&#10;6gEAAD8EAAAOAAAAAAAAAAEAIAAAACEBAABkcnMvZTJvRG9jLnhtbFBLBQYAAAAABgAGAFkBAAB9&#10;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49D7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67006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A794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2065655</wp:posOffset>
                      </wp:positionH>
                      <wp:positionV relativeFrom="paragraph">
                        <wp:posOffset>66040</wp:posOffset>
                      </wp:positionV>
                      <wp:extent cx="135255" cy="90805"/>
                      <wp:effectExtent l="6985" t="6985" r="5715" b="5715"/>
                      <wp:wrapNone/>
                      <wp:docPr id="4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162.65pt;margin-top:5.2pt;height:7.15pt;width:10.65pt;z-index:251659264;mso-width-relative:page;mso-height-relative:page;" fillcolor="#FFFFFF" filled="t" stroked="t" coordsize="21600,21600" o:gfxdata="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D2eFX2AAAAAkBAAAPAAAAAAAAAAEAIAAAACIAAABkcnMvZG93bnJldi54bWxQ&#10;SwECFAAUAAAACACHTuJA1LPUnr4BAACuAwAADgAAAAAAAAABACAAAAAnAQAAZHJzL2Uyb0RvYy54&#10;bWxQSwUGAAAAAAYABgBZAQAAVwUAAAAA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7470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51435</wp:posOffset>
                      </wp:positionV>
                      <wp:extent cx="137795" cy="90805"/>
                      <wp:effectExtent l="6985" t="6985" r="5715" b="5715"/>
                      <wp:wrapNone/>
                      <wp:docPr id="5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33.9pt;margin-top:4.05pt;height:7.15pt;width:10.85pt;z-index:251659264;mso-width-relative:page;mso-height-relative:page;" fillcolor="#FFFFFF" filled="t" stroked="t" coordsize="21600,21600" o:gfxdata="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5fuHCtUAAAAGAQAADwAAAAAAAAABACAAAAAiAAAAZHJzL2Rvd25yZXYueG1sUEsBAhQAFAAA&#10;AAgAh07iQIvZUpW5AQAApAMAAA4AAAAAAAAAAQAgAAAAJA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25AC9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60960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7.7pt;margin-top:4.8pt;height:7.15pt;width:10.65pt;z-index:251659264;mso-width-relative:page;mso-height-relative:page;" fillcolor="#000000" filled="t" stroked="t" coordsize="21600,21600" o:gfxdata="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C2&#10;iYrXAAAABgEAAA8AAAAAAAAAAQAgAAAAIgAAAGRycy9kb3ducmV2LnhtbFBLAQIUABQAAAAIAIdO&#10;4kD/+GWHsgEAAKQDAAAOAAAAAAAAAAEAIAAAACYBAABkcnMvZTJvRG9jLnhtbFBLBQYAAAAABgAG&#10;AFkBAABK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3FF56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B4EE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Actor principal: 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A010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Actor secundario: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-</w:t>
            </w:r>
          </w:p>
        </w:tc>
      </w:tr>
      <w:tr w14:paraId="0036C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EF4F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7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1080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bJWpdcA&#10;AAAIAQAADwAAAAAAAAABACAAAAAiAAAAZHJzL2Rvd25yZXYueG1sUEsBAhQAFAAAAAgAh07iQGAS&#10;RznnAQAAQAQAAA4AAAAAAAAAAQAgAAAAJgEAAGRycy9lMm9Eb2MueG1sUEsFBgAAAAAGAAYAWQEA&#10;AH8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8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wZKon2AAAAAgBAAAPAAAAAAAAAAEAIAAAACIAAABkcnMvZG93bnJldi54bWxQSwECFAAU&#10;AAAACACHTuJAeNh1JbgBAAClAwAADgAAAAAAAAABACAAAAAn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Tipo de Use Case                  Concreto               Abstracto</w:t>
            </w:r>
          </w:p>
        </w:tc>
      </w:tr>
      <w:tr w14:paraId="56DB9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7CBC6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Objetivo: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</w:t>
            </w:r>
            <w:r>
              <w:rPr>
                <w:rFonts w:eastAsia="SimSun" w:cs="Calibri"/>
                <w:kern w:val="0"/>
                <w:sz w:val="21"/>
                <w:szCs w:val="21"/>
              </w:rPr>
              <w:t>: Permitir visualizar las sucursales registradas.</w:t>
            </w:r>
          </w:p>
        </w:tc>
      </w:tr>
      <w:tr w14:paraId="06024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EE74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Precondiciones: </w:t>
            </w:r>
          </w:p>
          <w:p w14:paraId="5CD023DA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w:rPr>
                <w:rFonts w:eastAsia="SimSun" w:cs="Calibri"/>
                <w:kern w:val="0"/>
                <w:sz w:val="21"/>
                <w:szCs w:val="21"/>
                <w:lang w:val="es-MX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El administrador debe estar autenticado.</w:t>
            </w:r>
          </w:p>
        </w:tc>
      </w:tr>
      <w:tr w14:paraId="1BACB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D6DCB0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9F7A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Éxito: </w:t>
            </w:r>
          </w:p>
          <w:p w14:paraId="580D5763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  <w:lang w:val="es-MX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Información visualizada correctamente.</w:t>
            </w:r>
          </w:p>
        </w:tc>
      </w:tr>
      <w:tr w14:paraId="31AE9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731B3">
            <w:pPr>
              <w:widowControl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25FCF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Fracaso: </w:t>
            </w:r>
          </w:p>
          <w:p w14:paraId="3BBC536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  <w:lang w:val="es-MX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No se puede obtener la información.</w:t>
            </w:r>
          </w:p>
        </w:tc>
      </w:tr>
      <w:tr w14:paraId="50982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9815A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F3CF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Alternativo</w:t>
            </w:r>
          </w:p>
        </w:tc>
      </w:tr>
      <w:tr w14:paraId="02744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964B0">
            <w:pPr>
              <w:widowControl w:val="0"/>
              <w:spacing w:before="0" w:after="0" w:line="240" w:lineRule="auto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25A645F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El administrador accede al listado.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2.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muestra las sucursales. </w:t>
            </w:r>
          </w:p>
          <w:p w14:paraId="62BABC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after="200"/>
              <w:ind w:left="0" w:firstLine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3.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administrador selecciona una.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4.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muestra el detalle.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5.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>Fin del caso de uso.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BEF09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4578E736">
            <w:pPr>
              <w:widowControl w:val="0"/>
              <w:spacing w:before="0" w:after="0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56DB0F0E">
            <w:pPr>
              <w:pStyle w:val="20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2.1 No existen sucursales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2.2 El sistema informa la situación.</w:t>
            </w:r>
          </w:p>
        </w:tc>
      </w:tr>
      <w:tr w14:paraId="19754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E2E43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Asociaciones de extensión: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 xml:space="preserve"> Registrar sucursal - Modificar sucursal - Eliminar sucursal</w:t>
            </w:r>
            <w:bookmarkStart w:id="0" w:name="_GoBack"/>
            <w:bookmarkEnd w:id="0"/>
          </w:p>
        </w:tc>
      </w:tr>
      <w:tr w14:paraId="74276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EAD70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Asociaciones de inclusión: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 xml:space="preserve"> No aplica</w:t>
            </w:r>
          </w:p>
        </w:tc>
      </w:tr>
      <w:tr w14:paraId="34B5E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286A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donde se incluye: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N</w:t>
            </w:r>
            <w:r>
              <w:rPr>
                <w:rFonts w:cs="Calibri"/>
                <w:kern w:val="0"/>
                <w:sz w:val="21"/>
                <w:szCs w:val="21"/>
              </w:rPr>
              <w:t>o aplica</w:t>
            </w:r>
          </w:p>
        </w:tc>
      </w:tr>
      <w:tr w14:paraId="24159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D0B7F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al que extiende: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  <w:tr w14:paraId="63619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93A4A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de generalización: </w:t>
            </w:r>
            <w:r>
              <w:rPr>
                <w:rFonts w:hint="default" w:eastAsia="SimSun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</w:tbl>
    <w:p w14:paraId="577DC9EA"/>
    <w:p w14:paraId="4EC762BF">
      <w:pPr>
        <w:spacing w:before="0" w:after="200" w:line="276" w:lineRule="auto"/>
      </w:pPr>
    </w:p>
    <w:sectPr>
      <w:pgSz w:w="11906" w:h="16838"/>
      <w:pgMar w:top="709" w:right="1701" w:bottom="993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hyphenationZone w:val="425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3C21371"/>
    <w:rsid w:val="4C9224AC"/>
    <w:rsid w:val="4EC10E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Noto Sans"/>
      <w:color w:val="auto"/>
      <w:kern w:val="0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1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Normal (Web)"/>
    <w:semiHidden/>
    <w:unhideWhenUsed/>
    <w:qFormat/>
    <w:uiPriority w:val="99"/>
    <w:pPr>
      <w:widowControl/>
      <w:suppressAutoHyphens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9">
    <w:name w:val="footer"/>
    <w:basedOn w:val="1"/>
    <w:link w:val="12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10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1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Footer Char"/>
    <w:basedOn w:val="2"/>
    <w:link w:val="9"/>
    <w:qFormat/>
    <w:uiPriority w:val="0"/>
    <w:rPr>
      <w:rFonts w:eastAsia="Calibri"/>
      <w:sz w:val="21"/>
      <w:szCs w:val="21"/>
      <w:lang w:eastAsia="es-AR"/>
    </w:rPr>
  </w:style>
  <w:style w:type="character" w:customStyle="1" w:styleId="13">
    <w:name w:val="normaltextrun"/>
    <w:basedOn w:val="2"/>
    <w:qFormat/>
    <w:uiPriority w:val="0"/>
  </w:style>
  <w:style w:type="character" w:customStyle="1" w:styleId="14">
    <w:name w:val="Símbolos de numeración"/>
    <w:qFormat/>
    <w:uiPriority w:val="0"/>
  </w:style>
  <w:style w:type="paragraph" w:customStyle="1" w:styleId="15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7">
    <w:name w:val="Header and Footer"/>
    <w:basedOn w:val="1"/>
    <w:qFormat/>
    <w:uiPriority w:val="0"/>
  </w:style>
  <w:style w:type="paragraph" w:customStyle="1" w:styleId="18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9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20">
    <w:name w:val="List Paragraph"/>
    <w:basedOn w:val="1"/>
    <w:qFormat/>
    <w:uiPriority w:val="0"/>
    <w:pPr>
      <w:spacing w:before="0" w:after="200"/>
      <w:ind w:left="720"/>
      <w:contextualSpacing/>
    </w:pPr>
  </w:style>
  <w:style w:type="paragraph" w:customStyle="1" w:styleId="21">
    <w:name w:val="Cabecera y pie"/>
    <w:basedOn w:val="1"/>
    <w:qFormat/>
    <w:uiPriority w:val="0"/>
  </w:style>
  <w:style w:type="paragraph" w:customStyle="1" w:styleId="22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3235D19B-92AA-40D1-A250-F0977FEF6321}">
  <ds:schemaRefs/>
</ds:datastoreItem>
</file>

<file path=customXml/itemProps4.xml><?xml version="1.0" encoding="utf-8"?>
<ds:datastoreItem xmlns:ds="http://schemas.openxmlformats.org/officeDocument/2006/customXml" ds:itemID="{67E9B3C8-8EB5-4E4C-ADEE-70B6197AA4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751</Characters>
  <Paragraphs>29</Paragraphs>
  <TotalTime>0</TotalTime>
  <ScaleCrop>false</ScaleCrop>
  <LinksUpToDate>false</LinksUpToDate>
  <CharactersWithSpaces>936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2026-05-13T21:14:42Z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