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40" w:type="dxa"/>
        <w:tblInd w:w="-615" w:type="dxa"/>
        <w:tblLayout w:type="fixed"/>
        <w:tblCellMar>
          <w:top w:w="0" w:type="dxa"/>
          <w:left w:w="105" w:type="dxa"/>
          <w:bottom w:w="0" w:type="dxa"/>
          <w:right w:w="105" w:type="dxa"/>
        </w:tblCellMar>
      </w:tblPr>
      <w:tblGrid>
        <w:gridCol w:w="1759"/>
        <w:gridCol w:w="2534"/>
        <w:gridCol w:w="1012"/>
        <w:gridCol w:w="1759"/>
        <w:gridCol w:w="3676"/>
      </w:tblGrid>
      <w:tr w14:paraId="7F48992A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7064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47C2F93">
            <w:pPr>
              <w:widowControl w:val="0"/>
              <w:suppressLineNumbers w:val="0"/>
              <w:bidi w:val="0"/>
              <w:spacing w:before="0" w:beforeAutospacing="0" w:after="0" w:afterAutospacing="0" w:line="288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>Nombre del Use Case: Eliminar Cliente</w:t>
            </w:r>
          </w:p>
        </w:tc>
        <w:tc>
          <w:tcPr>
            <w:tcW w:w="36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65DA69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>Nº de orden: UC-003.2</w:t>
            </w:r>
          </w:p>
        </w:tc>
      </w:tr>
      <w:tr w14:paraId="2B86239A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429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C61468C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 xml:space="preserve">Prioridad                              Alta      </w:t>
            </w:r>
          </w:p>
        </w:tc>
        <w:tc>
          <w:tcPr>
            <w:tcW w:w="277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2279FF4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 xml:space="preserve">Media          </w:t>
            </w:r>
            <w:r>
              <w:rPr>
                <w:rFonts w:eastAsia="Aptos"/>
                <w:kern w:val="0"/>
                <w:sz w:val="24"/>
                <w:szCs w:val="24"/>
                <w:lang w:val="es-ES" w:eastAsia="en-US" w:bidi="ar-SA"/>
              </w:rPr>
              <w:drawing>
                <wp:inline distT="0" distB="0" distL="0" distR="0">
                  <wp:extent cx="142875" cy="95250"/>
                  <wp:effectExtent l="0" t="0" r="0" b="0"/>
                  <wp:docPr id="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E0A4BB">
            <w:pPr>
              <w:widowControl w:val="0"/>
              <w:spacing w:before="0" w:after="0" w:line="288" w:lineRule="auto"/>
              <w:jc w:val="left"/>
              <w:rPr>
                <w:rFonts w:ascii="Aptos" w:hAnsi="Aptos" w:eastAsia="Aptos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>Baja</w:t>
            </w:r>
          </w:p>
        </w:tc>
      </w:tr>
      <w:tr w14:paraId="75B6B29F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429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855D35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>Complejidad                        Alta</w:t>
            </w:r>
          </w:p>
        </w:tc>
        <w:tc>
          <w:tcPr>
            <w:tcW w:w="277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CDBD73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>Media</w:t>
            </w:r>
          </w:p>
        </w:tc>
        <w:tc>
          <w:tcPr>
            <w:tcW w:w="36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5079FA0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 xml:space="preserve">Baja         </w:t>
            </w:r>
            <w:r>
              <w:rPr>
                <w:rFonts w:eastAsia="Aptos"/>
                <w:kern w:val="0"/>
                <w:sz w:val="24"/>
                <w:szCs w:val="24"/>
                <w:lang w:val="es-ES" w:eastAsia="en-US" w:bidi="ar-SA"/>
              </w:rPr>
              <w:drawing>
                <wp:inline distT="0" distB="0" distL="0" distR="0">
                  <wp:extent cx="142875" cy="9525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810156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429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3A53896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>Actor principal: Personal de Administración / Gerencia.</w:t>
            </w:r>
          </w:p>
        </w:tc>
        <w:tc>
          <w:tcPr>
            <w:tcW w:w="6447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E0A2E32">
            <w:pPr>
              <w:widowControl w:val="0"/>
              <w:suppressLineNumbers w:val="0"/>
              <w:bidi w:val="0"/>
              <w:spacing w:before="0" w:beforeAutospacing="0" w:after="0" w:afterAutospacing="0" w:line="288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>Actor secundario: -</w:t>
            </w:r>
          </w:p>
        </w:tc>
      </w:tr>
      <w:tr w14:paraId="217B3163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10740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38FB128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 xml:space="preserve">Tipo de Use Case                  Concreto     </w:t>
            </w:r>
            <w:r>
              <w:rPr>
                <w:rFonts w:eastAsia="Aptos"/>
                <w:kern w:val="0"/>
                <w:sz w:val="24"/>
                <w:szCs w:val="24"/>
                <w:lang w:val="es-ES" w:eastAsia="en-US" w:bidi="ar-SA"/>
              </w:rPr>
              <w:drawing>
                <wp:inline distT="0" distB="0" distL="0" distR="0">
                  <wp:extent cx="142875" cy="9525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 xml:space="preserve">       Abstracto    </w:t>
            </w:r>
          </w:p>
        </w:tc>
      </w:tr>
      <w:tr w14:paraId="3CCA48EB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10740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DDC264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>Objetivo: Cambiar el estado de un cliente a inactivo para impedir nuevas operaciones comerciales o crediticias, preservando su historial transaccional.</w:t>
            </w:r>
          </w:p>
        </w:tc>
      </w:tr>
      <w:tr w14:paraId="5B1A2EA4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10740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5624BB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eastAsia="Aptos"/>
                <w:kern w:val="0"/>
                <w:sz w:val="24"/>
                <w:szCs w:val="24"/>
                <w:lang w:val="es-ES" w:eastAsia="en-US" w:bidi="ar-SA"/>
              </w:rPr>
              <w:drawing>
                <wp:inline distT="0" distB="0" distL="0" distR="0">
                  <wp:extent cx="142875" cy="114300"/>
                  <wp:effectExtent l="0" t="0" r="0" b="0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>Precondiciones: El actor debe poseer un rol con permisos de eliminación/inactivación.</w:t>
            </w:r>
          </w:p>
        </w:tc>
      </w:tr>
      <w:tr w14:paraId="2DB4C121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1759" w:type="dxa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6B1E2E92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>Post- condiciones</w:t>
            </w:r>
          </w:p>
        </w:tc>
        <w:tc>
          <w:tcPr>
            <w:tcW w:w="8981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C25ABE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 xml:space="preserve">Éxito: El estado del cliente pasa a </w:t>
            </w:r>
            <w:r>
              <w:rPr>
                <w:rFonts w:ascii="Consolas" w:hAnsi="Consolas" w:eastAsia="Consolas" w:cs="Consolas"/>
                <w:kern w:val="0"/>
                <w:sz w:val="21"/>
                <w:szCs w:val="21"/>
                <w:lang w:val="es-AR" w:eastAsia="en-US" w:bidi="ar-SA"/>
              </w:rPr>
              <w:t>INACTIVO</w:t>
            </w:r>
            <w:r>
              <w:rPr>
                <w:rFonts w:ascii="Calibri" w:hAnsi="Calibri" w:eastAsia="Calibri" w:cs="Calibri"/>
                <w:kern w:val="0"/>
                <w:sz w:val="21"/>
                <w:szCs w:val="21"/>
                <w:lang w:val="es-AR" w:eastAsia="en-US" w:bidi="ar-SA"/>
              </w:rPr>
              <w:t>. No aparecerá en listados de ventas futuras.</w:t>
            </w:r>
          </w:p>
        </w:tc>
      </w:tr>
      <w:tr w14:paraId="732501B3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1759" w:type="dxa"/>
            <w:vMerge w:val="continue"/>
            <w:tcBorders>
              <w:left w:val="single" w:color="000000" w:sz="6" w:space="0"/>
            </w:tcBorders>
            <w:tcMar>
              <w:left w:w="108" w:type="dxa"/>
              <w:right w:w="108" w:type="dxa"/>
            </w:tcMar>
            <w:vAlign w:val="center"/>
          </w:tcPr>
          <w:p w14:paraId="494BF62C">
            <w:pPr>
              <w:widowControl/>
              <w:spacing w:before="0" w:after="160" w:line="278" w:lineRule="auto"/>
              <w:jc w:val="left"/>
              <w:rPr>
                <w:rFonts w:ascii="Aptos" w:hAnsi="Aptos" w:eastAsia="Aptos"/>
                <w:kern w:val="0"/>
                <w:sz w:val="24"/>
                <w:szCs w:val="24"/>
                <w:lang w:val="es-ES" w:eastAsia="en-US" w:bidi="ar-SA"/>
              </w:rPr>
            </w:pPr>
          </w:p>
        </w:tc>
        <w:tc>
          <w:tcPr>
            <w:tcW w:w="8981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4FBC104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>Fracaso: Se rechaza la inactivación porque el cliente posee deudas vigentes.</w:t>
            </w:r>
          </w:p>
        </w:tc>
      </w:tr>
      <w:tr w14:paraId="09F8B9A2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530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367BE0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>Curso Normal</w:t>
            </w:r>
          </w:p>
        </w:tc>
        <w:tc>
          <w:tcPr>
            <w:tcW w:w="543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232386C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>Curso Alternativo</w:t>
            </w:r>
          </w:p>
        </w:tc>
      </w:tr>
      <w:tr w14:paraId="7FD0F0A1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780" w:hRule="atLeast"/>
        </w:trPr>
        <w:tc>
          <w:tcPr>
            <w:tcW w:w="530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EC6BCF7">
            <w:pPr>
              <w:widowControl w:val="0"/>
              <w:spacing w:before="0" w:after="0" w:line="240" w:lineRule="auto"/>
              <w:jc w:val="both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>1. El actor selecciona la opción "Dar de Baja Cliente".</w:t>
            </w:r>
          </w:p>
          <w:p w14:paraId="0A8F44F1">
            <w:pPr>
              <w:widowControl w:val="0"/>
              <w:spacing w:before="0" w:after="0" w:line="240" w:lineRule="auto"/>
              <w:jc w:val="both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kern w:val="0"/>
                <w:sz w:val="21"/>
                <w:szCs w:val="21"/>
                <w:lang w:val="es-AR" w:eastAsia="en-US" w:bidi="ar-SA"/>
              </w:rPr>
              <w:t xml:space="preserve">2. El sistema ejecuta el caso de uso incluido </w:t>
            </w:r>
            <w:r>
              <w:rPr>
                <w:rFonts w:ascii="Calibri" w:hAnsi="Calibri" w:eastAsia="Calibri" w:cs="Calibri"/>
                <w:b/>
                <w:bCs/>
                <w:kern w:val="0"/>
                <w:sz w:val="21"/>
                <w:szCs w:val="21"/>
                <w:lang w:val="es-AR" w:eastAsia="en-US" w:bidi="ar-SA"/>
              </w:rPr>
              <w:t>"Consultar Cliente"</w:t>
            </w:r>
            <w:r>
              <w:rPr>
                <w:rFonts w:ascii="Calibri" w:hAnsi="Calibri" w:eastAsia="Calibri" w:cs="Calibri"/>
                <w:kern w:val="0"/>
                <w:sz w:val="21"/>
                <w:szCs w:val="21"/>
                <w:lang w:val="es-AR" w:eastAsia="en-US" w:bidi="ar-SA"/>
              </w:rPr>
              <w:t xml:space="preserve"> para localizar el registro.</w:t>
            </w:r>
          </w:p>
          <w:p w14:paraId="042EDD21">
            <w:pPr>
              <w:widowControl w:val="0"/>
              <w:spacing w:before="0" w:after="0" w:line="240" w:lineRule="auto"/>
              <w:jc w:val="both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kern w:val="0"/>
                <w:sz w:val="21"/>
                <w:szCs w:val="21"/>
                <w:lang w:val="es-AR" w:eastAsia="en-US" w:bidi="ar-SA"/>
              </w:rPr>
              <w:t>3. El actor selecciona al cliente objetivo.</w:t>
            </w:r>
          </w:p>
          <w:p w14:paraId="60E4AF2E">
            <w:pPr>
              <w:widowControl w:val="0"/>
              <w:spacing w:before="0" w:after="0" w:line="240" w:lineRule="auto"/>
              <w:jc w:val="both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kern w:val="0"/>
                <w:sz w:val="21"/>
                <w:szCs w:val="21"/>
                <w:lang w:val="es-AR" w:eastAsia="en-US" w:bidi="ar-SA"/>
              </w:rPr>
              <w:t xml:space="preserve">4. El sistema evalúa el estado financiero del cliente. El sistema verifica que el cliente </w:t>
            </w:r>
            <w:r>
              <w:rPr>
                <w:rFonts w:ascii="Calibri" w:hAnsi="Calibri" w:eastAsia="Calibri" w:cs="Calibri"/>
                <w:b/>
                <w:bCs/>
                <w:kern w:val="0"/>
                <w:sz w:val="21"/>
                <w:szCs w:val="21"/>
                <w:lang w:val="es-AR" w:eastAsia="en-US" w:bidi="ar-SA"/>
              </w:rPr>
              <w:t>no</w:t>
            </w:r>
            <w:r>
              <w:rPr>
                <w:rFonts w:ascii="Calibri" w:hAnsi="Calibri" w:eastAsia="Calibri" w:cs="Calibri"/>
                <w:kern w:val="0"/>
                <w:sz w:val="21"/>
                <w:szCs w:val="21"/>
                <w:lang w:val="es-AR" w:eastAsia="en-US" w:bidi="ar-SA"/>
              </w:rPr>
              <w:t xml:space="preserve"> posee deudas activas ni contratos de crédito pendientes de cancelación.</w:t>
            </w:r>
          </w:p>
          <w:p w14:paraId="6CB49223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39245161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63AEDC1D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1B2F54EF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2FA88FBD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5E96B511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0A5938E4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3F0171CE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sz w:val="21"/>
                <w:szCs w:val="21"/>
                <w:lang w:val="es-ES"/>
              </w:rPr>
            </w:pPr>
          </w:p>
          <w:p w14:paraId="3A33581A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kern w:val="0"/>
                <w:sz w:val="21"/>
                <w:szCs w:val="21"/>
                <w:lang w:val="es-ES" w:eastAsia="en-US" w:bidi="ar-SA"/>
              </w:rPr>
              <w:t>5. El sistema solicita confirmación de la baja y exige el ingreso de un "Motivo de Inactivación" (ej. cese de actividades, morosidad irrecuperable, pedido explícito).</w:t>
            </w:r>
          </w:p>
          <w:p w14:paraId="11610F3F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05512FE4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56B60F4D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0E2A8D2D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04C9D6B4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 xml:space="preserve">6. </w:t>
            </w:r>
            <w:r>
              <w:rPr>
                <w:rFonts w:ascii="Calibri" w:hAnsi="Calibri" w:eastAsia="Calibri" w:cs="Calibri"/>
                <w:kern w:val="0"/>
                <w:sz w:val="21"/>
                <w:szCs w:val="21"/>
                <w:lang w:val="es-AR" w:eastAsia="en-US" w:bidi="ar-SA"/>
              </w:rPr>
              <w:t>El actor ingresa el motivo y confirma la operación.</w:t>
            </w:r>
          </w:p>
          <w:p w14:paraId="3F4A960D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kern w:val="0"/>
                <w:sz w:val="21"/>
                <w:szCs w:val="21"/>
                <w:lang w:val="es-AR" w:eastAsia="en-US" w:bidi="ar-SA"/>
              </w:rPr>
              <w:t xml:space="preserve">7. El sistema actualiza el estado del cliente a </w:t>
            </w:r>
            <w:r>
              <w:rPr>
                <w:rFonts w:ascii="Consolas" w:hAnsi="Consolas" w:eastAsia="Consolas" w:cs="Consolas"/>
                <w:kern w:val="0"/>
                <w:sz w:val="21"/>
                <w:szCs w:val="21"/>
                <w:lang w:val="es-AR" w:eastAsia="en-US" w:bidi="ar-SA"/>
              </w:rPr>
              <w:t>INACTIVO</w:t>
            </w:r>
            <w:r>
              <w:rPr>
                <w:rFonts w:ascii="Calibri" w:hAnsi="Calibri" w:eastAsia="Calibri" w:cs="Calibri"/>
                <w:kern w:val="0"/>
                <w:sz w:val="21"/>
                <w:szCs w:val="21"/>
                <w:lang w:val="es-AR" w:eastAsia="en-US" w:bidi="ar-SA"/>
              </w:rPr>
              <w:t>, persistiendo la fecha, hora y el identificador del usuario que ejecutó la acción (Auditoría).</w:t>
            </w:r>
          </w:p>
          <w:p w14:paraId="6BA706A6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kern w:val="0"/>
                <w:sz w:val="21"/>
                <w:szCs w:val="21"/>
                <w:lang w:val="es-AR" w:eastAsia="en-US" w:bidi="ar-SA"/>
              </w:rPr>
              <w:t>8. El sistema emite un mensaje de éxito.</w:t>
            </w:r>
          </w:p>
          <w:p w14:paraId="1F343B08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>9. Fin del UC.</w:t>
            </w:r>
          </w:p>
        </w:tc>
        <w:tc>
          <w:tcPr>
            <w:tcW w:w="543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4E5F24B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75FE0DA6">
            <w:pPr>
              <w:widowControl w:val="0"/>
              <w:spacing w:before="0"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213ED2F9">
            <w:pPr>
              <w:widowControl w:val="0"/>
              <w:spacing w:before="0"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0911D3DC">
            <w:pPr>
              <w:widowControl w:val="0"/>
              <w:spacing w:before="0"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4D533958">
            <w:pPr>
              <w:widowControl w:val="0"/>
              <w:spacing w:before="0"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76610D2F">
            <w:pPr>
              <w:widowControl w:val="0"/>
              <w:spacing w:before="0"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348EEAC9">
            <w:pPr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>4.1 El cliente posee una deuda activa o un CreditoSolaFirma con cuotas pendientes.</w:t>
            </w:r>
          </w:p>
          <w:p w14:paraId="612377CC">
            <w:pPr>
              <w:widowControl/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 xml:space="preserve">   4.1.1 El sistema bloquea el proceso de inactivación.</w:t>
            </w:r>
          </w:p>
          <w:p w14:paraId="4CBFA5E4">
            <w:pPr>
              <w:widowControl/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 xml:space="preserve">   4.1.2 El sistema despliega una alerta indicando el saldo deudor del cliente.</w:t>
            </w:r>
          </w:p>
          <w:p w14:paraId="1EEBA6D2">
            <w:pPr>
              <w:widowControl/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 xml:space="preserve">   4.1.3 El sistema ofrece derivar al flujo de "Liquidar Deuda" o "Pasar a Legales".</w:t>
            </w:r>
          </w:p>
          <w:p w14:paraId="55606D92">
            <w:pPr>
              <w:widowControl/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 xml:space="preserve">   4.1.4 Se cancela el UC.</w:t>
            </w:r>
          </w:p>
          <w:p w14:paraId="1794EA3D">
            <w:pPr>
              <w:widowControl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7659F027">
            <w:pPr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4FCFF01A">
            <w:pPr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6C047906">
            <w:pPr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>5.1 El actor cancela la operación antes de confirmar.</w:t>
            </w:r>
          </w:p>
          <w:p w14:paraId="47BE2D3C">
            <w:pPr>
              <w:widowControl/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 xml:space="preserve">   5.1.1 El sistema descarta los cambios y retorna al inicio.</w:t>
            </w:r>
          </w:p>
          <w:p w14:paraId="70F4BB14">
            <w:pPr>
              <w:widowControl/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 xml:space="preserve">   5.1.2 Fin del UC.</w:t>
            </w:r>
          </w:p>
          <w:p w14:paraId="3C75EA38">
            <w:pPr>
              <w:widowControl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255545C2">
            <w:pPr>
              <w:widowControl w:val="0"/>
              <w:spacing w:before="240" w:beforeAutospacing="0" w:after="240" w:afterAutospacing="0" w:line="288" w:lineRule="auto"/>
              <w:ind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0A890059">
            <w:pPr>
              <w:widowControl w:val="0"/>
              <w:spacing w:before="240" w:beforeAutospacing="0" w:after="240" w:afterAutospacing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11E44734">
            <w:pPr>
              <w:widowControl w:val="0"/>
              <w:spacing w:before="0" w:after="0" w:line="240" w:lineRule="auto"/>
              <w:ind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</w:tc>
      </w:tr>
      <w:tr w14:paraId="3C4F158A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10740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BC3A51">
            <w:pPr>
              <w:widowControl w:val="0"/>
              <w:spacing w:before="0" w:after="0" w:line="288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 xml:space="preserve">Asociaciones de extensión: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MX" w:eastAsia="en-US" w:bidi="ar-SA"/>
              </w:rPr>
              <w:t>No aplica</w:t>
            </w:r>
          </w:p>
        </w:tc>
      </w:tr>
      <w:tr w14:paraId="12B79FC2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10740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B2BFA32">
            <w:pPr>
              <w:widowControl w:val="0"/>
              <w:spacing w:before="0" w:after="0" w:line="288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 xml:space="preserve">Asociaciones de inclusión: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MX" w:eastAsia="en-US" w:bidi="ar-SA"/>
              </w:rPr>
              <w:t>No aplica</w:t>
            </w:r>
          </w:p>
        </w:tc>
      </w:tr>
      <w:tr w14:paraId="4EFA89FE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10740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E70593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 xml:space="preserve">Use case donde se incluye: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MX" w:eastAsia="en-US" w:bidi="ar-SA"/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>o aplica</w:t>
            </w:r>
          </w:p>
        </w:tc>
      </w:tr>
      <w:tr w14:paraId="27861006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10740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8C470E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 xml:space="preserve">Use case al que extiende: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MX" w:eastAsia="en-US" w:bidi="ar-SA"/>
              </w:rPr>
              <w:t>Consultar cliente</w:t>
            </w:r>
          </w:p>
        </w:tc>
      </w:tr>
      <w:tr w14:paraId="26ECC703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10740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1054A1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 xml:space="preserve">Use case de generalización: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MX" w:eastAsia="en-US" w:bidi="ar-SA"/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s-AR" w:eastAsia="en-US" w:bidi="ar-SA"/>
              </w:rPr>
              <w:t>o aplica</w:t>
            </w:r>
          </w:p>
        </w:tc>
      </w:tr>
    </w:tbl>
    <w:p w14:paraId="594CC488">
      <w:pPr>
        <w:widowControl/>
        <w:bidi w:val="0"/>
        <w:spacing w:before="0" w:after="160" w:line="278" w:lineRule="auto"/>
        <w:jc w:val="left"/>
      </w:pPr>
      <w:bookmarkStart w:id="0" w:name="_GoBack"/>
      <w:bookmarkEnd w:id="0"/>
    </w:p>
    <w:sectPr>
      <w:pgSz w:w="11906" w:h="16838"/>
      <w:pgMar w:top="1440" w:right="1440" w:bottom="1440" w:left="1440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1"/>
    <w:family w:val="roma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08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3D0B7A"/>
    <w:rsid w:val="12DB619E"/>
    <w:rsid w:val="59427AC6"/>
    <w:rsid w:val="73922C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78" w:lineRule="auto"/>
      <w:jc w:val="left"/>
    </w:pPr>
    <w:rPr>
      <w:rFonts w:asciiTheme="minorHAnsi" w:hAnsiTheme="minorHAnsi" w:eastAsiaTheme="minorHAnsi" w:cstheme="minorBidi"/>
      <w:color w:val="auto"/>
      <w:kern w:val="0"/>
      <w:sz w:val="24"/>
      <w:szCs w:val="24"/>
      <w:lang w:val="es-E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5">
    <w:name w:val="List"/>
    <w:basedOn w:val="6"/>
    <w:uiPriority w:val="0"/>
    <w:rPr>
      <w:rFonts w:cs="Noto Sans Devanagari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9">
    <w:name w:val="Index"/>
    <w:basedOn w:val="1"/>
    <w:qFormat/>
    <w:uiPriority w:val="0"/>
    <w:pPr>
      <w:suppressLineNumbers/>
    </w:pPr>
    <w:rPr>
      <w:rFonts w:cs="Noto Sans Devanagari"/>
    </w:rPr>
  </w:style>
  <w:style w:type="paragraph" w:styleId="10">
    <w:name w:val="List Paragraph"/>
    <w:basedOn w:val="1"/>
    <w:qFormat/>
    <w:uiPriority w:val="34"/>
    <w:pPr>
      <w:spacing w:before="0" w:after="160"/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331</Words>
  <Characters>1789</Characters>
  <Paragraphs>40</Paragraphs>
  <TotalTime>0</TotalTime>
  <ScaleCrop>false</ScaleCrop>
  <LinksUpToDate>false</LinksUpToDate>
  <CharactersWithSpaces>2207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2026-04-11T22:45:00Z</dcterms:created>
  <dc:creator>Jonathan Nahuel Mora Colodrero</dc:creator>
  <cp:lastModifiedBy>Santi</cp:lastModifiedBy>
  <dcterms:modified xsi:type="dcterms:W3CDTF">2026-05-15T22:49:02Z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eyJoZGlkIjoiM2I4MmIwODc3NTgwNDI2ZWY1ZDdiNGI3NjgzNDA5YjcifQ==</vt:lpwstr>
  </property>
  <property fmtid="{D5CDD505-2E9C-101B-9397-08002B2CF9AE}" pid="3" name="KSOProductBuildVer">
    <vt:lpwstr>2058-12.1.0.26372</vt:lpwstr>
  </property>
  <property fmtid="{D5CDD505-2E9C-101B-9397-08002B2CF9AE}" pid="4" name="ICV">
    <vt:lpwstr>37A98347D80C475BB4836B6EEC23801D_12</vt:lpwstr>
  </property>
</Properties>
</file>