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DF">
            <w:pPr>
              <w:widowControl w:val="0"/>
              <w:suppressLineNumbers w:val="0"/>
              <w:bidi w:val="0"/>
              <w:spacing w:before="0" w:beforeAutospacing="0" w:after="0" w:afterAutospacing="0" w:line="288" w:lineRule="auto"/>
              <w:ind w:left="0" w:right="0"/>
              <w:jc w:val="left"/>
            </w:pPr>
            <w:r>
              <w:t>Nombre del Use Case: Registrar Cliente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E0">
            <w:pPr>
              <w:widowControl w:val="0"/>
              <w:spacing w:after="0"/>
              <w:rPr>
                <w:u w:val="single"/>
              </w:rPr>
            </w:pPr>
            <w:r>
              <w:t>Nº de orden: UC-00</w:t>
            </w:r>
            <w:r>
              <w:rPr>
                <w:u w:val="single"/>
              </w:rPr>
              <w:t>3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697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E2">
            <w:pPr>
              <w:widowControl w:val="0"/>
              <w:spacing w:after="0"/>
            </w:pPr>
            <w:r>
              <w:t xml:space="preserve">Prioridad                              Alta      </w:t>
            </w:r>
            <w:r>
              <mc:AlternateContent>
                <mc:Choice Requires="wps">
                  <w:drawing>
                    <wp:inline distT="0" distB="0" distL="114300" distR="114300">
                      <wp:extent cx="135255" cy="90805"/>
                      <wp:effectExtent l="6985" t="6985" r="5715" b="5715"/>
                      <wp:docPr id="1011143978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Forma6" o:spid="_x0000_s1026" o:spt="1" style="height:7.15pt;width:10.65pt;" fillcolor="#000000" filled="t" stroked="t" coordsize="21600,21600" o:gfxdata="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baVubTAAAAAwEAAA8AAAAAAAAAAQAgAAAAIgAAAGRycy9kb3ducmV2LnhtbFBLAQIUABQAAAAI&#10;AIdO4kCTOSicuQEAAK0DAAAOAAAAAAAAAAEAIAAAACI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391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E3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E4">
            <w:pPr>
              <w:widowControl w:val="0"/>
              <w:spacing w:after="0"/>
            </w:pPr>
            <w: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E6">
            <w:pPr>
              <w:widowControl w:val="0"/>
              <w:spacing w:after="0"/>
            </w:pP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E7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E8">
            <w:pPr>
              <w:widowControl w:val="0"/>
              <w:spacing w:after="0"/>
            </w:pPr>
            <w: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EA">
            <w:pPr>
              <w:widowControl w:val="0"/>
              <w:spacing w:after="0"/>
            </w:pPr>
            <w:r>
              <w:t xml:space="preserve">Actor principal: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Vendedor</w:t>
            </w:r>
          </w:p>
        </w:tc>
        <w:tc>
          <w:tcPr>
            <w:tcW w:w="607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EB">
            <w:pPr>
              <w:widowControl w:val="0"/>
              <w:spacing w:after="0"/>
            </w:pPr>
            <w:r>
              <w:t xml:space="preserve">Actor secundario: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Sistema Preexistente (Validador Externo)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ED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60288" behindDoc="0" locked="0" layoutInCell="1" allowOverlap="1">
                      <wp:simplePos x="0" y="0"/>
                      <wp:positionH relativeFrom="column">
                        <wp:posOffset>3433445</wp:posOffset>
                      </wp:positionH>
                      <wp:positionV relativeFrom="paragraph">
                        <wp:posOffset>-348615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70.35pt;margin-top:-27.45pt;height:7.15pt;width:10.65pt;z-index:251660288;mso-width-relative:page;mso-height-relative:page;" fillcolor="#000000" filled="t" stroked="t" coordsize="21600,21600" o:gfxdata="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tBxh9oAAAALAQAADwAAAAAAAAABACAAAAAiAAAAZHJzL2Rvd25yZXYueG1sUEsBAhQAFAAAAAgA&#10;h07iQKFEy0yxAQAApAMAAA4AAAAAAAAAAQAgAAAAKQEAAGRycy9lMm9Eb2MueG1sUEsFBgAAAAAG&#10;AAYAWQEAAEw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Tipo de Use Case                  Concreto     </w:t>
            </w:r>
            <w:r>
              <mc:AlternateContent>
                <mc:Choice Requires="wps">
                  <w:drawing>
                    <wp:inline distT="0" distB="0" distL="114300" distR="114300">
                      <wp:extent cx="135255" cy="90805"/>
                      <wp:effectExtent l="6985" t="6985" r="5715" b="5715"/>
                      <wp:docPr id="1724314799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Forma6" o:spid="_x0000_s1026" o:spt="1" style="height:7.15pt;width:10.65pt;" fillcolor="#000000" filled="t" stroked="t" coordsize="21600,21600" o:gfxdata="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G2lbm0wAAAAMBAAAPAAAAAAAAAAEAIAAAACIAAABkcnMvZG93bnJldi54bWxQSwECFAAUAAAA&#10;CACHTuJAMWlozroBAACtAwAADgAAAAAAAAABACAAAAAiAQAAZHJzL2Uyb0RvYy54bWxQSwUGAAAA&#10;AAYABgBZAQAATg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  <w10:wrap type="none"/>
                      <w10:anchorlock/>
                    </v:rect>
                  </w:pict>
                </mc:Fallback>
              </mc:AlternateContent>
            </w:r>
            <w:r>
              <w:t xml:space="preserve">       Abstracto    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EF">
            <w:pPr>
              <w:widowControl w:val="0"/>
              <w:spacing w:after="0"/>
            </w:pPr>
            <w:r>
              <w:t xml:space="preserve">Objetivo: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Dar de alta un nuevo cliente en el sistema validando sus antecedentes para habilitar operaciones comerciales y crediticias.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F1">
            <w:pPr>
              <w:widowControl w:val="0"/>
              <w:spacing w:after="0"/>
            </w:pPr>
            <w:r>
              <w:t xml:space="preserve">Precondiciones: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actor debe estar autenticado en el sistema con un rol que permita la gestión de clientes.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66847CF3">
            <w:pPr>
              <w:widowControl w:val="0"/>
              <w:spacing w:after="0"/>
            </w:pPr>
            <w: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F4">
            <w:pPr>
              <w:widowControl w:val="0"/>
              <w:spacing w:after="0"/>
            </w:pPr>
            <w:r>
              <w:t xml:space="preserve">Éxito: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Cliente persistido en el sistema, con estado activo y posición fiscal asignada.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</w:tcPr>
          <w:p w14:paraId="66847CF6"/>
        </w:tc>
        <w:tc>
          <w:tcPr>
            <w:tcW w:w="8428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F7">
            <w:pPr>
              <w:widowControl w:val="0"/>
              <w:spacing w:after="0"/>
            </w:pPr>
            <w:r>
              <w:t xml:space="preserve">Fracaso: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descarta el registro por datos inválidos o rechazo de antecedentes.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F9">
            <w:pPr>
              <w:widowControl w:val="0"/>
              <w:spacing w:after="0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FA">
            <w:pPr>
              <w:widowControl w:val="0"/>
              <w:spacing w:after="0"/>
            </w:pPr>
            <w: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CFC">
            <w:pPr>
              <w:widowControl w:val="0"/>
              <w:spacing w:after="0" w:line="240" w:lineRule="auto"/>
              <w:jc w:val="both"/>
            </w:pPr>
            <w:r>
              <w:t xml:space="preserve">1.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actor selecciona la opción "Registrar Nuevo Cliente".</w:t>
            </w:r>
          </w:p>
          <w:p w14:paraId="23B17C9D">
            <w:pPr>
              <w:widowControl w:val="0"/>
              <w:spacing w:after="0" w:line="240" w:lineRule="auto"/>
              <w:jc w:val="both"/>
            </w:pPr>
            <w:r>
              <w:t xml:space="preserve">2.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solicita el ingreso del número de documento (DNI/CUIT).</w:t>
            </w:r>
          </w:p>
          <w:p w14:paraId="66847CFD">
            <w:pPr>
              <w:widowControl w:val="0"/>
              <w:spacing w:after="0" w:line="240" w:lineRule="auto"/>
              <w:jc w:val="both"/>
            </w:pPr>
            <w:r>
              <w:t xml:space="preserve">3.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actor ingresa el documento y solicita validación.</w:t>
            </w:r>
          </w:p>
          <w:p w14:paraId="0AE2DD04">
            <w:pPr>
              <w:widowControl w:val="0"/>
              <w:spacing w:after="0" w:line="240" w:lineRule="auto"/>
            </w:pP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4. El sistema ejecuta el caso de uso incluido "Validar Antecedentes Cliente" contra la API externa.</w:t>
            </w:r>
          </w:p>
          <w:p w14:paraId="578F5ADC">
            <w:pPr>
              <w:widowControl w:val="0"/>
              <w:spacing w:after="0" w:line="240" w:lineRule="auto"/>
            </w:pPr>
            <w:r>
              <w:t xml:space="preserve">5.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externo responde que el cliente es apto y no posee bloqueos.</w:t>
            </w:r>
          </w:p>
          <w:p w14:paraId="05D41EFC">
            <w:pPr>
              <w:widowControl w:val="0"/>
              <w:spacing w:after="0" w:line="240" w:lineRule="auto"/>
            </w:pPr>
          </w:p>
          <w:p w14:paraId="0B81CC8D">
            <w:pPr>
              <w:widowControl w:val="0"/>
              <w:spacing w:after="0" w:line="240" w:lineRule="auto"/>
            </w:pPr>
          </w:p>
          <w:p w14:paraId="0A881936">
            <w:pPr>
              <w:widowControl w:val="0"/>
              <w:spacing w:after="0" w:line="240" w:lineRule="auto"/>
            </w:pPr>
          </w:p>
          <w:p w14:paraId="11E62753">
            <w:pPr>
              <w:widowControl w:val="0"/>
              <w:spacing w:after="0" w:line="240" w:lineRule="auto"/>
            </w:pPr>
          </w:p>
          <w:p w14:paraId="58062DFD">
            <w:pPr>
              <w:widowControl w:val="0"/>
              <w:spacing w:after="0" w:line="240" w:lineRule="auto"/>
            </w:pPr>
          </w:p>
          <w:p w14:paraId="1F036633">
            <w:pPr>
              <w:widowControl w:val="0"/>
              <w:spacing w:after="0" w:line="240" w:lineRule="auto"/>
            </w:pPr>
          </w:p>
          <w:p w14:paraId="72454EED">
            <w:pPr>
              <w:widowControl w:val="0"/>
              <w:spacing w:after="0" w:line="240" w:lineRule="auto"/>
            </w:pPr>
          </w:p>
          <w:p w14:paraId="4D27C946">
            <w:pPr>
              <w:widowControl w:val="0"/>
              <w:spacing w:after="0" w:line="240" w:lineRule="auto"/>
            </w:pPr>
          </w:p>
          <w:p w14:paraId="4F422340">
            <w:pPr>
              <w:widowControl w:val="0"/>
              <w:spacing w:after="0" w:line="240" w:lineRule="auto"/>
            </w:pPr>
          </w:p>
          <w:p w14:paraId="5502A23C">
            <w:pPr>
              <w:widowControl w:val="0"/>
              <w:spacing w:after="0" w:line="240" w:lineRule="auto"/>
            </w:pPr>
          </w:p>
          <w:p w14:paraId="57FC2C78">
            <w:pPr>
              <w:widowControl w:val="0"/>
              <w:spacing w:after="0" w:line="240" w:lineRule="auto"/>
            </w:pPr>
          </w:p>
          <w:p w14:paraId="38229234">
            <w:pPr>
              <w:widowControl w:val="0"/>
              <w:spacing w:after="0" w:line="240" w:lineRule="auto"/>
            </w:pPr>
            <w:r>
              <w:t xml:space="preserve">6.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despliega el formulario habilitado solicitando: Nombre/Razón Social, Domicilio Legal, Domicilio Real, y Posición Fiscal.</w:t>
            </w:r>
          </w:p>
          <w:p w14:paraId="2879CA5E">
            <w:pPr>
              <w:widowControl w:val="0"/>
              <w:spacing w:after="0" w:line="240" w:lineRule="auto"/>
            </w:pPr>
            <w:r>
              <w:t xml:space="preserve">7.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actor completa la información requerida y selecciona "Guardar".</w:t>
            </w:r>
          </w:p>
          <w:p w14:paraId="66847D01">
            <w:pPr>
              <w:widowControl w:val="0"/>
              <w:spacing w:after="0" w:line="240" w:lineRule="auto"/>
            </w:pPr>
            <w:r>
              <w:t xml:space="preserve">8.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valida la integridad de los datos (formatos, campos obligatorios).</w:t>
            </w:r>
          </w:p>
          <w:p w14:paraId="52A3D800">
            <w:pPr>
              <w:widowControl w:val="0"/>
              <w:spacing w:after="0" w:line="240" w:lineRule="auto"/>
            </w:pPr>
          </w:p>
          <w:p w14:paraId="5BEA8B95">
            <w:pPr>
              <w:widowControl w:val="0"/>
              <w:spacing w:after="0" w:line="240" w:lineRule="auto"/>
            </w:pPr>
          </w:p>
          <w:p w14:paraId="390E7086">
            <w:pPr>
              <w:widowControl w:val="0"/>
              <w:spacing w:after="0" w:line="240" w:lineRule="auto"/>
            </w:pPr>
          </w:p>
          <w:p w14:paraId="5E48E7CC">
            <w:pPr>
              <w:widowControl w:val="0"/>
              <w:spacing w:after="0" w:line="240" w:lineRule="auto"/>
            </w:pPr>
          </w:p>
          <w:p w14:paraId="2175D95C">
            <w:pPr>
              <w:widowControl w:val="0"/>
              <w:spacing w:after="0" w:line="240" w:lineRule="auto"/>
            </w:pPr>
          </w:p>
          <w:p w14:paraId="15B139ED">
            <w:pPr>
              <w:widowControl w:val="0"/>
              <w:spacing w:after="0" w:line="240" w:lineRule="auto"/>
            </w:pPr>
            <w:r>
              <w:t xml:space="preserve">9.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persiste al Cliente en la base de datos.</w:t>
            </w:r>
          </w:p>
          <w:p w14:paraId="57F59D6C">
            <w:pPr>
              <w:widowControl w:val="0"/>
              <w:spacing w:after="0" w:line="240" w:lineRule="auto"/>
            </w:pPr>
            <w:r>
              <w:t xml:space="preserve">10.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emite un mensaje de confirmación de alta exitosa.</w:t>
            </w:r>
          </w:p>
          <w:p w14:paraId="66847D10">
            <w:pPr>
              <w:widowControl w:val="0"/>
              <w:spacing w:after="0" w:line="240" w:lineRule="auto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11. Fin del UC.</w:t>
            </w:r>
          </w:p>
        </w:tc>
        <w:tc>
          <w:tcPr>
            <w:tcW w:w="567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D11">
            <w:pPr>
              <w:widowControl w:val="0"/>
              <w:spacing w:after="0"/>
            </w:pPr>
          </w:p>
          <w:p w14:paraId="66847D12">
            <w:pPr>
              <w:widowControl w:val="0"/>
              <w:spacing w:after="0"/>
              <w:jc w:val="both"/>
            </w:pPr>
          </w:p>
          <w:p w14:paraId="7A05F3F5">
            <w:pPr>
              <w:widowControl w:val="0"/>
              <w:spacing w:after="0"/>
              <w:jc w:val="both"/>
            </w:pPr>
          </w:p>
          <w:p w14:paraId="66847D14">
            <w:pPr>
              <w:widowControl w:val="0"/>
              <w:spacing w:after="0"/>
              <w:jc w:val="both"/>
            </w:pPr>
          </w:p>
          <w:p w14:paraId="66847D15">
            <w:pPr>
              <w:widowControl w:val="0"/>
              <w:spacing w:after="0"/>
              <w:jc w:val="both"/>
            </w:pPr>
          </w:p>
          <w:p w14:paraId="0FD31DC1">
            <w:pPr>
              <w:widowControl w:val="0"/>
              <w:spacing w:after="0"/>
              <w:jc w:val="both"/>
            </w:pPr>
          </w:p>
          <w:p w14:paraId="4CC17E67">
            <w:pPr>
              <w:widowControl w:val="0"/>
              <w:spacing w:after="0"/>
              <w:jc w:val="both"/>
            </w:pPr>
          </w:p>
          <w:p w14:paraId="57C0D5A4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lang w:val="es-AR"/>
              </w:rPr>
            </w:pPr>
            <w:r>
              <w:rPr>
                <w:lang w:val="es-AR"/>
              </w:rPr>
              <w:t>5.1 El sistema externo informa que el cliente posee antecedentes negativos o bloqueos.</w:t>
            </w:r>
          </w:p>
          <w:p w14:paraId="72277D1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lang w:val="es-AR"/>
              </w:rPr>
            </w:pPr>
            <w:r>
              <w:rPr>
                <w:lang w:val="es-AR"/>
              </w:rPr>
              <w:t xml:space="preserve">   5.1.1 El sistema muestra una alerta de rechazo detallando el motivo provisto por la API.</w:t>
            </w:r>
          </w:p>
          <w:p w14:paraId="0C7EC21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lang w:val="es-AR"/>
              </w:rPr>
            </w:pPr>
            <w:r>
              <w:rPr>
                <w:lang w:val="es-AR"/>
              </w:rPr>
              <w:t xml:space="preserve">   5.1.2 El sistema bloquea el formulario de alta.</w:t>
            </w:r>
          </w:p>
          <w:p w14:paraId="582A0C8D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lang w:val="es-AR"/>
              </w:rPr>
            </w:pPr>
            <w:r>
              <w:rPr>
                <w:lang w:val="es-AR"/>
              </w:rPr>
              <w:t xml:space="preserve">   5.1.3 Fin del UC.</w:t>
            </w:r>
          </w:p>
          <w:p w14:paraId="56F7197E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lang w:val="es-AR"/>
              </w:rPr>
            </w:pPr>
            <w:r>
              <w:rPr>
                <w:lang w:val="es-AR"/>
              </w:rPr>
              <w:t>5.2 El sistema externo (API) no responde o genera timeout.</w:t>
            </w:r>
          </w:p>
          <w:p w14:paraId="14EF3103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lang w:val="es-AR"/>
              </w:rPr>
            </w:pPr>
            <w:r>
              <w:rPr>
                <w:lang w:val="es-AR"/>
              </w:rPr>
              <w:t xml:space="preserve">   5.2.1 El sistema informa indisponibilidad temporal para crear clientes con habilitación de crédito.</w:t>
            </w:r>
          </w:p>
          <w:p w14:paraId="7122EB2D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lang w:val="es-AR"/>
              </w:rPr>
            </w:pPr>
            <w:r>
              <w:rPr>
                <w:lang w:val="es-AR"/>
              </w:rPr>
              <w:t xml:space="preserve">   5.2.2 El sistema permite guardar al cliente con estado "Validación Pendiente" (solo habilitado para pago contado).</w:t>
            </w:r>
          </w:p>
          <w:p w14:paraId="52EEE1C7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lang w:val="es-AR"/>
              </w:rPr>
            </w:pPr>
            <w:r>
              <w:rPr>
                <w:lang w:val="es-AR"/>
              </w:rPr>
              <w:t xml:space="preserve">   5.2.3 El flujo retoma en el paso 6.</w:t>
            </w:r>
          </w:p>
          <w:p w14:paraId="0DAFB39A">
            <w:pPr>
              <w:widowControl w:val="0"/>
              <w:spacing w:before="240" w:beforeAutospacing="0" w:after="240" w:afterAutospacing="0"/>
              <w:ind w:left="0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</w:p>
          <w:p w14:paraId="5F047F19">
            <w:pPr>
              <w:widowControl w:val="0"/>
              <w:spacing w:before="240" w:beforeAutospacing="0" w:after="240" w:afterAutospacing="0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</w:p>
          <w:p w14:paraId="487E1921">
            <w:pPr>
              <w:widowControl w:val="0"/>
              <w:spacing w:after="0"/>
              <w:jc w:val="both"/>
            </w:pPr>
          </w:p>
          <w:p w14:paraId="66847D16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8.1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Faltan datos obligatorios o el formato es inválido (ej. CUIT erróneo).</w:t>
            </w:r>
          </w:p>
          <w:p w14:paraId="546FA121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   8.1.1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resalta los campos con errores y exige su corrección.</w:t>
            </w:r>
          </w:p>
          <w:p w14:paraId="19147F0F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   8.1.2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flujo retorna al paso 7.</w:t>
            </w:r>
          </w:p>
          <w:p w14:paraId="4C70E1A0">
            <w:pPr>
              <w:widowControl w:val="0"/>
              <w:spacing w:after="0"/>
              <w:jc w:val="both"/>
            </w:pPr>
          </w:p>
          <w:p w14:paraId="66847D1F">
            <w:pPr>
              <w:pStyle w:val="17"/>
              <w:widowControl w:val="0"/>
              <w:spacing w:after="0" w:line="240" w:lineRule="auto"/>
              <w:ind w:left="0"/>
              <w:jc w:val="both"/>
            </w:pP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D21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extensión: </w:t>
            </w:r>
            <w:r>
              <w:rPr>
                <w:rFonts w:hint="default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D23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inclusión: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No aplica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D25">
            <w:pPr>
              <w:widowControl w:val="0"/>
              <w:spacing w:after="0"/>
            </w:pPr>
            <w:r>
              <w:t xml:space="preserve">Use case donde se incluye: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D27">
            <w:pPr>
              <w:widowControl w:val="0"/>
              <w:spacing w:after="0"/>
            </w:pPr>
            <w:r>
              <w:t xml:space="preserve">Use case al que extiende: </w:t>
            </w:r>
            <w:r>
              <w:rPr>
                <w:rFonts w:hint="default"/>
                <w:lang w:val="es-MX"/>
              </w:rPr>
              <w:t>Consultar cliente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847D29">
            <w:pPr>
              <w:widowControl w:val="0"/>
              <w:spacing w:after="0"/>
            </w:pPr>
            <w:r>
              <w:t xml:space="preserve">Use case de generalización: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</w:tbl>
    <w:p w14:paraId="66847DC3">
      <w:pPr>
        <w:spacing w:line="276" w:lineRule="auto"/>
      </w:pPr>
    </w:p>
    <w:sectPr>
      <w:headerReference r:id="rId5" w:type="default"/>
      <w:footerReference r:id="rId6" w:type="default"/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2830"/>
      <w:gridCol w:w="2830"/>
    </w:tblGrid>
    <w:tr w14:paraId="6700FAC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830" w:type="dxa"/>
        </w:tcPr>
        <w:p w14:paraId="31C05964">
          <w:pPr>
            <w:pStyle w:val="5"/>
            <w:bidi w:val="0"/>
            <w:ind w:left="-115"/>
            <w:jc w:val="left"/>
          </w:pPr>
        </w:p>
      </w:tc>
      <w:tc>
        <w:tcPr>
          <w:tcW w:w="2830" w:type="dxa"/>
        </w:tcPr>
        <w:p w14:paraId="26EEA429">
          <w:pPr>
            <w:pStyle w:val="5"/>
            <w:bidi w:val="0"/>
            <w:jc w:val="center"/>
          </w:pPr>
        </w:p>
      </w:tc>
      <w:tc>
        <w:tcPr>
          <w:tcW w:w="2830" w:type="dxa"/>
        </w:tcPr>
        <w:p w14:paraId="5A6820DD">
          <w:pPr>
            <w:pStyle w:val="5"/>
            <w:bidi w:val="0"/>
            <w:ind w:right="-115"/>
            <w:jc w:val="right"/>
          </w:pPr>
        </w:p>
      </w:tc>
    </w:tr>
  </w:tbl>
  <w:p w14:paraId="78B323E1">
    <w:pPr>
      <w:pStyle w:val="8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2830"/>
      <w:gridCol w:w="2830"/>
    </w:tblGrid>
    <w:tr w14:paraId="7341842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830" w:type="dxa"/>
        </w:tcPr>
        <w:p w14:paraId="01C32DE4">
          <w:pPr>
            <w:pStyle w:val="5"/>
            <w:bidi w:val="0"/>
            <w:ind w:left="-115"/>
            <w:jc w:val="left"/>
          </w:pPr>
        </w:p>
      </w:tc>
      <w:tc>
        <w:tcPr>
          <w:tcW w:w="2830" w:type="dxa"/>
        </w:tcPr>
        <w:p w14:paraId="58E39F71">
          <w:pPr>
            <w:pStyle w:val="5"/>
            <w:bidi w:val="0"/>
            <w:jc w:val="center"/>
          </w:pPr>
        </w:p>
      </w:tc>
      <w:tc>
        <w:tcPr>
          <w:tcW w:w="2830" w:type="dxa"/>
        </w:tcPr>
        <w:p w14:paraId="67A7E8AB">
          <w:pPr>
            <w:pStyle w:val="5"/>
            <w:bidi w:val="0"/>
            <w:ind w:right="-115"/>
            <w:jc w:val="right"/>
          </w:pPr>
        </w:p>
      </w:tc>
    </w:tr>
  </w:tbl>
  <w:p w14:paraId="623ABC52">
    <w:pPr>
      <w:pStyle w:val="5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07DE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21493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019F3B85"/>
    <w:rsid w:val="01DE6538"/>
    <w:rsid w:val="03FB38CD"/>
    <w:rsid w:val="046DD39D"/>
    <w:rsid w:val="04925A6C"/>
    <w:rsid w:val="05C528A7"/>
    <w:rsid w:val="088210B7"/>
    <w:rsid w:val="0A77C979"/>
    <w:rsid w:val="0B83A884"/>
    <w:rsid w:val="0BC01BD1"/>
    <w:rsid w:val="0C74CC47"/>
    <w:rsid w:val="0D5BD235"/>
    <w:rsid w:val="0DC1BCA8"/>
    <w:rsid w:val="0F370652"/>
    <w:rsid w:val="10F06780"/>
    <w:rsid w:val="11131EA2"/>
    <w:rsid w:val="12C71354"/>
    <w:rsid w:val="139DB408"/>
    <w:rsid w:val="14E4CD8A"/>
    <w:rsid w:val="15B8FC21"/>
    <w:rsid w:val="162D395A"/>
    <w:rsid w:val="1809EE7B"/>
    <w:rsid w:val="199A4BDE"/>
    <w:rsid w:val="1B199C06"/>
    <w:rsid w:val="1B5344B9"/>
    <w:rsid w:val="1B971AB9"/>
    <w:rsid w:val="1F7B10C3"/>
    <w:rsid w:val="20C7ED8F"/>
    <w:rsid w:val="21E898D1"/>
    <w:rsid w:val="22367E42"/>
    <w:rsid w:val="22E7B8F7"/>
    <w:rsid w:val="2410F9C7"/>
    <w:rsid w:val="24CD47B2"/>
    <w:rsid w:val="272D8AC9"/>
    <w:rsid w:val="29776F13"/>
    <w:rsid w:val="2A129652"/>
    <w:rsid w:val="2ACDA995"/>
    <w:rsid w:val="2B0DE154"/>
    <w:rsid w:val="2B7742C7"/>
    <w:rsid w:val="2C5B8396"/>
    <w:rsid w:val="2EB2CDEF"/>
    <w:rsid w:val="2F7F67AC"/>
    <w:rsid w:val="32B69CF3"/>
    <w:rsid w:val="33886F68"/>
    <w:rsid w:val="3393033B"/>
    <w:rsid w:val="344432B9"/>
    <w:rsid w:val="34AFE621"/>
    <w:rsid w:val="365ED1C2"/>
    <w:rsid w:val="36F59D3B"/>
    <w:rsid w:val="376E4B45"/>
    <w:rsid w:val="3807E99A"/>
    <w:rsid w:val="396F3C2D"/>
    <w:rsid w:val="39ECD087"/>
    <w:rsid w:val="3C86129F"/>
    <w:rsid w:val="3CD971AF"/>
    <w:rsid w:val="3F6631A1"/>
    <w:rsid w:val="3F69D947"/>
    <w:rsid w:val="40F667B5"/>
    <w:rsid w:val="41375589"/>
    <w:rsid w:val="423286EA"/>
    <w:rsid w:val="43A31F7D"/>
    <w:rsid w:val="47E3DBC3"/>
    <w:rsid w:val="4A3D54CC"/>
    <w:rsid w:val="4B641D83"/>
    <w:rsid w:val="4BE88E44"/>
    <w:rsid w:val="4E4269FF"/>
    <w:rsid w:val="507F3B20"/>
    <w:rsid w:val="51DE8A9D"/>
    <w:rsid w:val="52BB9BEF"/>
    <w:rsid w:val="553AF730"/>
    <w:rsid w:val="55D503A5"/>
    <w:rsid w:val="5609549C"/>
    <w:rsid w:val="564E2E87"/>
    <w:rsid w:val="565F10E0"/>
    <w:rsid w:val="56E1E418"/>
    <w:rsid w:val="594F4233"/>
    <w:rsid w:val="594F7764"/>
    <w:rsid w:val="59F3111E"/>
    <w:rsid w:val="59F758A9"/>
    <w:rsid w:val="5E2D805B"/>
    <w:rsid w:val="5F640F21"/>
    <w:rsid w:val="5FA70D4F"/>
    <w:rsid w:val="60B9EE81"/>
    <w:rsid w:val="614F9861"/>
    <w:rsid w:val="61A650B9"/>
    <w:rsid w:val="62A8E8FA"/>
    <w:rsid w:val="6A9318C6"/>
    <w:rsid w:val="6B5A538B"/>
    <w:rsid w:val="6C28884A"/>
    <w:rsid w:val="6CA1DE40"/>
    <w:rsid w:val="6D43D9FF"/>
    <w:rsid w:val="6E3A0294"/>
    <w:rsid w:val="728E37E1"/>
    <w:rsid w:val="77C81F51"/>
    <w:rsid w:val="79DAD32F"/>
    <w:rsid w:val="7B1C7E4C"/>
    <w:rsid w:val="7B8E9212"/>
    <w:rsid w:val="7CD8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footer"/>
    <w:basedOn w:val="1"/>
    <w:link w:val="12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styleId="10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3">
    <w:name w:val="normaltextrun"/>
    <w:basedOn w:val="2"/>
    <w:qFormat/>
    <w:uiPriority w:val="0"/>
  </w:style>
  <w:style w:type="character" w:customStyle="1" w:styleId="14">
    <w:name w:val="Símbolos de numeración"/>
    <w:qFormat/>
    <w:uiPriority w:val="0"/>
  </w:style>
  <w:style w:type="paragraph" w:customStyle="1" w:styleId="15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6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7">
    <w:name w:val="List Paragraph"/>
    <w:basedOn w:val="1"/>
    <w:qFormat/>
    <w:uiPriority w:val="0"/>
    <w:pPr>
      <w:ind w:left="720"/>
      <w:contextualSpacing/>
    </w:pPr>
  </w:style>
  <w:style w:type="paragraph" w:customStyle="1" w:styleId="18">
    <w:name w:val="Cabecera y pie"/>
    <w:basedOn w:val="1"/>
    <w:qFormat/>
    <w:uiPriority w:val="0"/>
  </w:style>
  <w:style w:type="paragraph" w:customStyle="1" w:styleId="19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15B3DF-7EC2-4C1E-984B-BE8A2354B205}">
  <ds:schemaRefs/>
</ds:datastoreItem>
</file>

<file path=customXml/itemProps3.xml><?xml version="1.0" encoding="utf-8"?>
<ds:datastoreItem xmlns:ds="http://schemas.openxmlformats.org/officeDocument/2006/customXml" ds:itemID="{3235D19B-92AA-40D1-A250-F0977FEF6321}">
  <ds:schemaRefs/>
</ds:datastoreItem>
</file>

<file path=customXml/itemProps4.xml><?xml version="1.0" encoding="utf-8"?>
<ds:datastoreItem xmlns:ds="http://schemas.openxmlformats.org/officeDocument/2006/customXml" ds:itemID="{67E9B3C8-8EB5-4E4C-ADEE-70B6197AA4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374</Words>
  <Characters>2043</Characters>
  <Lines>1</Lines>
  <Paragraphs>1</Paragraphs>
  <TotalTime>2</TotalTime>
  <ScaleCrop>false</ScaleCrop>
  <LinksUpToDate>false</LinksUpToDate>
  <CharactersWithSpaces>2486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2026-05-15T22:53:07Z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TemplateDocerSaveRecord">
    <vt:lpwstr>eyJoZGlkIjoiM2I4MmIwODc3NTgwNDI2ZWY1ZDdiNGI3NjgzNDA5YjcifQ==</vt:lpwstr>
  </property>
  <property fmtid="{D5CDD505-2E9C-101B-9397-08002B2CF9AE}" pid="4" name="KSOProductBuildVer">
    <vt:lpwstr>2058-12.1.0.26372</vt:lpwstr>
  </property>
  <property fmtid="{D5CDD505-2E9C-101B-9397-08002B2CF9AE}" pid="5" name="ICV">
    <vt:lpwstr>1B276D9AD5414FB8A0A4A7ECF38962AA_12</vt:lpwstr>
  </property>
</Properties>
</file>