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>
          <w:trHeight w:val="282" w:hRule="atLeast"/>
        </w:trPr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Nombre del Use Case: </w:t>
            </w:r>
            <w:r>
              <w:rPr>
                <w:kern w:val="0"/>
              </w:rPr>
              <w:t>Actualiz</w:t>
            </w:r>
            <w:r>
              <w:rPr>
                <w:kern w:val="0"/>
              </w:rPr>
              <w:t>ar Scoring Cliente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u w:val="single"/>
                <w:lang w:val="es-MX"/>
              </w:rPr>
            </w:pPr>
            <w:r>
              <w:rPr>
                <w:kern w:val="0"/>
              </w:rPr>
              <w:t>Nº de orden: UC-0</w:t>
            </w:r>
            <w:r>
              <w:rPr>
                <w:kern w:val="0"/>
                <w:lang w:val="es-MX"/>
              </w:rPr>
              <w:t>16</w:t>
            </w:r>
            <w:r>
              <w:rPr>
                <w:kern w:val="0"/>
                <w:u w:val="single"/>
                <w:lang w:val="es-MX"/>
              </w:rPr>
              <w:t>.</w:t>
            </w:r>
            <w:r>
              <w:rPr>
                <w:kern w:val="0"/>
                <w:u w:val="single"/>
                <w:lang w:val="es-MX"/>
              </w:rPr>
              <w:t>2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1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2033270</wp:posOffset>
                      </wp:positionH>
                      <wp:positionV relativeFrom="paragraph">
                        <wp:posOffset>40640</wp:posOffset>
                      </wp:positionV>
                      <wp:extent cx="135255" cy="90805"/>
                      <wp:effectExtent l="6985" t="6985" r="5715" b="5715"/>
                      <wp:wrapNone/>
                      <wp:docPr id="2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160.1pt;margin-top:3.2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436880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3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34.4pt;margin-top:4.05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6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4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0.05pt;margin-top:-27.7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 xml:space="preserve">Actor principal: </w:t>
            </w:r>
            <w:r>
              <w:rPr>
                <w:kern w:val="0"/>
                <w:lang w:val="es-MX"/>
              </w:rPr>
              <w:t>Sistema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5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5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34.35pt;margin-top:-26.6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Actor secundario: Sistema externo de créditos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u w:val="single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2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6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386.25pt;margin-top:-28.1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3">
                      <wp:simplePos x="0" y="0"/>
                      <wp:positionH relativeFrom="column">
                        <wp:posOffset>2016125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158.75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4">
                      <wp:simplePos x="0" y="0"/>
                      <wp:positionH relativeFrom="column">
                        <wp:posOffset>3006725</wp:posOffset>
                      </wp:positionH>
                      <wp:positionV relativeFrom="paragraph">
                        <wp:posOffset>31115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20" cy="1080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8" path="m0,0l-2147483645,0l-2147483645,-2147483646l0,-2147483646xe" fillcolor="#666666" stroked="t" o:allowincell="f" style="position:absolute;margin-left:236.75pt;margin-top:2.45pt;width:13.05pt;height:8.45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w:rPr>
                <w:kern w:val="0"/>
              </w:rPr>
              <w:t>Objetivo:</w:t>
            </w:r>
            <w:r>
              <w:rPr>
                <w:kern w:val="0"/>
                <w:lang w:val="es-MX"/>
              </w:rPr>
              <w:t xml:space="preserve"> </w:t>
            </w:r>
            <w:r>
              <w:rPr>
                <w:kern w:val="0"/>
                <w:lang w:val="es-MX"/>
              </w:rPr>
              <w:t>Actualizar</w:t>
            </w:r>
            <w:r>
              <w:rPr>
                <w:kern w:val="0"/>
                <w:lang w:val="es-MX"/>
              </w:rPr>
              <w:t xml:space="preserve"> un puntaje de crédito del cliente en base a su historial de compras y comportamiento de pagos, con el fin de asistir en la evaluación de solicitudes de crédito, evitando otorgar financiamiento a clientes con alto riesgo y permitiendo premiar a aquellos con buen historial mediante beneficios como mejores condiciones o descuentos.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Precondiciones: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- </w:t>
            </w:r>
            <w:r>
              <w:rPr>
                <w:kern w:val="0"/>
              </w:rPr>
              <w:t>Debe existir un Cliente registrado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- </w:t>
            </w:r>
            <w:r>
              <w:rPr>
                <w:kern w:val="0"/>
              </w:rPr>
              <w:t>Debe existir un registro de Scoring previo para el cliente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Éxito: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- Se </w:t>
            </w:r>
            <w:r>
              <w:rPr>
                <w:kern w:val="0"/>
              </w:rPr>
              <w:t>actualiza</w:t>
            </w:r>
            <w:r>
              <w:rPr>
                <w:kern w:val="0"/>
              </w:rPr>
              <w:t xml:space="preserve"> </w:t>
            </w:r>
            <w:r>
              <w:rPr>
                <w:kern w:val="0"/>
              </w:rPr>
              <w:t>el</w:t>
            </w:r>
            <w:r>
              <w:rPr>
                <w:kern w:val="0"/>
              </w:rPr>
              <w:t xml:space="preserve"> score de crédito para el cliente.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El score queda disponible para su uso en la evaluación del crédito.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Fracaso: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- No se puede </w:t>
            </w:r>
            <w:r>
              <w:rPr>
                <w:kern w:val="0"/>
              </w:rPr>
              <w:t>actualizar</w:t>
            </w:r>
            <w:r>
              <w:rPr>
                <w:kern w:val="0"/>
              </w:rPr>
              <w:t xml:space="preserve"> el score.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1. El UC comienza cuando el sistema </w:t>
            </w:r>
            <w:r>
              <w:rPr>
                <w:kern w:val="0"/>
              </w:rPr>
              <w:t>registra una nueva Venta o Contrato de Crédito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2. El sistema calcula el scoring </w:t>
            </w:r>
            <w:r>
              <w:rPr>
                <w:kern w:val="0"/>
              </w:rPr>
              <w:t>nuevo</w:t>
            </w:r>
            <w:r>
              <w:rPr>
                <w:kern w:val="0"/>
              </w:rPr>
              <w:t xml:space="preserve"> del cliente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3. El sistema registra el scoring </w:t>
            </w:r>
            <w:r>
              <w:rPr>
                <w:kern w:val="0"/>
              </w:rPr>
              <w:t>nuevo</w:t>
            </w:r>
            <w:r>
              <w:rPr>
                <w:kern w:val="0"/>
              </w:rPr>
              <w:t xml:space="preserve"> del cliente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4. Fin del UC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1.1 </w:t>
            </w:r>
            <w:r>
              <w:rPr>
                <w:kern w:val="0"/>
              </w:rPr>
              <w:t>No existen Ventas o Contratos de Crédito con fecha posterior al último registro de score del cliente.</w:t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1.2 No se </w:t>
            </w:r>
            <w:r>
              <w:rPr>
                <w:kern w:val="0"/>
              </w:rPr>
              <w:t>actualiza</w:t>
            </w:r>
            <w:r>
              <w:rPr>
                <w:kern w:val="0"/>
              </w:rPr>
              <w:t xml:space="preserve"> el scoring del cliente</w:t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>1.</w:t>
            </w:r>
            <w:r>
              <w:rPr>
                <w:kern w:val="0"/>
              </w:rPr>
              <w:t>3</w:t>
            </w:r>
            <w:r>
              <w:rPr>
                <w:kern w:val="0"/>
              </w:rPr>
              <w:t xml:space="preserve"> Se cancela el UC</w:t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Asociaciones de extensión: UC-016.1 Gestionar Scoring Cliente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w:rPr>
                <w:kern w:val="0"/>
              </w:rPr>
              <w:t xml:space="preserve">Asociaciones de inclusión: </w:t>
            </w:r>
            <w:r>
              <w:rPr>
                <w:kern w:val="0"/>
                <w:lang w:val="es-MX"/>
              </w:rPr>
              <w:t>N</w:t>
            </w:r>
            <w:r>
              <w:rPr>
                <w:kern w:val="0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w:rPr>
                <w:kern w:val="0"/>
              </w:rPr>
              <w:t>Use case donde se incluye:</w:t>
            </w:r>
            <w:r>
              <w:rPr>
                <w:kern w:val="0"/>
                <w:lang w:val="es-MX"/>
              </w:rPr>
              <w:t xml:space="preserve"> Gestionar crédito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Use case al que extiende: </w:t>
            </w:r>
            <w:r>
              <w:rPr>
                <w:kern w:val="0"/>
                <w:lang w:val="es-MX"/>
              </w:rPr>
              <w:t>N</w:t>
            </w:r>
            <w:r>
              <w:rPr>
                <w:kern w:val="0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Use case de generalización: </w:t>
            </w:r>
            <w:r>
              <w:rPr>
                <w:kern w:val="0"/>
                <w:lang w:val="es-MX"/>
              </w:rPr>
              <w:t>N</w:t>
            </w:r>
            <w:r>
              <w:rPr>
                <w:kern w:val="0"/>
              </w:rPr>
              <w:t>o aplica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<Relationship Id="rId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35D19B-92AA-40D1-A250-F0977FEF6321}">
  <ds:schemaRefs/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67E9B3C8-8EB5-4E4C-ADEE-70B6197AA4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Application>LibreOffice/24.2.7.2$Linux_X86_64 LibreOffice_project/420$Build-2</Application>
  <AppVersion>15.0000</AppVersion>
  <Pages>1</Pages>
  <Words>244</Words>
  <Characters>1263</Characters>
  <CharactersWithSpaces>1555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2026-04-14T19:52:23Z</dcterms:modified>
  <cp:revision>159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