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74.0" w:type="dxa"/>
        <w:jc w:val="left"/>
        <w:tblInd w:w="-601.0" w:type="dxa"/>
        <w:tblLayout w:type="fixed"/>
        <w:tblLook w:val="0000"/>
      </w:tblPr>
      <w:tblGrid>
        <w:gridCol w:w="2346"/>
        <w:gridCol w:w="2351"/>
        <w:gridCol w:w="404"/>
        <w:gridCol w:w="1987"/>
        <w:gridCol w:w="3686"/>
        <w:tblGridChange w:id="0">
          <w:tblGrid>
            <w:gridCol w:w="2346"/>
            <w:gridCol w:w="2351"/>
            <w:gridCol w:w="404"/>
            <w:gridCol w:w="1987"/>
            <w:gridCol w:w="3686"/>
          </w:tblGrid>
        </w:tblGridChange>
      </w:tblGrid>
      <w:tr>
        <w:trPr>
          <w:cantSplit w:val="0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Nombre del Use Case: Calcular comisiones y bonos</w:t>
            </w:r>
          </w:p>
          <w:p w:rsidR="00000000" w:rsidDel="00000000" w:rsidP="00000000" w:rsidRDefault="00000000" w:rsidRPr="00000000" w14:paraId="00000003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Nº de orden: UC-015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Prioridad                              Alta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A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307539</wp:posOffset>
                      </wp:positionH>
                      <wp:positionV relativeFrom="paragraph">
                        <wp:posOffset>23059</wp:posOffset>
                      </wp:positionV>
                      <wp:extent cx="185655" cy="141205"/>
                      <wp:effectExtent b="0" l="0" r="0" t="0"/>
                      <wp:wrapNone/>
                      <wp:docPr id="6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7" name="Shape 7"/>
                            <wps:spPr>
                              <a:xfrm>
                                <a:off x="5278320" y="373464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307539</wp:posOffset>
                      </wp:positionH>
                      <wp:positionV relativeFrom="paragraph">
                        <wp:posOffset>23059</wp:posOffset>
                      </wp:positionV>
                      <wp:extent cx="185655" cy="141205"/>
                      <wp:effectExtent b="0" l="0" r="0" t="0"/>
                      <wp:wrapNone/>
                      <wp:docPr id="6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Complejidad                        Alta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2008070</wp:posOffset>
                      </wp:positionH>
                      <wp:positionV relativeFrom="paragraph">
                        <wp:posOffset>15438</wp:posOffset>
                      </wp:positionV>
                      <wp:extent cx="185655" cy="14120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6" name="Shape 6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2008070</wp:posOffset>
                      </wp:positionH>
                      <wp:positionV relativeFrom="paragraph">
                        <wp:posOffset>15438</wp:posOffset>
                      </wp:positionV>
                      <wp:extent cx="185655" cy="141205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411679</wp:posOffset>
                      </wp:positionH>
                      <wp:positionV relativeFrom="paragraph">
                        <wp:posOffset>26234</wp:posOffset>
                      </wp:positionV>
                      <wp:extent cx="188195" cy="141205"/>
                      <wp:effectExtent b="0" l="0" r="0" t="0"/>
                      <wp:wrapNone/>
                      <wp:docPr id="8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9" name="Shape 9"/>
                            <wps:spPr>
                              <a:xfrm>
                                <a:off x="5277060" y="373464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411679</wp:posOffset>
                      </wp:positionH>
                      <wp:positionV relativeFrom="paragraph">
                        <wp:posOffset>26234</wp:posOffset>
                      </wp:positionV>
                      <wp:extent cx="188195" cy="141205"/>
                      <wp:effectExtent b="0" l="0" r="0" t="0"/>
                      <wp:wrapNone/>
                      <wp:docPr id="8" name="image8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819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principal: Encargado / Administrador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2007432</wp:posOffset>
                      </wp:positionH>
                      <wp:positionV relativeFrom="paragraph">
                        <wp:posOffset>-376985</wp:posOffset>
                      </wp:positionV>
                      <wp:extent cx="185655" cy="139935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8" name="Shape 8"/>
                            <wps:spPr>
                              <a:xfrm>
                                <a:off x="5278373" y="3735233"/>
                                <a:ext cx="135255" cy="89535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2007432</wp:posOffset>
                      </wp:positionH>
                      <wp:positionV relativeFrom="paragraph">
                        <wp:posOffset>-376985</wp:posOffset>
                      </wp:positionV>
                      <wp:extent cx="185655" cy="139935"/>
                      <wp:effectExtent b="0" l="0" r="0" t="0"/>
                      <wp:wrapNone/>
                      <wp:docPr id="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3993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Actor secundario: -</w: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411045</wp:posOffset>
                      </wp:positionH>
                      <wp:positionV relativeFrom="paragraph">
                        <wp:posOffset>-363649</wp:posOffset>
                      </wp:positionV>
                      <wp:extent cx="185655" cy="141205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3" name="Shape 3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411045</wp:posOffset>
                      </wp:positionH>
                      <wp:positionV relativeFrom="paragraph">
                        <wp:posOffset>-363649</wp:posOffset>
                      </wp:positionV>
                      <wp:extent cx="185655" cy="141205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after="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Tipo de Use Case                  Concreto               Abstracto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3058995</wp:posOffset>
                      </wp:positionH>
                      <wp:positionV relativeFrom="paragraph">
                        <wp:posOffset>16708</wp:posOffset>
                      </wp:positionV>
                      <wp:extent cx="185020" cy="155175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5278680" y="372762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flat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3058995</wp:posOffset>
                      </wp:positionH>
                      <wp:positionV relativeFrom="paragraph">
                        <wp:posOffset>16708</wp:posOffset>
                      </wp:positionV>
                      <wp:extent cx="185020" cy="155175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020" cy="15517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2037279</wp:posOffset>
                      </wp:positionH>
                      <wp:positionV relativeFrom="paragraph">
                        <wp:posOffset>12263</wp:posOffset>
                      </wp:positionV>
                      <wp:extent cx="216770" cy="15835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5" name="Shape 5"/>
                            <wps:spPr>
                              <a:xfrm>
                                <a:off x="5262815" y="3726025"/>
                                <a:ext cx="166370" cy="107950"/>
                              </a:xfrm>
                              <a:prstGeom prst="rect">
                                <a:avLst/>
                              </a:prstGeom>
                              <a:gradFill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 scaled="0"/>
                              </a:gradFill>
                              <a:ln cap="flat" cmpd="sng" w="12600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2037279</wp:posOffset>
                      </wp:positionH>
                      <wp:positionV relativeFrom="paragraph">
                        <wp:posOffset>12263</wp:posOffset>
                      </wp:positionV>
                      <wp:extent cx="216770" cy="15835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16770" cy="1583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Del="00000000" w:rsidR="00000000" w:rsidRPr="00000000">
              <mc:AlternateContent>
                <mc:Choice Requires="wpg"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4880174</wp:posOffset>
                      </wp:positionH>
                      <wp:positionV relativeFrom="paragraph">
                        <wp:posOffset>-382066</wp:posOffset>
                      </wp:positionV>
                      <wp:extent cx="185655" cy="14120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4" name="Shape 4"/>
                            <wps:spPr>
                              <a:xfrm>
                                <a:off x="5278373" y="3734598"/>
                                <a:ext cx="135255" cy="90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cmpd="sng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6350" distT="6350" distL="6350" distR="6350" hidden="0" layoutInCell="1" locked="0" relativeHeight="0" simplePos="0">
                      <wp:simplePos x="0" y="0"/>
                      <wp:positionH relativeFrom="column">
                        <wp:posOffset>4880174</wp:posOffset>
                      </wp:positionH>
                      <wp:positionV relativeFrom="paragraph">
                        <wp:posOffset>-382066</wp:posOffset>
                      </wp:positionV>
                      <wp:extent cx="185655" cy="141205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85655" cy="1412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Objetivo: Liquidar los incentivos económicos de los vendedores y encargados de sucursal basándose en el rendimiento de ventas y la colocación de créditos personales en un periodo determinado.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Precondiciones: </w:t>
            </w:r>
          </w:p>
          <w:p w:rsidR="00000000" w:rsidDel="00000000" w:rsidP="00000000" w:rsidRDefault="00000000" w:rsidRPr="00000000" w14:paraId="00000022">
            <w:pPr>
              <w:widowControl w:val="0"/>
              <w:numPr>
                <w:ilvl w:val="0"/>
                <w:numId w:val="1"/>
              </w:numPr>
              <w:spacing w:after="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- El usuario debe poseer permisos de nivel Gerencial o Administrativo.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1"/>
              </w:numPr>
              <w:spacing w:after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El periodo a liquidar debe estar cerrado (generalmente fin de mes o año).</w:t>
            </w:r>
          </w:p>
          <w:p w:rsidR="00000000" w:rsidDel="00000000" w:rsidP="00000000" w:rsidRDefault="00000000" w:rsidRPr="00000000" w14:paraId="00000024">
            <w:pPr>
              <w:widowControl w:val="0"/>
              <w:numPr>
                <w:ilvl w:val="0"/>
                <w:numId w:val="1"/>
              </w:numPr>
              <w:spacing w:after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Deben existir registros de ventas y créditos aprobados vinculados a legajos de empleados.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Post- condiciones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Éxito: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B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Se genera un informe de liquidación de bonos detallado por empleado.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Fracaso</w:t>
            </w:r>
            <w:r w:rsidDel="00000000" w:rsidR="00000000" w:rsidRPr="00000000">
              <w:rPr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31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 No se realiza el cálculo por inconsistencia en los datos de ventas o falta de asociación de vendedores a las facturas.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5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Normal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8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Curso Alternativo</w:t>
            </w:r>
          </w:p>
        </w:tc>
      </w:tr>
      <w:tr>
        <w:trPr>
          <w:cantSplit w:val="0"/>
          <w:trHeight w:val="8194.510714285714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1. El UC comienza cuando el usuario selecciona "Liquidación de Comisiones y Bonos".</w:t>
              <w:tab/>
            </w:r>
          </w:p>
          <w:p w:rsidR="00000000" w:rsidDel="00000000" w:rsidP="00000000" w:rsidRDefault="00000000" w:rsidRPr="00000000" w14:paraId="0000003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2. El sistema solicita seleccionar la Sucursal y el Periodo (Mes/Año).</w:t>
              <w:tab/>
            </w:r>
          </w:p>
          <w:p w:rsidR="00000000" w:rsidDel="00000000" w:rsidP="00000000" w:rsidRDefault="00000000" w:rsidRPr="00000000" w14:paraId="0000003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3. El sistema recupera el listado de empleados activos de la sucursal.</w:t>
              <w:tab/>
            </w:r>
          </w:p>
          <w:p w:rsidR="00000000" w:rsidDel="00000000" w:rsidP="00000000" w:rsidRDefault="00000000" w:rsidRPr="00000000" w14:paraId="0000003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 Por cada Vendedor, el sistema ejecuta la inclusión "Consultar Ventas por Vendedor".</w:t>
              <w:tab/>
            </w:r>
          </w:p>
          <w:p w:rsidR="00000000" w:rsidDel="00000000" w:rsidP="00000000" w:rsidRDefault="00000000" w:rsidRPr="00000000" w14:paraId="0000003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5. El sistema identifica los créditos personales aprobados (UC-011) asociados a cada vendedor en el periodo.</w:t>
              <w:tab/>
            </w:r>
          </w:p>
          <w:p w:rsidR="00000000" w:rsidDel="00000000" w:rsidP="00000000" w:rsidRDefault="00000000" w:rsidRPr="00000000" w14:paraId="0000004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6. El sistema aplica la fórmula: </w:t>
              <w:br w:type="textWrapping"/>
              <w:t xml:space="preserve">(Total Ventas Vendedor * 0.10) + (Suma Montos Créditos Aprobados * 0.03).</w:t>
              <w:tab/>
            </w:r>
          </w:p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7. Para el Encargado, el sistema ejecuta la inclusión "Consultar Ventas Totales Sucursal".</w:t>
              <w:tab/>
            </w:r>
          </w:p>
          <w:p w:rsidR="00000000" w:rsidDel="00000000" w:rsidP="00000000" w:rsidRDefault="00000000" w:rsidRPr="00000000" w14:paraId="0000004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8. El sistema aplica la fórmula para el Encargado: (Total Ventas Sucursal * 0.15).</w:t>
              <w:tab/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9. El sistema presenta el resumen de bonos en pantalla para revisión.</w:t>
              <w:tab/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10. El usuario confirma la liquidación.</w:t>
              <w:tab/>
            </w:r>
          </w:p>
          <w:p w:rsidR="00000000" w:rsidDel="00000000" w:rsidP="00000000" w:rsidRDefault="00000000" w:rsidRPr="00000000" w14:paraId="0000004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11. El sistema genera el reporte de liquidación y actualiza el historial de bonos.</w:t>
              <w:tab/>
            </w:r>
          </w:p>
          <w:p w:rsidR="00000000" w:rsidDel="00000000" w:rsidP="00000000" w:rsidRDefault="00000000" w:rsidRPr="00000000" w14:paraId="0000004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12. Fin del UC.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4.1 No se encuentran ventas para el vendedor.</w:t>
            </w:r>
          </w:p>
          <w:p w:rsidR="00000000" w:rsidDel="00000000" w:rsidP="00000000" w:rsidRDefault="00000000" w:rsidRPr="00000000" w14:paraId="00000055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4.2 El sistema asigna bono $0 y continúa con el siguiente.</w:t>
            </w:r>
          </w:p>
          <w:p w:rsidR="00000000" w:rsidDel="00000000" w:rsidP="00000000" w:rsidRDefault="00000000" w:rsidRPr="00000000" w14:paraId="00000057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9.1 El administrador detecta un error de carga manual.</w:t>
            </w:r>
          </w:p>
          <w:p w:rsidR="00000000" w:rsidDel="00000000" w:rsidP="00000000" w:rsidRDefault="00000000" w:rsidRPr="00000000" w14:paraId="00000062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9.2 Se permite ajustar manualmente con un motivo de auditoría.</w:t>
            </w:r>
          </w:p>
          <w:p w:rsidR="00000000" w:rsidDel="00000000" w:rsidP="00000000" w:rsidRDefault="00000000" w:rsidRPr="00000000" w14:paraId="00000063">
            <w:pPr>
              <w:widowControl w:val="0"/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9.3 Se guarda el ajuste.</w:t>
            </w:r>
          </w:p>
        </w:tc>
      </w:tr>
      <w:tr>
        <w:trPr>
          <w:cantSplit w:val="0"/>
          <w:trHeight w:val="307.29415178571435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5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extensión: - Exportar a Sistema de Sueldos: Se activa si el usuario desea enviar la liquidación al módulo contable externo.</w:t>
            </w:r>
          </w:p>
        </w:tc>
      </w:tr>
      <w:tr>
        <w:trPr>
          <w:cantSplit w:val="0"/>
          <w:trHeight w:val="614.5883035714287" w:hRule="atLeast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A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Asociaciones de inclusión:</w:t>
            </w:r>
          </w:p>
          <w:p w:rsidR="00000000" w:rsidDel="00000000" w:rsidP="00000000" w:rsidRDefault="00000000" w:rsidRPr="00000000" w14:paraId="0000006B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 - Consultar Ventas por Vendedor: Obligatorio para obtener la base del 10%.</w:t>
            </w:r>
          </w:p>
          <w:p w:rsidR="00000000" w:rsidDel="00000000" w:rsidP="00000000" w:rsidRDefault="00000000" w:rsidRPr="00000000" w14:paraId="0000006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-Consultar Ventas Totales Sucursal: Obligatorio para el bono del encargado.</w:t>
            </w:r>
          </w:p>
          <w:p w:rsidR="00000000" w:rsidDel="00000000" w:rsidP="00000000" w:rsidRDefault="00000000" w:rsidRPr="00000000" w14:paraId="0000006D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-Validar Credenciales: Para asegurar que solo jerárquicos vean los sueldos de otros.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2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donde se incluye: No aplica.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7">
            <w:pPr>
              <w:widowControl w:val="0"/>
              <w:spacing w:after="0" w:lineRule="auto"/>
              <w:rPr/>
            </w:pPr>
            <w:bookmarkStart w:colFirst="0" w:colLast="0" w:name="_heading=h.52p5xo6og55o" w:id="0"/>
            <w:bookmarkEnd w:id="0"/>
            <w:r w:rsidDel="00000000" w:rsidR="00000000" w:rsidRPr="00000000">
              <w:rPr>
                <w:rtl w:val="0"/>
              </w:rPr>
              <w:t xml:space="preserve">Use case al que extiende: No aplica.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Use case de generalización: No aplica</w:t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993" w:top="709" w:left="1701" w:right="1701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Liberation San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s-AR"/>
      </w:rPr>
    </w:rPrDefault>
    <w:pPrDefault>
      <w:pPr>
        <w:spacing w:after="20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spacing w:after="120" w:before="240" w:lineRule="auto"/>
    </w:pPr>
    <w:rPr>
      <w:rFonts w:ascii="Liberation Sans" w:cs="Liberation Sans" w:eastAsia="Liberation Sans" w:hAnsi="Liberation Sans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/YtgaXw//CKbdBNvM6ThcU4G1Q==">CgMxLjAyDmguNTJwNXhvNm9nNTVvOAByITFKVWExNFAxenVKSFlGVXZLY3pnYjdmRFJETlVXVDZoYQ==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KSOProductBuildVer">
    <vt:lpwstr>2058-12.2.0.23196</vt:lpwstr>
  </property>
  <property fmtid="{D5CDD505-2E9C-101B-9397-08002B2CF9AE}" pid="4" name="ICV">
    <vt:lpwstr>EB06409198ED4C0CAC8142AAC4344AE0_12</vt:lpwstr>
  </property>
</Properties>
</file>