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440"/>
        <w:jc w:val="center"/>
      </w:pPr>
      <w:r>
        <w:drawing>
          <wp:inline xmlns:a="http://schemas.openxmlformats.org/drawingml/2006/main" xmlns:pic="http://schemas.openxmlformats.org/drawingml/2006/picture">
            <wp:extent cx="1078992" cy="1078992"/>
            <wp:docPr id="1" name="Picture 1" descr="Icône de l’application App’Ergo"/>
            <wp:cNvGraphicFramePr>
              <a:graphicFrameLocks noChangeAspect="1"/>
            </wp:cNvGraphicFramePr>
            <a:graphic>
              <a:graphicData uri="http://schemas.openxmlformats.org/drawingml/2006/picture">
                <pic:pic>
                  <pic:nvPicPr>
                    <pic:cNvPr id="0" name="Icon-App-1024x1024@1x.png"/>
                    <pic:cNvPicPr/>
                  </pic:nvPicPr>
                  <pic:blipFill>
                    <a:blip r:embed="rId11"/>
                    <a:stretch>
                      <a:fillRect/>
                    </a:stretch>
                  </pic:blipFill>
                  <pic:spPr>
                    <a:xfrm>
                      <a:off x="0" y="0"/>
                      <a:ext cx="1078992" cy="1078992"/>
                    </a:xfrm>
                    <a:prstGeom prst="rect"/>
                  </pic:spPr>
                </pic:pic>
              </a:graphicData>
            </a:graphic>
          </wp:inline>
        </w:drawing>
      </w:r>
    </w:p>
    <w:p>
      <w:pPr>
        <w:spacing w:after="200"/>
        <w:jc w:val="center"/>
      </w:pPr>
      <w:r>
        <w:rPr>
          <w:rFonts w:ascii="Calibri" w:hAnsi="Calibri"/>
          <w:b/>
          <w:color w:val="8F6AA8"/>
          <w:sz w:val="21"/>
        </w:rPr>
        <w:t>GUIDE TERRAIN</w:t>
      </w:r>
    </w:p>
    <w:p>
      <w:pPr>
        <w:spacing w:after="160"/>
        <w:jc w:val="center"/>
      </w:pPr>
      <w:r>
        <w:rPr>
          <w:rFonts w:ascii="Calibri" w:hAnsi="Calibri"/>
          <w:b/>
          <w:color w:val="253043"/>
          <w:sz w:val="54"/>
        </w:rPr>
        <w:t>Mode d’emploi de l’application</w:t>
      </w:r>
    </w:p>
    <w:p>
      <w:pPr>
        <w:spacing w:after="480"/>
        <w:jc w:val="center"/>
      </w:pPr>
      <w:r>
        <w:rPr>
          <w:rFonts w:ascii="Calibri" w:hAnsi="Calibri"/>
          <w:color w:val="684B7A"/>
          <w:sz w:val="30"/>
        </w:rPr>
        <w:t>Pour les ergothérapeutes Aid’Habitat</w:t>
      </w:r>
    </w:p>
    <w:p>
      <w:pPr>
        <w:spacing w:before="680" w:after="0"/>
        <w:jc w:val="center"/>
      </w:pPr>
      <w:r>
        <w:rPr>
          <w:rFonts w:ascii="Calibri" w:hAnsi="Calibri"/>
          <w:color w:val="667085"/>
          <w:sz w:val="20"/>
        </w:rPr>
        <w:t>Version 1.0 · 30 juillet 2026</w:t>
      </w:r>
    </w:p>
    <w:p>
      <w:r>
        <w:br w:type="page"/>
      </w:r>
    </w:p>
    <w:p>
      <w:pPr>
        <w:pStyle w:val="Heading1"/>
        <w:keepNext/>
      </w:pPr>
      <w:r>
        <w:t>Sommaire</w:t>
      </w:r>
    </w:p>
    <w:tbl>
      <w:tblPr>
        <w:tblW w:type="dxa" w:w="9360"/>
        <w:jc w:val="left"/>
        <w:tblLayout w:type="fixed"/>
        <w:tblLook w:firstColumn="1" w:firstRow="1" w:lastColumn="0" w:lastRow="0" w:noHBand="0" w:noVBand="1" w:val="04A0"/>
        <w:tblInd w:w="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Pr>
      <w:tblGrid>
        <w:gridCol w:w="2800"/>
        <w:gridCol w:w="6560"/>
      </w:tblGrid>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1. Démarrer</w:t>
            </w:r>
          </w:p>
        </w:tc>
        <w:tc>
          <w:tcPr>
            <w:tcW w:type="dxa" w:w="6560"/>
            <w:vAlign w:val="center"/>
            <w:tcMar>
              <w:top w:w="100" w:type="dxa"/>
              <w:start w:w="160" w:type="dxa"/>
              <w:bottom w:w="100" w:type="dxa"/>
              <w:end w:w="160" w:type="dxa"/>
            </w:tcMar>
          </w:tcPr>
          <w:p>
            <w:r>
              <w:rPr>
                <w:rFonts w:ascii="Calibri" w:hAnsi="Calibri"/>
                <w:color w:val="253043"/>
                <w:sz w:val="20"/>
              </w:rPr>
              <w:t>Installer, mettre à jour et se connecter.</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2. Se repérer</w:t>
            </w:r>
          </w:p>
        </w:tc>
        <w:tc>
          <w:tcPr>
            <w:tcW w:type="dxa" w:w="6560"/>
            <w:vAlign w:val="center"/>
            <w:tcMar>
              <w:top w:w="100" w:type="dxa"/>
              <w:start w:w="160" w:type="dxa"/>
              <w:bottom w:w="100" w:type="dxa"/>
              <w:end w:w="160" w:type="dxa"/>
            </w:tcMar>
          </w:tcPr>
          <w:p>
            <w:r>
              <w:rPr>
                <w:rFonts w:ascii="Calibri" w:hAnsi="Calibri"/>
                <w:color w:val="253043"/>
                <w:sz w:val="20"/>
              </w:rPr>
              <w:t>Comprendre le menu et accéder à ses dossiers.</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3. Préparer un dossier</w:t>
            </w:r>
          </w:p>
        </w:tc>
        <w:tc>
          <w:tcPr>
            <w:tcW w:type="dxa" w:w="6560"/>
            <w:vAlign w:val="center"/>
            <w:tcMar>
              <w:top w:w="100" w:type="dxa"/>
              <w:start w:w="160" w:type="dxa"/>
              <w:bottom w:w="100" w:type="dxa"/>
              <w:end w:w="160" w:type="dxa"/>
            </w:tcMar>
          </w:tcPr>
          <w:p>
            <w:r>
              <w:rPr>
                <w:rFonts w:ascii="Calibri" w:hAnsi="Calibri"/>
                <w:color w:val="253043"/>
                <w:sz w:val="20"/>
              </w:rPr>
              <w:t>Consulter les informations et les notes avant la visite.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4. Réaliser le relevé</w:t>
            </w:r>
          </w:p>
        </w:tc>
        <w:tc>
          <w:tcPr>
            <w:tcW w:type="dxa" w:w="6560"/>
            <w:vAlign w:val="center"/>
            <w:tcMar>
              <w:top w:w="100" w:type="dxa"/>
              <w:start w:w="160" w:type="dxa"/>
              <w:bottom w:w="100" w:type="dxa"/>
              <w:end w:w="160" w:type="dxa"/>
            </w:tcMar>
          </w:tcPr>
          <w:p>
            <w:r>
              <w:rPr>
                <w:rFonts w:ascii="Calibri" w:hAnsi="Calibri"/>
                <w:color w:val="253043"/>
                <w:sz w:val="20"/>
              </w:rPr>
              <w:t>Compléter chaque partie de la visite à domicile.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5. Écrire et dessiner</w:t>
            </w:r>
          </w:p>
        </w:tc>
        <w:tc>
          <w:tcPr>
            <w:tcW w:type="dxa" w:w="6560"/>
            <w:vAlign w:val="center"/>
            <w:tcMar>
              <w:top w:w="100" w:type="dxa"/>
              <w:start w:w="160" w:type="dxa"/>
              <w:bottom w:w="100" w:type="dxa"/>
              <w:end w:w="160" w:type="dxa"/>
            </w:tcMar>
          </w:tcPr>
          <w:p>
            <w:r>
              <w:rPr>
                <w:rFonts w:ascii="Calibri" w:hAnsi="Calibri"/>
                <w:color w:val="253043"/>
                <w:sz w:val="20"/>
              </w:rPr>
              <w:t>Notes, dictée, Apple Pencil, pages et outils.</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6. Documents et photos</w:t>
            </w:r>
          </w:p>
        </w:tc>
        <w:tc>
          <w:tcPr>
            <w:tcW w:type="dxa" w:w="6560"/>
            <w:vAlign w:val="center"/>
            <w:tcMar>
              <w:top w:w="100" w:type="dxa"/>
              <w:start w:w="160" w:type="dxa"/>
              <w:bottom w:w="100" w:type="dxa"/>
              <w:end w:w="160" w:type="dxa"/>
            </w:tcMar>
          </w:tcPr>
          <w:p>
            <w:r>
              <w:rPr>
                <w:rFonts w:ascii="Calibri" w:hAnsi="Calibri"/>
                <w:color w:val="253043"/>
                <w:sz w:val="20"/>
              </w:rPr>
              <w:t>Ajouter, scanner, consulter et annoter.</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7. Ressources</w:t>
            </w:r>
          </w:p>
        </w:tc>
        <w:tc>
          <w:tcPr>
            <w:tcW w:type="dxa" w:w="6560"/>
            <w:vAlign w:val="center"/>
            <w:tcMar>
              <w:top w:w="100" w:type="dxa"/>
              <w:start w:w="160" w:type="dxa"/>
              <w:bottom w:w="100" w:type="dxa"/>
              <w:end w:w="160" w:type="dxa"/>
            </w:tcMar>
          </w:tcPr>
          <w:p>
            <w:r>
              <w:rPr>
                <w:rFonts w:ascii="Calibri" w:hAnsi="Calibri"/>
                <w:color w:val="253043"/>
                <w:sz w:val="20"/>
              </w:rPr>
              <w:t>Bibliothèque, caisses de retraite et portail Anah.</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8. Travailler hors ligne</w:t>
            </w:r>
          </w:p>
        </w:tc>
        <w:tc>
          <w:tcPr>
            <w:tcW w:type="dxa" w:w="6560"/>
            <w:vAlign w:val="center"/>
            <w:tcMar>
              <w:top w:w="100" w:type="dxa"/>
              <w:start w:w="160" w:type="dxa"/>
              <w:bottom w:w="100" w:type="dxa"/>
              <w:end w:w="160" w:type="dxa"/>
            </w:tcMar>
          </w:tcPr>
          <w:p>
            <w:r>
              <w:rPr>
                <w:rFonts w:ascii="Calibri" w:hAnsi="Calibri"/>
                <w:color w:val="253043"/>
                <w:sz w:val="20"/>
              </w:rPr>
              <w:t>Enregistrer localement puis synchroniser.</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9. Générer le rapport</w:t>
            </w:r>
          </w:p>
        </w:tc>
        <w:tc>
          <w:tcPr>
            <w:tcW w:type="dxa" w:w="6560"/>
            <w:vAlign w:val="center"/>
            <w:tcMar>
              <w:top w:w="100" w:type="dxa"/>
              <w:start w:w="160" w:type="dxa"/>
              <w:bottom w:w="100" w:type="dxa"/>
              <w:end w:w="160" w:type="dxa"/>
            </w:tcMar>
          </w:tcPr>
          <w:p>
            <w:r>
              <w:rPr>
                <w:rFonts w:ascii="Calibri" w:hAnsi="Calibri"/>
                <w:color w:val="253043"/>
                <w:sz w:val="20"/>
              </w:rPr>
              <w:t>Contrôler le résumé et produire le PDF.</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10. Dépanner</w:t>
            </w:r>
          </w:p>
        </w:tc>
        <w:tc>
          <w:tcPr>
            <w:tcW w:type="dxa" w:w="6560"/>
            <w:vAlign w:val="center"/>
            <w:tcMar>
              <w:top w:w="100" w:type="dxa"/>
              <w:start w:w="160" w:type="dxa"/>
              <w:bottom w:w="100" w:type="dxa"/>
              <w:end w:w="160" w:type="dxa"/>
            </w:tcMar>
          </w:tcPr>
          <w:p>
            <w:r>
              <w:rPr>
                <w:rFonts w:ascii="Calibri" w:hAnsi="Calibri"/>
                <w:color w:val="253043"/>
                <w:sz w:val="20"/>
              </w:rPr>
              <w:t>Réagir correctement aux messages et signaler un bug.</w:t>
            </w:r>
          </w:p>
        </w:tc>
      </w:tr>
    </w:tbl>
    <w:p>
      <w:pPr>
        <w:spacing w:after="40"/>
      </w:pPr>
    </w:p>
    <w:tbl>
      <w:tblPr>
        <w:tblW w:type="dxa" w:w="9360"/>
        <w:jc w:val="left"/>
        <w:tblLayout w:type="fixed"/>
        <w:tblLook w:firstColumn="1" w:firstRow="1" w:lastColumn="0" w:lastRow="0" w:noHBand="0" w:noVBand="1" w:val="04A0"/>
        <w:tblInd w:w="0" w:type="dxa"/>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Pr>
      <w:tblGrid>
        <w:gridCol w:w="9360"/>
      </w:tblGrid>
      <w:tr>
        <w:trPr>
          <w:cantSplit/>
        </w:trPr>
        <w:tc>
          <w:tcPr>
            <w:tcW w:type="dxa" w:w="9360"/>
            <w:vAlign w:val="center"/>
            <w:tcMar>
              <w:top w:w="130" w:type="dxa"/>
              <w:start w:w="180" w:type="dxa"/>
              <w:bottom w:w="130" w:type="dxa"/>
              <w:end w:w="180" w:type="dxa"/>
            </w:tcMar>
            <w:shd w:fill="EAF5EF"/>
          </w:tcPr>
          <w:p>
            <w:pPr>
              <w:spacing w:after="0" w:line="264" w:lineRule="auto"/>
            </w:pPr>
            <w:r>
              <w:rPr>
                <w:rFonts w:ascii="Calibri" w:hAnsi="Calibri"/>
                <w:b/>
                <w:color w:val="2F7D58"/>
                <w:sz w:val="21"/>
              </w:rPr>
              <w:t xml:space="preserve">Lecture rapide  </w:t>
            </w:r>
            <w:r>
              <w:rPr>
                <w:rFonts w:ascii="Calibri" w:hAnsi="Calibri"/>
                <w:color w:val="253043"/>
                <w:sz w:val="21"/>
              </w:rPr>
              <w:t>Pour une première prise en main, lire les chapitres 1, 4, 8 et 10. Le reste peut être consulté au besoin.</w:t>
            </w:r>
          </w:p>
        </w:tc>
      </w:tr>
    </w:tbl>
    <w:p>
      <w:pPr>
        <w:spacing w:after="40"/>
      </w:pPr>
    </w:p>
    <w:p>
      <w:pPr>
        <w:pStyle w:val="Heading2"/>
        <w:keepNext/>
      </w:pPr>
      <w:r>
        <w:t>Avant chaque visite</w:t>
      </w:r>
    </w:p>
    <w:p>
      <w:pPr>
        <w:numPr>
          <w:ilvl w:val="0"/>
          <w:numId w:val="11"/>
        </w:numPr>
        <w:spacing w:after="80" w:line="276" w:lineRule="auto"/>
      </w:pPr>
      <w:r>
        <w:rPr>
          <w:rFonts w:ascii="Calibri" w:hAnsi="Calibri"/>
          <w:color w:val="253043"/>
          <w:sz w:val="21"/>
        </w:rPr>
        <w:t>Ouvrir l’application avec une connexion Internet.</w:t>
      </w:r>
    </w:p>
    <w:p>
      <w:pPr>
        <w:numPr>
          <w:ilvl w:val="0"/>
          <w:numId w:val="11"/>
        </w:numPr>
        <w:spacing w:after="80" w:line="276" w:lineRule="auto"/>
      </w:pPr>
      <w:r>
        <w:rPr>
          <w:rFonts w:ascii="Calibri" w:hAnsi="Calibri"/>
          <w:color w:val="253043"/>
          <w:sz w:val="21"/>
        </w:rPr>
        <w:t>Vérifier que le dossier du bénéficiaire est visible.</w:t>
      </w:r>
    </w:p>
    <w:p>
      <w:pPr>
        <w:numPr>
          <w:ilvl w:val="0"/>
          <w:numId w:val="11"/>
        </w:numPr>
        <w:spacing w:after="80" w:line="276" w:lineRule="auto"/>
      </w:pPr>
      <w:r>
        <w:rPr>
          <w:rFonts w:ascii="Calibri" w:hAnsi="Calibri"/>
          <w:color w:val="253043"/>
          <w:sz w:val="21"/>
        </w:rPr>
        <w:t>Ouvrir une fois le dossier et le relevé pour les rendre disponibles hors ligne.</w:t>
      </w:r>
    </w:p>
    <w:p>
      <w:pPr>
        <w:numPr>
          <w:ilvl w:val="0"/>
          <w:numId w:val="11"/>
        </w:numPr>
        <w:spacing w:after="80" w:line="276" w:lineRule="auto"/>
      </w:pPr>
      <w:r>
        <w:rPr>
          <w:rFonts w:ascii="Calibri" w:hAnsi="Calibri"/>
          <w:color w:val="253043"/>
          <w:sz w:val="21"/>
        </w:rPr>
        <w:t>Contrôler la batterie de l’iPad et de l’Apple Pencil.</w:t>
      </w:r>
    </w:p>
    <w:p>
      <w:pPr>
        <w:numPr>
          <w:ilvl w:val="0"/>
          <w:numId w:val="11"/>
        </w:numPr>
        <w:spacing w:after="80" w:line="276" w:lineRule="auto"/>
      </w:pPr>
      <w:r>
        <w:rPr>
          <w:rFonts w:ascii="Calibri" w:hAnsi="Calibri"/>
          <w:color w:val="253043"/>
          <w:sz w:val="21"/>
        </w:rPr>
        <w:t>Attendre la fin d’une synchronisation en cours avant de partir.</w:t>
      </w:r>
    </w:p>
    <w:p>
      <w:r>
        <w:br w:type="page"/>
      </w:r>
    </w:p>
    <w:p>
      <w:pPr>
        <w:pStyle w:val="Heading1"/>
        <w:keepNext/>
      </w:pPr>
      <w:r>
        <w:t>1. Démarrer</w:t>
      </w:r>
    </w:p>
    <w:p>
      <w:pPr>
        <w:pStyle w:val="Heading2"/>
        <w:keepNext/>
      </w:pPr>
      <w:r>
        <w:t>Sur iPad avec TestFlight</w:t>
      </w:r>
    </w:p>
    <w:p>
      <w:pPr>
        <w:numPr>
          <w:ilvl w:val="0"/>
          <w:numId w:val="12"/>
        </w:numPr>
        <w:spacing w:after="100" w:line="276" w:lineRule="auto"/>
      </w:pPr>
      <w:r>
        <w:rPr>
          <w:rFonts w:ascii="Calibri" w:hAnsi="Calibri"/>
          <w:color w:val="253043"/>
          <w:sz w:val="21"/>
        </w:rPr>
        <w:t>Ouvrir TestFlight avec le compte Apple invité par Aid’Habitat.</w:t>
      </w:r>
    </w:p>
    <w:p>
      <w:pPr>
        <w:numPr>
          <w:ilvl w:val="0"/>
          <w:numId w:val="12"/>
        </w:numPr>
        <w:spacing w:after="100" w:line="276" w:lineRule="auto"/>
      </w:pPr>
      <w:r>
        <w:rPr>
          <w:rFonts w:ascii="Calibri" w:hAnsi="Calibri"/>
          <w:color w:val="253043"/>
          <w:sz w:val="21"/>
        </w:rPr>
        <w:t>Sélectionner App’Ergo puis toucher Installer.</w:t>
      </w:r>
    </w:p>
    <w:p>
      <w:pPr>
        <w:numPr>
          <w:ilvl w:val="0"/>
          <w:numId w:val="12"/>
        </w:numPr>
        <w:spacing w:after="100" w:line="276" w:lineRule="auto"/>
      </w:pPr>
      <w:r>
        <w:rPr>
          <w:rFonts w:ascii="Calibri" w:hAnsi="Calibri"/>
          <w:color w:val="253043"/>
          <w:sz w:val="21"/>
        </w:rPr>
        <w:t>Lorsqu’une mise à jour est proposée, toucher Mettre à jour avant une journée de visites.</w:t>
      </w:r>
    </w:p>
    <w:p>
      <w:pPr>
        <w:numPr>
          <w:ilvl w:val="0"/>
          <w:numId w:val="12"/>
        </w:numPr>
        <w:spacing w:after="100" w:line="276" w:lineRule="auto"/>
      </w:pPr>
      <w:r>
        <w:rPr>
          <w:rFonts w:ascii="Calibri" w:hAnsi="Calibri"/>
          <w:color w:val="253043"/>
          <w:sz w:val="21"/>
        </w:rPr>
        <w:t>Ouvrir App’Ergo depuis l’écran d’accueil de l’iPad.</w:t>
      </w:r>
    </w:p>
    <w:tbl>
      <w:tblPr>
        <w:tblW w:type="dxa" w:w="9360"/>
        <w:jc w:val="left"/>
        <w:tblLayout w:type="fixed"/>
        <w:tblLook w:firstColumn="1" w:firstRow="1" w:lastColumn="0" w:lastRow="0" w:noHBand="0" w:noVBand="1" w:val="04A0"/>
        <w:tblInd w:w="0" w:type="dxa"/>
        <w:tblBorders>
          <w:top w:val="single" w:sz="0" w:space="0" w:color="F2ECF5"/>
          <w:left w:val="single" w:sz="0" w:space="0" w:color="F2ECF5"/>
          <w:bottom w:val="single" w:sz="0" w:space="0" w:color="F2ECF5"/>
          <w:right w:val="single" w:sz="0" w:space="0" w:color="F2ECF5"/>
          <w:insideH w:val="single" w:sz="0" w:space="0" w:color="F2ECF5"/>
          <w:insideV w:val="single" w:sz="0" w:space="0" w:color="F2ECF5"/>
        </w:tblBorders>
      </w:tblPr>
      <w:tblGrid>
        <w:gridCol w:w="9360"/>
      </w:tblGrid>
      <w:tr>
        <w:trPr>
          <w:cantSplit/>
        </w:trPr>
        <w:tc>
          <w:tcPr>
            <w:tcW w:type="dxa" w:w="9360"/>
            <w:vAlign w:val="center"/>
            <w:tcMar>
              <w:top w:w="130" w:type="dxa"/>
              <w:start w:w="180" w:type="dxa"/>
              <w:bottom w:w="130" w:type="dxa"/>
              <w:end w:w="180" w:type="dxa"/>
            </w:tcMar>
            <w:shd w:fill="F2ECF5"/>
          </w:tcPr>
          <w:p>
            <w:pPr>
              <w:spacing w:after="0" w:line="264" w:lineRule="auto"/>
            </w:pPr>
            <w:r>
              <w:rPr>
                <w:rFonts w:ascii="Calibri" w:hAnsi="Calibri"/>
                <w:b/>
                <w:color w:val="684B7A"/>
                <w:sz w:val="21"/>
              </w:rPr>
              <w:t xml:space="preserve">À retenir  </w:t>
            </w:r>
            <w:r>
              <w:rPr>
                <w:rFonts w:ascii="Calibri" w:hAnsi="Calibri"/>
                <w:color w:val="253043"/>
                <w:sz w:val="21"/>
              </w:rPr>
              <w:t>Une version TestFlight est mise à jour comme une application classique. Installer les mises à jour proposées permet de recevoir les corrections récentes.</w:t>
            </w:r>
          </w:p>
        </w:tc>
      </w:tr>
    </w:tbl>
    <w:p>
      <w:pPr>
        <w:spacing w:after="40"/>
      </w:pPr>
    </w:p>
    <w:p>
      <w:pPr>
        <w:pStyle w:val="Heading2"/>
        <w:keepNext/>
      </w:pPr>
      <w:r>
        <w:t>Sur Mac ou dans un navigateur</w:t>
      </w:r>
    </w:p>
    <w:p>
      <w:pPr>
        <w:numPr>
          <w:ilvl w:val="0"/>
          <w:numId w:val="13"/>
        </w:numPr>
        <w:spacing w:after="100" w:line="276" w:lineRule="auto"/>
      </w:pPr>
      <w:r>
        <w:rPr>
          <w:rFonts w:ascii="Calibri" w:hAnsi="Calibri"/>
          <w:color w:val="253043"/>
          <w:sz w:val="21"/>
        </w:rPr>
        <w:t>Ouvrir https://app.aidhabitat.fr/ dans un navigateur récent.</w:t>
      </w:r>
    </w:p>
    <w:p>
      <w:pPr>
        <w:numPr>
          <w:ilvl w:val="0"/>
          <w:numId w:val="13"/>
        </w:numPr>
        <w:spacing w:after="100" w:line="276" w:lineRule="auto"/>
      </w:pPr>
      <w:r>
        <w:rPr>
          <w:rFonts w:ascii="Calibri" w:hAnsi="Calibri"/>
          <w:color w:val="253043"/>
          <w:sz w:val="21"/>
        </w:rPr>
        <w:t>Vérifier que l’adresse affichée commence bien par https://app.aidhabitat.fr/.</w:t>
      </w:r>
    </w:p>
    <w:p>
      <w:pPr>
        <w:numPr>
          <w:ilvl w:val="0"/>
          <w:numId w:val="13"/>
        </w:numPr>
        <w:spacing w:after="100" w:line="276" w:lineRule="auto"/>
      </w:pPr>
      <w:r>
        <w:rPr>
          <w:rFonts w:ascii="Calibri" w:hAnsi="Calibri"/>
          <w:color w:val="253043"/>
          <w:sz w:val="21"/>
        </w:rPr>
        <w:t>Se connecter avec son profil personnel.</w:t>
      </w:r>
    </w:p>
    <w:p>
      <w:pPr>
        <w:pStyle w:val="Heading2"/>
        <w:keepNext/>
      </w:pPr>
      <w:r>
        <w:t>Se connecter</w:t>
      </w:r>
    </w:p>
    <w:p>
      <w:pPr>
        <w:numPr>
          <w:ilvl w:val="0"/>
          <w:numId w:val="14"/>
        </w:numPr>
        <w:spacing w:after="100" w:line="276" w:lineRule="auto"/>
      </w:pPr>
      <w:r>
        <w:rPr>
          <w:rFonts w:ascii="Calibri" w:hAnsi="Calibri"/>
          <w:color w:val="253043"/>
          <w:sz w:val="21"/>
        </w:rPr>
        <w:t>Choisir son nom dans la liste des utilisateurs.</w:t>
      </w:r>
    </w:p>
    <w:p>
      <w:pPr>
        <w:numPr>
          <w:ilvl w:val="0"/>
          <w:numId w:val="14"/>
        </w:numPr>
        <w:spacing w:after="100" w:line="276" w:lineRule="auto"/>
      </w:pPr>
      <w:r>
        <w:rPr>
          <w:rFonts w:ascii="Calibri" w:hAnsi="Calibri"/>
          <w:color w:val="253043"/>
          <w:sz w:val="21"/>
        </w:rPr>
        <w:t>Saisir son mot de passe personnel.</w:t>
      </w:r>
    </w:p>
    <w:p>
      <w:pPr>
        <w:numPr>
          <w:ilvl w:val="0"/>
          <w:numId w:val="14"/>
        </w:numPr>
        <w:spacing w:after="100" w:line="276" w:lineRule="auto"/>
      </w:pPr>
      <w:r>
        <w:rPr>
          <w:rFonts w:ascii="Calibri" w:hAnsi="Calibri"/>
          <w:color w:val="253043"/>
          <w:sz w:val="21"/>
        </w:rPr>
        <w:t>Toucher Se connecter.</w:t>
      </w:r>
    </w:p>
    <w:tbl>
      <w:tblPr>
        <w:tblW w:type="dxa" w:w="9360"/>
        <w:jc w:val="left"/>
        <w:tblLayout w:type="fixed"/>
        <w:tblLook w:firstColumn="1" w:firstRow="1" w:lastColumn="0" w:lastRow="0" w:noHBand="0" w:noVBand="1" w:val="04A0"/>
        <w:tblInd w:w="0" w:type="dxa"/>
        <w:tblBorders>
          <w:top w:val="single" w:sz="0" w:space="0" w:color="FFF4E5"/>
          <w:left w:val="single" w:sz="0" w:space="0" w:color="FFF4E5"/>
          <w:bottom w:val="single" w:sz="0" w:space="0" w:color="FFF4E5"/>
          <w:right w:val="single" w:sz="0" w:space="0" w:color="FFF4E5"/>
          <w:insideH w:val="single" w:sz="0" w:space="0" w:color="FFF4E5"/>
          <w:insideV w:val="single" w:sz="0" w:space="0" w:color="FFF4E5"/>
        </w:tblBorders>
      </w:tblPr>
      <w:tblGrid>
        <w:gridCol w:w="9360"/>
      </w:tblGrid>
      <w:tr>
        <w:trPr>
          <w:cantSplit/>
        </w:trPr>
        <w:tc>
          <w:tcPr>
            <w:tcW w:type="dxa" w:w="9360"/>
            <w:vAlign w:val="center"/>
            <w:tcMar>
              <w:top w:w="130" w:type="dxa"/>
              <w:start w:w="180" w:type="dxa"/>
              <w:bottom w:w="130" w:type="dxa"/>
              <w:end w:w="180" w:type="dxa"/>
            </w:tcMar>
            <w:shd w:fill="FFF4E5"/>
          </w:tcPr>
          <w:p>
            <w:pPr>
              <w:spacing w:after="0" w:line="264" w:lineRule="auto"/>
            </w:pPr>
            <w:r>
              <w:rPr>
                <w:rFonts w:ascii="Calibri" w:hAnsi="Calibri"/>
                <w:b/>
                <w:color w:val="B35C00"/>
                <w:sz w:val="21"/>
              </w:rPr>
              <w:t xml:space="preserve">Confidentialité  </w:t>
            </w:r>
            <w:r>
              <w:rPr>
                <w:rFonts w:ascii="Calibri" w:hAnsi="Calibri"/>
                <w:color w:val="253043"/>
                <w:sz w:val="21"/>
              </w:rPr>
              <w:t>Ne jamais partager son mot de passe ni utiliser le profil d’un collègue. Chaque ergothérapeute voit uniquement les dossiers qui lui sont attribués ; le profil administrateur peut voir l’ensemble des dossiers.</w:t>
            </w:r>
          </w:p>
        </w:tc>
      </w:tr>
    </w:tbl>
    <w:p>
      <w:pPr>
        <w:spacing w:after="40"/>
      </w:pPr>
    </w:p>
    <w:p>
      <w:r>
        <w:br w:type="page"/>
      </w:r>
    </w:p>
    <w:p>
      <w:pPr>
        <w:pStyle w:val="Heading1"/>
        <w:keepNext/>
      </w:pPr>
      <w:r>
        <w:t>2. Se repérer dans l’application</w:t>
      </w:r>
    </w:p>
    <w:p>
      <w:pPr>
        <w:spacing w:before="0" w:after="120" w:line="276" w:lineRule="auto"/>
      </w:pPr>
      <w:r>
        <w:rPr>
          <w:rFonts w:ascii="Calibri" w:hAnsi="Calibri"/>
          <w:color w:val="253043"/>
          <w:sz w:val="21"/>
        </w:rPr>
        <w:t>Le menu latéral reste accessible pendant la navigation. Survoler une icône sur Mac ou la toucher sur iPad permet d’identifier sa fonction.</w:t>
      </w:r>
    </w:p>
    <w:tbl>
      <w:tblPr>
        <w:tblW w:type="dxa" w:w="9360"/>
        <w:jc w:val="left"/>
        <w:tblLayout w:type="fixed"/>
        <w:tblLook w:firstColumn="1" w:firstRow="1" w:lastColumn="0" w:lastRow="0" w:noHBand="0" w:noVBand="1" w:val="04A0"/>
        <w:tblInd w:w="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Pr>
      <w:tblGrid>
        <w:gridCol w:w="2800"/>
        <w:gridCol w:w="6560"/>
      </w:tblGrid>
      <w:tr>
        <w:trPr>
          <w:cantSplit/>
          <w:tblHeader w:val="true"/>
        </w:trPr>
        <w:tc>
          <w:tcPr>
            <w:tcW w:type="dxa" w:w="2800"/>
            <w:vAlign w:val="center"/>
            <w:tcMar>
              <w:top w:w="100" w:type="dxa"/>
              <w:start w:w="160" w:type="dxa"/>
              <w:bottom w:w="100" w:type="dxa"/>
              <w:end w:w="160" w:type="dxa"/>
            </w:tcMar>
            <w:shd w:fill="F2ECF5"/>
          </w:tcPr>
          <w:p>
            <w:r>
              <w:rPr>
                <w:rFonts w:ascii="Calibri" w:hAnsi="Calibri"/>
                <w:b/>
                <w:color w:val="684B7A"/>
                <w:sz w:val="20"/>
              </w:rPr>
              <w:t>Espace</w:t>
            </w:r>
          </w:p>
        </w:tc>
        <w:tc>
          <w:tcPr>
            <w:tcW w:type="dxa" w:w="6560"/>
            <w:vAlign w:val="center"/>
            <w:tcMar>
              <w:top w:w="100" w:type="dxa"/>
              <w:start w:w="160" w:type="dxa"/>
              <w:bottom w:w="100" w:type="dxa"/>
              <w:end w:w="160" w:type="dxa"/>
            </w:tcMar>
            <w:shd w:fill="F2ECF5"/>
          </w:tcPr>
          <w:p>
            <w:r>
              <w:rPr>
                <w:rFonts w:ascii="Calibri" w:hAnsi="Calibri"/>
                <w:b/>
                <w:color w:val="684B7A"/>
                <w:sz w:val="20"/>
              </w:rPr>
              <w:t>Utilité</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Accueil</w:t>
            </w:r>
          </w:p>
        </w:tc>
        <w:tc>
          <w:tcPr>
            <w:tcW w:type="dxa" w:w="6560"/>
            <w:vAlign w:val="center"/>
            <w:tcMar>
              <w:top w:w="100" w:type="dxa"/>
              <w:start w:w="160" w:type="dxa"/>
              <w:bottom w:w="100" w:type="dxa"/>
              <w:end w:w="160" w:type="dxa"/>
            </w:tcMar>
          </w:tcPr>
          <w:p>
            <w:r>
              <w:rPr>
                <w:rFonts w:ascii="Calibri" w:hAnsi="Calibri"/>
                <w:color w:val="253043"/>
                <w:sz w:val="20"/>
              </w:rPr>
              <w:t>Vue synthétique de l’activité et accès aux dossiers récents.</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Dossiers</w:t>
            </w:r>
          </w:p>
        </w:tc>
        <w:tc>
          <w:tcPr>
            <w:tcW w:type="dxa" w:w="6560"/>
            <w:vAlign w:val="center"/>
            <w:tcMar>
              <w:top w:w="100" w:type="dxa"/>
              <w:start w:w="160" w:type="dxa"/>
              <w:bottom w:w="100" w:type="dxa"/>
              <w:end w:w="160" w:type="dxa"/>
            </w:tcMar>
          </w:tcPr>
          <w:p>
            <w:r>
              <w:rPr>
                <w:rFonts w:ascii="Calibri" w:hAnsi="Calibri"/>
                <w:color w:val="253043"/>
                <w:sz w:val="20"/>
              </w:rPr>
              <w:t>Liste des bénéficiaires attribués à l’utilisateur connecté.</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Bibliothèque</w:t>
            </w:r>
          </w:p>
        </w:tc>
        <w:tc>
          <w:tcPr>
            <w:tcW w:type="dxa" w:w="6560"/>
            <w:vAlign w:val="center"/>
            <w:tcMar>
              <w:top w:w="100" w:type="dxa"/>
              <w:start w:w="160" w:type="dxa"/>
              <w:bottom w:w="100" w:type="dxa"/>
              <w:end w:w="160" w:type="dxa"/>
            </w:tcMar>
          </w:tcPr>
          <w:p>
            <w:r>
              <w:rPr>
                <w:rFonts w:ascii="Calibri" w:hAnsi="Calibri"/>
                <w:color w:val="253043"/>
                <w:sz w:val="20"/>
              </w:rPr>
              <w:t>Équipements et exemples d’adaptation disponibles hors ligne.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Caisses de retraite</w:t>
            </w:r>
          </w:p>
        </w:tc>
        <w:tc>
          <w:tcPr>
            <w:tcW w:type="dxa" w:w="6560"/>
            <w:vAlign w:val="center"/>
            <w:tcMar>
              <w:top w:w="100" w:type="dxa"/>
              <w:start w:w="160" w:type="dxa"/>
              <w:bottom w:w="100" w:type="dxa"/>
              <w:end w:w="160" w:type="dxa"/>
            </w:tcMar>
          </w:tcPr>
          <w:p>
            <w:r>
              <w:rPr>
                <w:rFonts w:ascii="Calibri" w:hAnsi="Calibri"/>
                <w:color w:val="253043"/>
                <w:sz w:val="20"/>
              </w:rPr>
              <w:t>Caisses principales et complémentaires, contacts et modalités.</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Anah</w:t>
            </w:r>
          </w:p>
        </w:tc>
        <w:tc>
          <w:tcPr>
            <w:tcW w:type="dxa" w:w="6560"/>
            <w:vAlign w:val="center"/>
            <w:tcMar>
              <w:top w:w="100" w:type="dxa"/>
              <w:start w:w="160" w:type="dxa"/>
              <w:bottom w:w="100" w:type="dxa"/>
              <w:end w:w="160" w:type="dxa"/>
            </w:tcMar>
          </w:tcPr>
          <w:p>
            <w:r>
              <w:rPr>
                <w:rFonts w:ascii="Calibri" w:hAnsi="Calibri"/>
                <w:color w:val="253043"/>
                <w:sz w:val="20"/>
              </w:rPr>
              <w:t>Accès au portail MaPrimeAdapt’ lorsque la connexion est disponible.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Réglages</w:t>
            </w:r>
          </w:p>
        </w:tc>
        <w:tc>
          <w:tcPr>
            <w:tcW w:type="dxa" w:w="6560"/>
            <w:vAlign w:val="center"/>
            <w:tcMar>
              <w:top w:w="100" w:type="dxa"/>
              <w:start w:w="160" w:type="dxa"/>
              <w:bottom w:w="100" w:type="dxa"/>
              <w:end w:w="160" w:type="dxa"/>
            </w:tcMar>
          </w:tcPr>
          <w:p>
            <w:r>
              <w:rPr>
                <w:rFonts w:ascii="Calibri" w:hAnsi="Calibri"/>
                <w:color w:val="253043"/>
                <w:sz w:val="20"/>
              </w:rPr>
              <w:t>Profil, photo et gestion des accès pour l’administrateur.</w:t>
            </w:r>
          </w:p>
        </w:tc>
      </w:tr>
    </w:tbl>
    <w:p>
      <w:pPr>
        <w:spacing w:after="40"/>
      </w:pPr>
    </w:p>
    <w:tbl>
      <w:tblPr>
        <w:tblW w:type="dxa" w:w="9360"/>
        <w:jc w:val="left"/>
        <w:tblLayout w:type="fixed"/>
        <w:tblLook w:firstColumn="1" w:firstRow="1" w:lastColumn="0" w:lastRow="0" w:noHBand="0" w:noVBand="1" w:val="04A0"/>
        <w:tblInd w:w="0" w:type="dxa"/>
        <w:tblBorders>
          <w:top w:val="single" w:sz="0" w:space="0" w:color="F2ECF5"/>
          <w:left w:val="single" w:sz="0" w:space="0" w:color="F2ECF5"/>
          <w:bottom w:val="single" w:sz="0" w:space="0" w:color="F2ECF5"/>
          <w:right w:val="single" w:sz="0" w:space="0" w:color="F2ECF5"/>
          <w:insideH w:val="single" w:sz="0" w:space="0" w:color="F2ECF5"/>
          <w:insideV w:val="single" w:sz="0" w:space="0" w:color="F2ECF5"/>
        </w:tblBorders>
      </w:tblPr>
      <w:tblGrid>
        <w:gridCol w:w="9360"/>
      </w:tblGrid>
      <w:tr>
        <w:trPr>
          <w:cantSplit/>
        </w:trPr>
        <w:tc>
          <w:tcPr>
            <w:tcW w:type="dxa" w:w="9360"/>
            <w:vAlign w:val="center"/>
            <w:tcMar>
              <w:top w:w="130" w:type="dxa"/>
              <w:start w:w="180" w:type="dxa"/>
              <w:bottom w:w="130" w:type="dxa"/>
              <w:end w:w="180" w:type="dxa"/>
            </w:tcMar>
            <w:shd w:fill="F2ECF5"/>
          </w:tcPr>
          <w:p>
            <w:pPr>
              <w:spacing w:after="0" w:line="264" w:lineRule="auto"/>
            </w:pPr>
            <w:r>
              <w:rPr>
                <w:rFonts w:ascii="Calibri" w:hAnsi="Calibri"/>
                <w:b/>
                <w:color w:val="684B7A"/>
                <w:sz w:val="21"/>
              </w:rPr>
              <w:t xml:space="preserve">Navigation mémorisée  </w:t>
            </w:r>
            <w:r>
              <w:rPr>
                <w:rFonts w:ascii="Calibri" w:hAnsi="Calibri"/>
                <w:color w:val="253043"/>
                <w:sz w:val="21"/>
              </w:rPr>
              <w:t>Si vous quittez Dossiers pour ouvrir une autre rubrique, un nouveau clic sur Dossiers vous ramène à l’endroit précédemment consulté. Si vous êtes déjà dans Dossiers, un second clic revient à la liste des bénéficiaires.</w:t>
            </w:r>
          </w:p>
        </w:tc>
      </w:tr>
    </w:tbl>
    <w:p>
      <w:pPr>
        <w:spacing w:after="40"/>
      </w:pPr>
    </w:p>
    <w:p>
      <w:pPr>
        <w:pStyle w:val="Heading2"/>
        <w:keepNext/>
      </w:pPr>
      <w:r>
        <w:t>Retrouver un dossier</w:t>
      </w:r>
    </w:p>
    <w:p>
      <w:pPr>
        <w:numPr>
          <w:ilvl w:val="0"/>
          <w:numId w:val="15"/>
        </w:numPr>
        <w:spacing w:after="100" w:line="276" w:lineRule="auto"/>
      </w:pPr>
      <w:r>
        <w:rPr>
          <w:rFonts w:ascii="Calibri" w:hAnsi="Calibri"/>
          <w:color w:val="253043"/>
          <w:sz w:val="21"/>
        </w:rPr>
        <w:t>Ouvrir Dossiers.</w:t>
      </w:r>
    </w:p>
    <w:p>
      <w:pPr>
        <w:numPr>
          <w:ilvl w:val="0"/>
          <w:numId w:val="15"/>
        </w:numPr>
        <w:spacing w:after="100" w:line="276" w:lineRule="auto"/>
      </w:pPr>
      <w:r>
        <w:rPr>
          <w:rFonts w:ascii="Calibri" w:hAnsi="Calibri"/>
          <w:color w:val="253043"/>
          <w:sz w:val="21"/>
        </w:rPr>
        <w:t>Attendre la fin du chargement avant de sélectionner un bénéficiaire.</w:t>
      </w:r>
    </w:p>
    <w:p>
      <w:pPr>
        <w:numPr>
          <w:ilvl w:val="0"/>
          <w:numId w:val="15"/>
        </w:numPr>
        <w:spacing w:after="100" w:line="276" w:lineRule="auto"/>
      </w:pPr>
      <w:r>
        <w:rPr>
          <w:rFonts w:ascii="Calibri" w:hAnsi="Calibri"/>
          <w:color w:val="253043"/>
          <w:sz w:val="21"/>
        </w:rPr>
        <w:t>Utiliser la recherche si la liste est longue.</w:t>
      </w:r>
    </w:p>
    <w:p>
      <w:pPr>
        <w:numPr>
          <w:ilvl w:val="0"/>
          <w:numId w:val="15"/>
        </w:numPr>
        <w:spacing w:after="100" w:line="276" w:lineRule="auto"/>
      </w:pPr>
      <w:r>
        <w:rPr>
          <w:rFonts w:ascii="Calibri" w:hAnsi="Calibri"/>
          <w:color w:val="253043"/>
          <w:sz w:val="21"/>
        </w:rPr>
        <w:t>Toucher la carte du bénéficiaire pour ouvrir son dossier.</w:t>
      </w:r>
    </w:p>
    <w:p>
      <w:r>
        <w:br w:type="page"/>
      </w:r>
    </w:p>
    <w:p>
      <w:pPr>
        <w:pStyle w:val="Heading1"/>
        <w:keepNext/>
      </w:pPr>
      <w:r>
        <w:t>3. Préparer le dossier d’un bénéficiaire</w:t>
      </w:r>
    </w:p>
    <w:p>
      <w:pPr>
        <w:spacing w:before="0" w:after="120" w:line="276" w:lineRule="auto"/>
      </w:pPr>
      <w:r>
        <w:rPr>
          <w:rFonts w:ascii="Calibri" w:hAnsi="Calibri"/>
          <w:color w:val="253043"/>
          <w:sz w:val="21"/>
        </w:rPr>
        <w:t>Le dossier rassemble les informations administratives, les notes préparatoires, les documents et l’accès au relevé de visite.</w:t>
      </w:r>
    </w:p>
    <w:p>
      <w:pPr>
        <w:pStyle w:val="Heading2"/>
        <w:keepNext/>
      </w:pPr>
      <w:r>
        <w:t>Informations bénéficiaire</w:t>
      </w:r>
    </w:p>
    <w:p>
      <w:pPr>
        <w:numPr>
          <w:ilvl w:val="0"/>
          <w:numId w:val="11"/>
        </w:numPr>
        <w:spacing w:after="80" w:line="276" w:lineRule="auto"/>
      </w:pPr>
      <w:r>
        <w:rPr>
          <w:rFonts w:ascii="Calibri" w:hAnsi="Calibri"/>
          <w:color w:val="253043"/>
          <w:sz w:val="21"/>
        </w:rPr>
        <w:t>Vérifier l’identité, les coordonnées, l’adresse et la commune.</w:t>
      </w:r>
    </w:p>
    <w:p>
      <w:pPr>
        <w:numPr>
          <w:ilvl w:val="0"/>
          <w:numId w:val="11"/>
        </w:numPr>
        <w:spacing w:after="80" w:line="276" w:lineRule="auto"/>
      </w:pPr>
      <w:r>
        <w:rPr>
          <w:rFonts w:ascii="Calibri" w:hAnsi="Calibri"/>
          <w:color w:val="253043"/>
          <w:sz w:val="21"/>
        </w:rPr>
        <w:t>Contrôler la composition du foyer, les revenus et le statut d’occupation.</w:t>
      </w:r>
    </w:p>
    <w:p>
      <w:pPr>
        <w:numPr>
          <w:ilvl w:val="0"/>
          <w:numId w:val="11"/>
        </w:numPr>
        <w:spacing w:after="80" w:line="276" w:lineRule="auto"/>
      </w:pPr>
      <w:r>
        <w:rPr>
          <w:rFonts w:ascii="Calibri" w:hAnsi="Calibri"/>
          <w:color w:val="253043"/>
          <w:sz w:val="21"/>
        </w:rPr>
        <w:t>Compléter les caisses de retraite principale et complémentaire si elles sont connues.</w:t>
      </w:r>
    </w:p>
    <w:p>
      <w:pPr>
        <w:numPr>
          <w:ilvl w:val="0"/>
          <w:numId w:val="11"/>
        </w:numPr>
        <w:spacing w:after="80" w:line="276" w:lineRule="auto"/>
      </w:pPr>
      <w:r>
        <w:rPr>
          <w:rFonts w:ascii="Calibri" w:hAnsi="Calibri"/>
          <w:color w:val="253043"/>
          <w:sz w:val="21"/>
        </w:rPr>
        <w:t>Ajouter une caisse supplémentaire uniquement lorsqu’un cumul doit être conservé.</w:t>
      </w:r>
    </w:p>
    <w:tbl>
      <w:tblPr>
        <w:tblW w:type="dxa" w:w="9360"/>
        <w:jc w:val="left"/>
        <w:tblLayout w:type="fixed"/>
        <w:tblLook w:firstColumn="1" w:firstRow="1" w:lastColumn="0" w:lastRow="0" w:noHBand="0" w:noVBand="1" w:val="04A0"/>
        <w:tblInd w:w="0" w:type="dxa"/>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Pr>
      <w:tblGrid>
        <w:gridCol w:w="9360"/>
      </w:tblGrid>
      <w:tr>
        <w:trPr>
          <w:cantSplit/>
        </w:trPr>
        <w:tc>
          <w:tcPr>
            <w:tcW w:type="dxa" w:w="9360"/>
            <w:vAlign w:val="center"/>
            <w:tcMar>
              <w:top w:w="130" w:type="dxa"/>
              <w:start w:w="180" w:type="dxa"/>
              <w:bottom w:w="130" w:type="dxa"/>
              <w:end w:w="180" w:type="dxa"/>
            </w:tcMar>
            <w:shd w:fill="EAF5EF"/>
          </w:tcPr>
          <w:p>
            <w:pPr>
              <w:spacing w:after="0" w:line="264" w:lineRule="auto"/>
            </w:pPr>
            <w:r>
              <w:rPr>
                <w:rFonts w:ascii="Calibri" w:hAnsi="Calibri"/>
                <w:b/>
                <w:color w:val="2F7D58"/>
                <w:sz w:val="21"/>
              </w:rPr>
              <w:t xml:space="preserve">Saisie rapide  </w:t>
            </w:r>
            <w:r>
              <w:rPr>
                <w:rFonts w:ascii="Calibri" w:hAnsi="Calibri"/>
                <w:color w:val="253043"/>
                <w:sz w:val="21"/>
              </w:rPr>
              <w:t>Les modifications sont enregistrées localement immédiatement. Pour certains champs, la sauvegarde se déclenche lorsque vous quittez le champ.</w:t>
            </w:r>
          </w:p>
        </w:tc>
      </w:tr>
    </w:tbl>
    <w:p>
      <w:pPr>
        <w:spacing w:after="40"/>
      </w:pPr>
    </w:p>
    <w:p>
      <w:pPr>
        <w:pStyle w:val="Heading2"/>
        <w:keepNext/>
      </w:pPr>
      <w:r>
        <w:t>Notes préparatoires</w:t>
      </w:r>
    </w:p>
    <w:p>
      <w:pPr>
        <w:spacing w:before="0" w:after="120" w:line="276" w:lineRule="auto"/>
      </w:pPr>
      <w:r>
        <w:rPr>
          <w:rFonts w:ascii="Calibri" w:hAnsi="Calibri"/>
          <w:color w:val="253043"/>
          <w:sz w:val="21"/>
        </w:rPr>
        <w:t>La zone de notes est partagée entre une note écrite et une note dessin. La séparation peut être déplacée pour donner davantage de place à l’une ou à l’autre.</w:t>
      </w:r>
    </w:p>
    <w:p>
      <w:pPr>
        <w:numPr>
          <w:ilvl w:val="0"/>
          <w:numId w:val="11"/>
        </w:numPr>
        <w:spacing w:after="80" w:line="276" w:lineRule="auto"/>
      </w:pPr>
      <w:r>
        <w:rPr>
          <w:rFonts w:ascii="Calibri" w:hAnsi="Calibri"/>
          <w:color w:val="253043"/>
          <w:sz w:val="21"/>
        </w:rPr>
        <w:t>Utiliser la note écrite pour les observations utiles avant la visite.</w:t>
      </w:r>
    </w:p>
    <w:p>
      <w:pPr>
        <w:numPr>
          <w:ilvl w:val="0"/>
          <w:numId w:val="11"/>
        </w:numPr>
        <w:spacing w:after="80" w:line="276" w:lineRule="auto"/>
      </w:pPr>
      <w:r>
        <w:rPr>
          <w:rFonts w:ascii="Calibri" w:hAnsi="Calibri"/>
          <w:color w:val="253043"/>
          <w:sz w:val="21"/>
        </w:rPr>
        <w:t>Utiliser la note dessin pour un croquis, un repérage ou une annotation visuelle.</w:t>
      </w:r>
    </w:p>
    <w:p>
      <w:pPr>
        <w:numPr>
          <w:ilvl w:val="0"/>
          <w:numId w:val="11"/>
        </w:numPr>
        <w:spacing w:after="80" w:line="276" w:lineRule="auto"/>
      </w:pPr>
      <w:r>
        <w:rPr>
          <w:rFonts w:ascii="Calibri" w:hAnsi="Calibri"/>
          <w:color w:val="253043"/>
          <w:sz w:val="21"/>
        </w:rPr>
        <w:t>Les notes restent liées au dossier lorsque vous changez de page.</w:t>
      </w:r>
    </w:p>
    <w:p>
      <w:pPr>
        <w:pStyle w:val="Heading2"/>
        <w:keepNext/>
      </w:pPr>
      <w:r>
        <w:t>Avant de partir</w:t>
      </w:r>
    </w:p>
    <w:p>
      <w:pPr>
        <w:numPr>
          <w:ilvl w:val="0"/>
          <w:numId w:val="16"/>
        </w:numPr>
        <w:spacing w:after="100" w:line="276" w:lineRule="auto"/>
      </w:pPr>
      <w:r>
        <w:rPr>
          <w:rFonts w:ascii="Calibri" w:hAnsi="Calibri"/>
          <w:color w:val="253043"/>
          <w:sz w:val="21"/>
        </w:rPr>
        <w:t>Ouvrir l’espace Documents et vérifier les pièces disponibles.</w:t>
      </w:r>
    </w:p>
    <w:p>
      <w:pPr>
        <w:numPr>
          <w:ilvl w:val="0"/>
          <w:numId w:val="16"/>
        </w:numPr>
        <w:spacing w:after="100" w:line="276" w:lineRule="auto"/>
      </w:pPr>
      <w:r>
        <w:rPr>
          <w:rFonts w:ascii="Calibri" w:hAnsi="Calibri"/>
          <w:color w:val="253043"/>
          <w:sz w:val="21"/>
        </w:rPr>
        <w:t>Ouvrir Visite à domicile : le relevé de visite s’affiche directement.</w:t>
      </w:r>
    </w:p>
    <w:p>
      <w:pPr>
        <w:numPr>
          <w:ilvl w:val="0"/>
          <w:numId w:val="16"/>
        </w:numPr>
        <w:spacing w:after="100" w:line="276" w:lineRule="auto"/>
      </w:pPr>
      <w:r>
        <w:rPr>
          <w:rFonts w:ascii="Calibri" w:hAnsi="Calibri"/>
          <w:color w:val="253043"/>
          <w:sz w:val="21"/>
        </w:rPr>
        <w:t>Parcourir rapidement les onglets pour confirmer qu’ils sont chargés.</w:t>
      </w:r>
    </w:p>
    <w:p>
      <w:pPr>
        <w:numPr>
          <w:ilvl w:val="0"/>
          <w:numId w:val="16"/>
        </w:numPr>
        <w:spacing w:after="100" w:line="276" w:lineRule="auto"/>
      </w:pPr>
      <w:r>
        <w:rPr>
          <w:rFonts w:ascii="Calibri" w:hAnsi="Calibri"/>
          <w:color w:val="253043"/>
          <w:sz w:val="21"/>
        </w:rPr>
        <w:t>Revenir au premier onglet et attendre la fin de la synchronisation.</w:t>
      </w:r>
    </w:p>
    <w:p>
      <w:r>
        <w:br w:type="page"/>
      </w:r>
    </w:p>
    <w:p>
      <w:pPr>
        <w:pStyle w:val="Heading1"/>
        <w:keepNext/>
      </w:pPr>
      <w:r>
        <w:t>4. Réaliser le relevé de visite</w:t>
      </w:r>
    </w:p>
    <w:p>
      <w:pPr>
        <w:spacing w:before="0" w:after="120" w:line="276" w:lineRule="auto"/>
      </w:pPr>
      <w:r>
        <w:rPr>
          <w:rFonts w:ascii="Calibri" w:hAnsi="Calibri"/>
          <w:color w:val="253043"/>
          <w:sz w:val="21"/>
        </w:rPr>
        <w:t>Le relevé est organisé par onglets. Il est possible de revenir sur un onglet à tout moment : les données sont conservées localement au fur et à mesure.</w:t>
      </w:r>
    </w:p>
    <w:tbl>
      <w:tblPr>
        <w:tblW w:type="dxa" w:w="9360"/>
        <w:jc w:val="left"/>
        <w:tblLayout w:type="fixed"/>
        <w:tblLook w:firstColumn="1" w:firstRow="1" w:lastColumn="0" w:lastRow="0" w:noHBand="0" w:noVBand="1" w:val="04A0"/>
        <w:tblInd w:w="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Pr>
      <w:tblGrid>
        <w:gridCol w:w="2300"/>
        <w:gridCol w:w="7060"/>
      </w:tblGrid>
      <w:tr>
        <w:trPr>
          <w:cantSplit/>
          <w:tblHeader w:val="true"/>
        </w:trPr>
        <w:tc>
          <w:tcPr>
            <w:tcW w:type="dxa" w:w="2300"/>
            <w:vAlign w:val="center"/>
            <w:tcMar>
              <w:top w:w="100" w:type="dxa"/>
              <w:start w:w="160" w:type="dxa"/>
              <w:bottom w:w="100" w:type="dxa"/>
              <w:end w:w="160" w:type="dxa"/>
            </w:tcMar>
            <w:shd w:fill="F2ECF5"/>
          </w:tcPr>
          <w:p>
            <w:r>
              <w:rPr>
                <w:rFonts w:ascii="Calibri" w:hAnsi="Calibri"/>
                <w:b/>
                <w:color w:val="684B7A"/>
                <w:sz w:val="20"/>
              </w:rPr>
              <w:t>Onglet</w:t>
            </w:r>
          </w:p>
        </w:tc>
        <w:tc>
          <w:tcPr>
            <w:tcW w:type="dxa" w:w="7060"/>
            <w:vAlign w:val="center"/>
            <w:tcMar>
              <w:top w:w="100" w:type="dxa"/>
              <w:start w:w="160" w:type="dxa"/>
              <w:bottom w:w="100" w:type="dxa"/>
              <w:end w:w="160" w:type="dxa"/>
            </w:tcMar>
            <w:shd w:fill="F2ECF5"/>
          </w:tcPr>
          <w:p>
            <w:r>
              <w:rPr>
                <w:rFonts w:ascii="Calibri" w:hAnsi="Calibri"/>
                <w:b/>
                <w:color w:val="684B7A"/>
                <w:sz w:val="20"/>
              </w:rPr>
              <w:t>Contenu</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Bénéficiaire</w:t>
            </w:r>
          </w:p>
        </w:tc>
        <w:tc>
          <w:tcPr>
            <w:tcW w:type="dxa" w:w="7060"/>
            <w:vAlign w:val="center"/>
            <w:tcMar>
              <w:top w:w="100" w:type="dxa"/>
              <w:start w:w="160" w:type="dxa"/>
              <w:bottom w:w="100" w:type="dxa"/>
              <w:end w:w="160" w:type="dxa"/>
            </w:tcMar>
          </w:tcPr>
          <w:p>
            <w:r>
              <w:rPr>
                <w:rFonts w:ascii="Calibri" w:hAnsi="Calibri"/>
                <w:color w:val="253043"/>
                <w:sz w:val="20"/>
              </w:rPr>
              <w:t>Profil, foyer, santé et informations administratives.</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Contexte de vie</w:t>
            </w:r>
          </w:p>
        </w:tc>
        <w:tc>
          <w:tcPr>
            <w:tcW w:type="dxa" w:w="7060"/>
            <w:vAlign w:val="center"/>
            <w:tcMar>
              <w:top w:w="100" w:type="dxa"/>
              <w:start w:w="160" w:type="dxa"/>
              <w:bottom w:w="100" w:type="dxa"/>
              <w:end w:w="160" w:type="dxa"/>
            </w:tcMar>
          </w:tcPr>
          <w:p>
            <w:r>
              <w:rPr>
                <w:rFonts w:ascii="Calibri" w:hAnsi="Calibri"/>
                <w:color w:val="253043"/>
                <w:sz w:val="20"/>
              </w:rPr>
              <w:t>Habitudes, environnement, autonomie et situation médicale.</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Mesures</w:t>
            </w:r>
          </w:p>
        </w:tc>
        <w:tc>
          <w:tcPr>
            <w:tcW w:type="dxa" w:w="7060"/>
            <w:vAlign w:val="center"/>
            <w:tcMar>
              <w:top w:w="100" w:type="dxa"/>
              <w:start w:w="160" w:type="dxa"/>
              <w:bottom w:w="100" w:type="dxa"/>
              <w:end w:w="160" w:type="dxa"/>
            </w:tcMar>
          </w:tcPr>
          <w:p>
            <w:r>
              <w:rPr>
                <w:rFonts w:ascii="Calibri" w:hAnsi="Calibri"/>
                <w:color w:val="253043"/>
                <w:sz w:val="20"/>
              </w:rPr>
              <w:t>Prise de notes dessin sur les silhouettes assise et debout.</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Accessibilité</w:t>
            </w:r>
          </w:p>
        </w:tc>
        <w:tc>
          <w:tcPr>
            <w:tcW w:type="dxa" w:w="7060"/>
            <w:vAlign w:val="center"/>
            <w:tcMar>
              <w:top w:w="100" w:type="dxa"/>
              <w:start w:w="160" w:type="dxa"/>
              <w:bottom w:w="100" w:type="dxa"/>
              <w:end w:w="160" w:type="dxa"/>
            </w:tcMar>
          </w:tcPr>
          <w:p>
            <w:r>
              <w:rPr>
                <w:rFonts w:ascii="Calibri" w:hAnsi="Calibri"/>
                <w:color w:val="253043"/>
                <w:sz w:val="20"/>
              </w:rPr>
              <w:t>Accès extérieur, niveaux, chauffage, ouvertures et équipements.</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Salle de bain</w:t>
            </w:r>
          </w:p>
        </w:tc>
        <w:tc>
          <w:tcPr>
            <w:tcW w:type="dxa" w:w="7060"/>
            <w:vAlign w:val="center"/>
            <w:tcMar>
              <w:top w:w="100" w:type="dxa"/>
              <w:start w:w="160" w:type="dxa"/>
              <w:bottom w:w="100" w:type="dxa"/>
              <w:end w:w="160" w:type="dxa"/>
            </w:tcMar>
          </w:tcPr>
          <w:p>
            <w:r>
              <w:rPr>
                <w:rFonts w:ascii="Calibri" w:hAnsi="Calibri"/>
                <w:color w:val="253043"/>
                <w:sz w:val="20"/>
              </w:rPr>
              <w:t>Équipements et contraintes par pièce et par niveau.</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WC</w:t>
            </w:r>
          </w:p>
        </w:tc>
        <w:tc>
          <w:tcPr>
            <w:tcW w:type="dxa" w:w="7060"/>
            <w:vAlign w:val="center"/>
            <w:tcMar>
              <w:top w:w="100" w:type="dxa"/>
              <w:start w:w="160" w:type="dxa"/>
              <w:bottom w:w="100" w:type="dxa"/>
              <w:end w:w="160" w:type="dxa"/>
            </w:tcMar>
          </w:tcPr>
          <w:p>
            <w:r>
              <w:rPr>
                <w:rFonts w:ascii="Calibri" w:hAnsi="Calibri"/>
                <w:color w:val="253043"/>
                <w:sz w:val="20"/>
              </w:rPr>
              <w:t>Équipements, hauteur, barres et circulation par pièce.</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Plans</w:t>
            </w:r>
          </w:p>
        </w:tc>
        <w:tc>
          <w:tcPr>
            <w:tcW w:type="dxa" w:w="7060"/>
            <w:vAlign w:val="center"/>
            <w:tcMar>
              <w:top w:w="100" w:type="dxa"/>
              <w:start w:w="160" w:type="dxa"/>
              <w:bottom w:w="100" w:type="dxa"/>
              <w:end w:w="160" w:type="dxa"/>
            </w:tcMar>
          </w:tcPr>
          <w:p>
            <w:r>
              <w:rPr>
                <w:rFonts w:ascii="Calibri" w:hAnsi="Calibri"/>
                <w:color w:val="253043"/>
                <w:sz w:val="20"/>
              </w:rPr>
              <w:t>Plans avant et après travaux, dessin et éléments déplaçables.</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Photos</w:t>
            </w:r>
          </w:p>
        </w:tc>
        <w:tc>
          <w:tcPr>
            <w:tcW w:type="dxa" w:w="7060"/>
            <w:vAlign w:val="center"/>
            <w:tcMar>
              <w:top w:w="100" w:type="dxa"/>
              <w:start w:w="160" w:type="dxa"/>
              <w:bottom w:w="100" w:type="dxa"/>
              <w:end w:w="160" w:type="dxa"/>
            </w:tcMar>
          </w:tcPr>
          <w:p>
            <w:r>
              <w:rPr>
                <w:rFonts w:ascii="Calibri" w:hAnsi="Calibri"/>
                <w:color w:val="253043"/>
                <w:sz w:val="20"/>
              </w:rPr>
              <w:t>Logement, accessibilité, sanitaires et plans.</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Résumé</w:t>
            </w:r>
          </w:p>
        </w:tc>
        <w:tc>
          <w:tcPr>
            <w:tcW w:type="dxa" w:w="7060"/>
            <w:vAlign w:val="center"/>
            <w:tcMar>
              <w:top w:w="100" w:type="dxa"/>
              <w:start w:w="160" w:type="dxa"/>
              <w:bottom w:w="100" w:type="dxa"/>
              <w:end w:w="160" w:type="dxa"/>
            </w:tcMar>
          </w:tcPr>
          <w:p>
            <w:r>
              <w:rPr>
                <w:rFonts w:ascii="Calibri" w:hAnsi="Calibri"/>
                <w:color w:val="253043"/>
                <w:sz w:val="20"/>
              </w:rPr>
              <w:t>Contrôle global des informations et visualisation des notes.</w:t>
            </w:r>
          </w:p>
        </w:tc>
      </w:tr>
      <w:tr>
        <w:trPr>
          <w:cantSplit/>
        </w:trPr>
        <w:tc>
          <w:tcPr>
            <w:tcW w:type="dxa" w:w="2300"/>
            <w:vAlign w:val="center"/>
            <w:tcMar>
              <w:top w:w="100" w:type="dxa"/>
              <w:start w:w="160" w:type="dxa"/>
              <w:bottom w:w="100" w:type="dxa"/>
              <w:end w:w="160" w:type="dxa"/>
            </w:tcMar>
            <w:shd w:fill="F8F5FA"/>
          </w:tcPr>
          <w:p>
            <w:r>
              <w:rPr>
                <w:rFonts w:ascii="Calibri" w:hAnsi="Calibri"/>
                <w:b/>
                <w:color w:val="684B7A"/>
                <w:sz w:val="20"/>
              </w:rPr>
              <w:t>Préconisations</w:t>
            </w:r>
          </w:p>
        </w:tc>
        <w:tc>
          <w:tcPr>
            <w:tcW w:type="dxa" w:w="7060"/>
            <w:vAlign w:val="center"/>
            <w:tcMar>
              <w:top w:w="100" w:type="dxa"/>
              <w:start w:w="160" w:type="dxa"/>
              <w:bottom w:w="100" w:type="dxa"/>
              <w:end w:w="160" w:type="dxa"/>
            </w:tcMar>
          </w:tcPr>
          <w:p>
            <w:r>
              <w:rPr>
                <w:rFonts w:ascii="Calibri" w:hAnsi="Calibri"/>
                <w:color w:val="253043"/>
                <w:sz w:val="20"/>
              </w:rPr>
              <w:t>Sélection des solutions depuis la bibliothèque et classement.</w:t>
            </w:r>
          </w:p>
        </w:tc>
      </w:tr>
    </w:tbl>
    <w:p>
      <w:pPr>
        <w:spacing w:after="40"/>
      </w:pPr>
    </w:p>
    <w:p>
      <w:pPr>
        <w:pStyle w:val="Heading2"/>
        <w:keepNext/>
      </w:pPr>
      <w:r>
        <w:t>Méthode recommandée</w:t>
      </w:r>
    </w:p>
    <w:p>
      <w:pPr>
        <w:numPr>
          <w:ilvl w:val="0"/>
          <w:numId w:val="17"/>
        </w:numPr>
        <w:spacing w:after="100" w:line="276" w:lineRule="auto"/>
      </w:pPr>
      <w:r>
        <w:rPr>
          <w:rFonts w:ascii="Calibri" w:hAnsi="Calibri"/>
          <w:color w:val="253043"/>
          <w:sz w:val="21"/>
        </w:rPr>
        <w:t>Avancer de gauche à droite dans les onglets.</w:t>
      </w:r>
    </w:p>
    <w:p>
      <w:pPr>
        <w:numPr>
          <w:ilvl w:val="0"/>
          <w:numId w:val="17"/>
        </w:numPr>
        <w:spacing w:after="100" w:line="276" w:lineRule="auto"/>
      </w:pPr>
      <w:r>
        <w:rPr>
          <w:rFonts w:ascii="Calibri" w:hAnsi="Calibri"/>
          <w:color w:val="253043"/>
          <w:sz w:val="21"/>
        </w:rPr>
        <w:t>Renseigner les informations certaines et laisser vide ce qui doit être vérifié.</w:t>
      </w:r>
    </w:p>
    <w:p>
      <w:pPr>
        <w:numPr>
          <w:ilvl w:val="0"/>
          <w:numId w:val="17"/>
        </w:numPr>
        <w:spacing w:after="100" w:line="276" w:lineRule="auto"/>
      </w:pPr>
      <w:r>
        <w:rPr>
          <w:rFonts w:ascii="Calibri" w:hAnsi="Calibri"/>
          <w:color w:val="253043"/>
          <w:sz w:val="21"/>
        </w:rPr>
        <w:t>Utiliser les observations pour préciser une situation sans déduire une information médicale.</w:t>
      </w:r>
    </w:p>
    <w:p>
      <w:pPr>
        <w:numPr>
          <w:ilvl w:val="0"/>
          <w:numId w:val="17"/>
        </w:numPr>
        <w:spacing w:after="100" w:line="276" w:lineRule="auto"/>
      </w:pPr>
      <w:r>
        <w:rPr>
          <w:rFonts w:ascii="Calibri" w:hAnsi="Calibri"/>
          <w:color w:val="253043"/>
          <w:sz w:val="21"/>
        </w:rPr>
        <w:t>Ajouter les photos pendant la visite ou ultérieurement au bureau depuis le Mac.</w:t>
      </w:r>
    </w:p>
    <w:p>
      <w:pPr>
        <w:numPr>
          <w:ilvl w:val="0"/>
          <w:numId w:val="17"/>
        </w:numPr>
        <w:spacing w:after="100" w:line="276" w:lineRule="auto"/>
      </w:pPr>
      <w:r>
        <w:rPr>
          <w:rFonts w:ascii="Calibri" w:hAnsi="Calibri"/>
          <w:color w:val="253043"/>
          <w:sz w:val="21"/>
        </w:rPr>
        <w:t>Relire le Résumé avant de terminer.</w:t>
      </w:r>
    </w:p>
    <w:tbl>
      <w:tblPr>
        <w:tblW w:type="dxa" w:w="9360"/>
        <w:jc w:val="left"/>
        <w:tblLayout w:type="fixed"/>
        <w:tblLook w:firstColumn="1" w:firstRow="1" w:lastColumn="0" w:lastRow="0" w:noHBand="0" w:noVBand="1" w:val="04A0"/>
        <w:tblInd w:w="0" w:type="dxa"/>
        <w:tblBorders>
          <w:top w:val="single" w:sz="0" w:space="0" w:color="F2ECF5"/>
          <w:left w:val="single" w:sz="0" w:space="0" w:color="F2ECF5"/>
          <w:bottom w:val="single" w:sz="0" w:space="0" w:color="F2ECF5"/>
          <w:right w:val="single" w:sz="0" w:space="0" w:color="F2ECF5"/>
          <w:insideH w:val="single" w:sz="0" w:space="0" w:color="F2ECF5"/>
          <w:insideV w:val="single" w:sz="0" w:space="0" w:color="F2ECF5"/>
        </w:tblBorders>
      </w:tblPr>
      <w:tblGrid>
        <w:gridCol w:w="9360"/>
      </w:tblGrid>
      <w:tr>
        <w:trPr>
          <w:cantSplit/>
        </w:trPr>
        <w:tc>
          <w:tcPr>
            <w:tcW w:type="dxa" w:w="9360"/>
            <w:vAlign w:val="center"/>
            <w:tcMar>
              <w:top w:w="130" w:type="dxa"/>
              <w:start w:w="180" w:type="dxa"/>
              <w:bottom w:w="130" w:type="dxa"/>
              <w:end w:w="180" w:type="dxa"/>
            </w:tcMar>
            <w:shd w:fill="F2ECF5"/>
          </w:tcPr>
          <w:p>
            <w:pPr>
              <w:spacing w:after="0" w:line="264" w:lineRule="auto"/>
            </w:pPr>
            <w:r>
              <w:rPr>
                <w:rFonts w:ascii="Calibri" w:hAnsi="Calibri"/>
                <w:b/>
                <w:color w:val="684B7A"/>
                <w:sz w:val="21"/>
              </w:rPr>
              <w:t xml:space="preserve">Plusieurs occupants  </w:t>
            </w:r>
            <w:r>
              <w:rPr>
                <w:rFonts w:ascii="Calibri" w:hAnsi="Calibri"/>
                <w:color w:val="253043"/>
                <w:sz w:val="21"/>
              </w:rPr>
              <w:t>Sélectionner l’occupant concerné avant de compléter une donnée individuelle. Vérifier le prénom affiché dans le bandeau de l’occupant.</w:t>
            </w:r>
          </w:p>
        </w:tc>
      </w:tr>
    </w:tbl>
    <w:p>
      <w:pPr>
        <w:spacing w:after="40"/>
      </w:pPr>
    </w:p>
    <w:p>
      <w:r>
        <w:br w:type="page"/>
      </w:r>
    </w:p>
    <w:p>
      <w:pPr>
        <w:pStyle w:val="Heading1"/>
        <w:keepNext/>
      </w:pPr>
      <w:r>
        <w:t>5. Écrire, dicter et dessiner</w:t>
      </w:r>
    </w:p>
    <w:p>
      <w:pPr>
        <w:pStyle w:val="Heading2"/>
        <w:keepNext/>
      </w:pPr>
      <w:r>
        <w:t>Note écrite</w:t>
      </w:r>
    </w:p>
    <w:p>
      <w:pPr>
        <w:numPr>
          <w:ilvl w:val="0"/>
          <w:numId w:val="11"/>
        </w:numPr>
        <w:spacing w:after="80" w:line="276" w:lineRule="auto"/>
      </w:pPr>
      <w:r>
        <w:rPr>
          <w:rFonts w:ascii="Calibri" w:hAnsi="Calibri"/>
          <w:color w:val="253043"/>
          <w:sz w:val="21"/>
        </w:rPr>
        <w:t>Toucher l’endroit où le texte doit être ajouté.</w:t>
      </w:r>
    </w:p>
    <w:p>
      <w:pPr>
        <w:numPr>
          <w:ilvl w:val="0"/>
          <w:numId w:val="11"/>
        </w:numPr>
        <w:spacing w:after="80" w:line="276" w:lineRule="auto"/>
      </w:pPr>
      <w:r>
        <w:rPr>
          <w:rFonts w:ascii="Calibri" w:hAnsi="Calibri"/>
          <w:color w:val="253043"/>
          <w:sz w:val="21"/>
        </w:rPr>
        <w:t>Utiliser le clavier, la dictée intégrée ou l’écriture manuscrite Apple Scribble.</w:t>
      </w:r>
    </w:p>
    <w:p>
      <w:pPr>
        <w:numPr>
          <w:ilvl w:val="0"/>
          <w:numId w:val="11"/>
        </w:numPr>
        <w:spacing w:after="80" w:line="276" w:lineRule="auto"/>
      </w:pPr>
      <w:r>
        <w:rPr>
          <w:rFonts w:ascii="Calibri" w:hAnsi="Calibri"/>
          <w:color w:val="253043"/>
          <w:sz w:val="21"/>
        </w:rPr>
        <w:t>La dictée utilise les fonctions Apple de l’appareil ; aucune IA externe n’est nécessaire.</w:t>
      </w:r>
    </w:p>
    <w:p>
      <w:pPr>
        <w:numPr>
          <w:ilvl w:val="0"/>
          <w:numId w:val="11"/>
        </w:numPr>
        <w:spacing w:after="80" w:line="276" w:lineRule="auto"/>
      </w:pPr>
      <w:r>
        <w:rPr>
          <w:rFonts w:ascii="Calibri" w:hAnsi="Calibri"/>
          <w:color w:val="253043"/>
          <w:sz w:val="21"/>
        </w:rPr>
        <w:t>Relire les noms propres, mesures et termes médicaux après une dictée.</w:t>
      </w:r>
    </w:p>
    <w:p>
      <w:pPr>
        <w:pStyle w:val="Heading2"/>
        <w:keepNext/>
      </w:pPr>
      <w:r>
        <w:t>Note dessin</w:t>
      </w:r>
    </w:p>
    <w:tbl>
      <w:tblPr>
        <w:tblW w:type="dxa" w:w="9360"/>
        <w:jc w:val="left"/>
        <w:tblLayout w:type="fixed"/>
        <w:tblLook w:firstColumn="1" w:firstRow="1" w:lastColumn="0" w:lastRow="0" w:noHBand="0" w:noVBand="1" w:val="04A0"/>
        <w:tblInd w:w="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Pr>
      <w:tblGrid>
        <w:gridCol w:w="2800"/>
        <w:gridCol w:w="6560"/>
      </w:tblGrid>
      <w:tr>
        <w:trPr>
          <w:cantSplit/>
          <w:tblHeader w:val="true"/>
        </w:trPr>
        <w:tc>
          <w:tcPr>
            <w:tcW w:type="dxa" w:w="2800"/>
            <w:vAlign w:val="center"/>
            <w:tcMar>
              <w:top w:w="100" w:type="dxa"/>
              <w:start w:w="160" w:type="dxa"/>
              <w:bottom w:w="100" w:type="dxa"/>
              <w:end w:w="160" w:type="dxa"/>
            </w:tcMar>
            <w:shd w:fill="F2ECF5"/>
          </w:tcPr>
          <w:p>
            <w:r>
              <w:rPr>
                <w:rFonts w:ascii="Calibri" w:hAnsi="Calibri"/>
                <w:b/>
                <w:color w:val="684B7A"/>
                <w:sz w:val="20"/>
              </w:rPr>
              <w:t>Outil</w:t>
            </w:r>
          </w:p>
        </w:tc>
        <w:tc>
          <w:tcPr>
            <w:tcW w:type="dxa" w:w="6560"/>
            <w:vAlign w:val="center"/>
            <w:tcMar>
              <w:top w:w="100" w:type="dxa"/>
              <w:start w:w="160" w:type="dxa"/>
              <w:bottom w:w="100" w:type="dxa"/>
              <w:end w:w="160" w:type="dxa"/>
            </w:tcMar>
            <w:shd w:fill="F2ECF5"/>
          </w:tcPr>
          <w:p>
            <w:r>
              <w:rPr>
                <w:rFonts w:ascii="Calibri" w:hAnsi="Calibri"/>
                <w:b/>
                <w:color w:val="684B7A"/>
                <w:sz w:val="20"/>
              </w:rPr>
              <w:t>Fonction</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Crayon</w:t>
            </w:r>
          </w:p>
        </w:tc>
        <w:tc>
          <w:tcPr>
            <w:tcW w:type="dxa" w:w="6560"/>
            <w:vAlign w:val="center"/>
            <w:tcMar>
              <w:top w:w="100" w:type="dxa"/>
              <w:start w:w="160" w:type="dxa"/>
              <w:bottom w:w="100" w:type="dxa"/>
              <w:end w:w="160" w:type="dxa"/>
            </w:tcMar>
          </w:tcPr>
          <w:p>
            <w:r>
              <w:rPr>
                <w:rFonts w:ascii="Calibri" w:hAnsi="Calibri"/>
                <w:color w:val="253043"/>
                <w:sz w:val="20"/>
              </w:rPr>
              <w:t>Écriture et dessin à main levée.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Surligneur</w:t>
            </w:r>
          </w:p>
        </w:tc>
        <w:tc>
          <w:tcPr>
            <w:tcW w:type="dxa" w:w="6560"/>
            <w:vAlign w:val="center"/>
            <w:tcMar>
              <w:top w:w="100" w:type="dxa"/>
              <w:start w:w="160" w:type="dxa"/>
              <w:bottom w:w="100" w:type="dxa"/>
              <w:end w:w="160" w:type="dxa"/>
            </w:tcMar>
          </w:tcPr>
          <w:p>
            <w:r>
              <w:rPr>
                <w:rFonts w:ascii="Calibri" w:hAnsi="Calibri"/>
                <w:color w:val="253043"/>
                <w:sz w:val="20"/>
              </w:rPr>
              <w:t>Mise en évidence avec une couleur translucide.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Gomme</w:t>
            </w:r>
          </w:p>
        </w:tc>
        <w:tc>
          <w:tcPr>
            <w:tcW w:type="dxa" w:w="6560"/>
            <w:vAlign w:val="center"/>
            <w:tcMar>
              <w:top w:w="100" w:type="dxa"/>
              <w:start w:w="160" w:type="dxa"/>
              <w:bottom w:w="100" w:type="dxa"/>
              <w:end w:w="160" w:type="dxa"/>
            </w:tcMar>
          </w:tcPr>
          <w:p>
            <w:r>
              <w:rPr>
                <w:rFonts w:ascii="Calibri" w:hAnsi="Calibri"/>
                <w:color w:val="253043"/>
                <w:sz w:val="20"/>
              </w:rPr>
              <w:t>Effacement local ; toucher la gomme pour régler son épaisseur.</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Couleur</w:t>
            </w:r>
          </w:p>
        </w:tc>
        <w:tc>
          <w:tcPr>
            <w:tcW w:type="dxa" w:w="6560"/>
            <w:vAlign w:val="center"/>
            <w:tcMar>
              <w:top w:w="100" w:type="dxa"/>
              <w:start w:w="160" w:type="dxa"/>
              <w:bottom w:w="100" w:type="dxa"/>
              <w:end w:w="160" w:type="dxa"/>
            </w:tcMar>
          </w:tcPr>
          <w:p>
            <w:r>
              <w:rPr>
                <w:rFonts w:ascii="Calibri" w:hAnsi="Calibri"/>
                <w:color w:val="253043"/>
                <w:sz w:val="20"/>
              </w:rPr>
              <w:t>Choix de la couleur actuellement utilisée.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Annuler / rétablir</w:t>
            </w:r>
          </w:p>
        </w:tc>
        <w:tc>
          <w:tcPr>
            <w:tcW w:type="dxa" w:w="6560"/>
            <w:vAlign w:val="center"/>
            <w:tcMar>
              <w:top w:w="100" w:type="dxa"/>
              <w:start w:w="160" w:type="dxa"/>
              <w:bottom w:w="100" w:type="dxa"/>
              <w:end w:w="160" w:type="dxa"/>
            </w:tcMar>
          </w:tcPr>
          <w:p>
            <w:r>
              <w:rPr>
                <w:rFonts w:ascii="Calibri" w:hAnsi="Calibri"/>
                <w:color w:val="253043"/>
                <w:sz w:val="20"/>
              </w:rPr>
              <w:t>Revenir sur les dernières actions.</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Tout effacer</w:t>
            </w:r>
          </w:p>
        </w:tc>
        <w:tc>
          <w:tcPr>
            <w:tcW w:type="dxa" w:w="6560"/>
            <w:vAlign w:val="center"/>
            <w:tcMar>
              <w:top w:w="100" w:type="dxa"/>
              <w:start w:w="160" w:type="dxa"/>
              <w:bottom w:w="100" w:type="dxa"/>
              <w:end w:w="160" w:type="dxa"/>
            </w:tcMar>
          </w:tcPr>
          <w:p>
            <w:r>
              <w:rPr>
                <w:rFonts w:ascii="Calibri" w:hAnsi="Calibri"/>
                <w:color w:val="253043"/>
                <w:sz w:val="20"/>
              </w:rPr>
              <w:t>Effacer la page après confirmation.</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 / corbeille</w:t>
            </w:r>
          </w:p>
        </w:tc>
        <w:tc>
          <w:tcPr>
            <w:tcW w:type="dxa" w:w="6560"/>
            <w:vAlign w:val="center"/>
            <w:tcMar>
              <w:top w:w="100" w:type="dxa"/>
              <w:start w:w="160" w:type="dxa"/>
              <w:bottom w:w="100" w:type="dxa"/>
              <w:end w:w="160" w:type="dxa"/>
            </w:tcMar>
          </w:tcPr>
          <w:p>
            <w:r>
              <w:rPr>
                <w:rFonts w:ascii="Calibri" w:hAnsi="Calibri"/>
                <w:color w:val="253043"/>
                <w:sz w:val="20"/>
              </w:rPr>
              <w:t>Ajouter ou supprimer une page après confirmation.</w:t>
            </w:r>
          </w:p>
        </w:tc>
      </w:tr>
    </w:tbl>
    <w:p>
      <w:pPr>
        <w:spacing w:after="40"/>
      </w:pPr>
    </w:p>
    <w:tbl>
      <w:tblPr>
        <w:tblW w:type="dxa" w:w="9360"/>
        <w:jc w:val="left"/>
        <w:tblLayout w:type="fixed"/>
        <w:tblLook w:firstColumn="1" w:firstRow="1" w:lastColumn="0" w:lastRow="0" w:noHBand="0" w:noVBand="1" w:val="04A0"/>
        <w:tblInd w:w="0" w:type="dxa"/>
        <w:tblBorders>
          <w:top w:val="single" w:sz="0" w:space="0" w:color="F2ECF5"/>
          <w:left w:val="single" w:sz="0" w:space="0" w:color="F2ECF5"/>
          <w:bottom w:val="single" w:sz="0" w:space="0" w:color="F2ECF5"/>
          <w:right w:val="single" w:sz="0" w:space="0" w:color="F2ECF5"/>
          <w:insideH w:val="single" w:sz="0" w:space="0" w:color="F2ECF5"/>
          <w:insideV w:val="single" w:sz="0" w:space="0" w:color="F2ECF5"/>
        </w:tblBorders>
      </w:tblPr>
      <w:tblGrid>
        <w:gridCol w:w="9360"/>
      </w:tblGrid>
      <w:tr>
        <w:trPr>
          <w:cantSplit/>
        </w:trPr>
        <w:tc>
          <w:tcPr>
            <w:tcW w:type="dxa" w:w="9360"/>
            <w:vAlign w:val="center"/>
            <w:tcMar>
              <w:top w:w="130" w:type="dxa"/>
              <w:start w:w="180" w:type="dxa"/>
              <w:bottom w:w="130" w:type="dxa"/>
              <w:end w:w="180" w:type="dxa"/>
            </w:tcMar>
            <w:shd w:fill="F2ECF5"/>
          </w:tcPr>
          <w:p>
            <w:pPr>
              <w:spacing w:after="0" w:line="264" w:lineRule="auto"/>
            </w:pPr>
            <w:r>
              <w:rPr>
                <w:rFonts w:ascii="Calibri" w:hAnsi="Calibri"/>
                <w:b/>
                <w:color w:val="684B7A"/>
                <w:sz w:val="21"/>
              </w:rPr>
              <w:t xml:space="preserve">Apple Pencil  </w:t>
            </w:r>
            <w:r>
              <w:rPr>
                <w:rFonts w:ascii="Calibri" w:hAnsi="Calibri"/>
                <w:color w:val="253043"/>
                <w:sz w:val="21"/>
              </w:rPr>
              <w:t>Le double toucher alterne avec l’outil précédemment utilisé. Si vous passez du crayon à la gomme, un nouveau double toucher revient au crayon.</w:t>
            </w:r>
          </w:p>
        </w:tc>
      </w:tr>
    </w:tbl>
    <w:p>
      <w:pPr>
        <w:spacing w:after="40"/>
      </w:pPr>
    </w:p>
    <w:tbl>
      <w:tblPr>
        <w:tblW w:type="dxa" w:w="9360"/>
        <w:jc w:val="left"/>
        <w:tblLayout w:type="fixed"/>
        <w:tblLook w:firstColumn="1" w:firstRow="1" w:lastColumn="0" w:lastRow="0" w:noHBand="0" w:noVBand="1" w:val="04A0"/>
        <w:tblInd w:w="0" w:type="dxa"/>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Pr>
      <w:tblGrid>
        <w:gridCol w:w="9360"/>
      </w:tblGrid>
      <w:tr>
        <w:trPr>
          <w:cantSplit/>
        </w:trPr>
        <w:tc>
          <w:tcPr>
            <w:tcW w:type="dxa" w:w="9360"/>
            <w:vAlign w:val="center"/>
            <w:tcMar>
              <w:top w:w="130" w:type="dxa"/>
              <w:start w:w="180" w:type="dxa"/>
              <w:bottom w:w="130" w:type="dxa"/>
              <w:end w:w="180" w:type="dxa"/>
            </w:tcMar>
            <w:shd w:fill="EAF5EF"/>
          </w:tcPr>
          <w:p>
            <w:pPr>
              <w:spacing w:after="0" w:line="264" w:lineRule="auto"/>
            </w:pPr>
            <w:r>
              <w:rPr>
                <w:rFonts w:ascii="Calibri" w:hAnsi="Calibri"/>
                <w:b/>
                <w:color w:val="2F7D58"/>
                <w:sz w:val="21"/>
              </w:rPr>
              <w:t xml:space="preserve">Pages de note  </w:t>
            </w:r>
            <w:r>
              <w:rPr>
                <w:rFonts w:ascii="Calibri" w:hAnsi="Calibri"/>
                <w:color w:val="253043"/>
                <w:sz w:val="21"/>
              </w:rPr>
              <w:t>Lorsque vous changez d’onglet puis revenez, l’application conserve la page consultée. Après suppression d’une page, les numéros sont remis dans l’ordre.</w:t>
            </w:r>
          </w:p>
        </w:tc>
      </w:tr>
    </w:tbl>
    <w:p>
      <w:pPr>
        <w:spacing w:after="40"/>
      </w:pPr>
    </w:p>
    <w:p>
      <w:r>
        <w:br w:type="page"/>
      </w:r>
    </w:p>
    <w:p>
      <w:pPr>
        <w:pStyle w:val="Heading1"/>
        <w:keepNext/>
      </w:pPr>
      <w:r>
        <w:t>6. Plans, photos et préconisations</w:t>
      </w:r>
    </w:p>
    <w:p>
      <w:pPr>
        <w:pStyle w:val="Heading2"/>
        <w:keepNext/>
      </w:pPr>
      <w:r>
        <w:t>Plans</w:t>
      </w:r>
    </w:p>
    <w:p>
      <w:pPr>
        <w:numPr>
          <w:ilvl w:val="0"/>
          <w:numId w:val="18"/>
        </w:numPr>
        <w:spacing w:after="100" w:line="276" w:lineRule="auto"/>
      </w:pPr>
      <w:r>
        <w:rPr>
          <w:rFonts w:ascii="Calibri" w:hAnsi="Calibri"/>
          <w:color w:val="253043"/>
          <w:sz w:val="21"/>
        </w:rPr>
        <w:t>Choisir la page de plan.</w:t>
      </w:r>
    </w:p>
    <w:p>
      <w:pPr>
        <w:numPr>
          <w:ilvl w:val="0"/>
          <w:numId w:val="18"/>
        </w:numPr>
        <w:spacing w:after="100" w:line="276" w:lineRule="auto"/>
      </w:pPr>
      <w:r>
        <w:rPr>
          <w:rFonts w:ascii="Calibri" w:hAnsi="Calibri"/>
          <w:color w:val="253043"/>
          <w:sz w:val="21"/>
        </w:rPr>
        <w:t>Indiquer s’il s’agit d’un plan avant ou après travaux.</w:t>
      </w:r>
    </w:p>
    <w:p>
      <w:pPr>
        <w:numPr>
          <w:ilvl w:val="0"/>
          <w:numId w:val="18"/>
        </w:numPr>
        <w:spacing w:after="100" w:line="276" w:lineRule="auto"/>
      </w:pPr>
      <w:r>
        <w:rPr>
          <w:rFonts w:ascii="Calibri" w:hAnsi="Calibri"/>
          <w:color w:val="253043"/>
          <w:sz w:val="21"/>
        </w:rPr>
        <w:t>Dessiner avec les outils de note et utiliser la ligne droite si nécessaire.</w:t>
      </w:r>
    </w:p>
    <w:p>
      <w:pPr>
        <w:numPr>
          <w:ilvl w:val="0"/>
          <w:numId w:val="18"/>
        </w:numPr>
        <w:spacing w:after="100" w:line="276" w:lineRule="auto"/>
      </w:pPr>
      <w:r>
        <w:rPr>
          <w:rFonts w:ascii="Calibri" w:hAnsi="Calibri"/>
          <w:color w:val="253043"/>
          <w:sz w:val="21"/>
        </w:rPr>
        <w:t>Ajouter les éléments proposés, puis les déplacer par glisser-déposer.</w:t>
      </w:r>
    </w:p>
    <w:p>
      <w:pPr>
        <w:numPr>
          <w:ilvl w:val="0"/>
          <w:numId w:val="18"/>
        </w:numPr>
        <w:spacing w:after="100" w:line="276" w:lineRule="auto"/>
      </w:pPr>
      <w:r>
        <w:rPr>
          <w:rFonts w:ascii="Calibri" w:hAnsi="Calibri"/>
          <w:color w:val="253043"/>
          <w:sz w:val="21"/>
        </w:rPr>
        <w:t>Attendre la sauvegarde avant de changer d’onglet.</w:t>
      </w:r>
    </w:p>
    <w:p>
      <w:pPr>
        <w:pStyle w:val="Heading2"/>
        <w:keepNext/>
      </w:pPr>
      <w:r>
        <w:t>Photos</w:t>
      </w:r>
    </w:p>
    <w:p>
      <w:pPr>
        <w:numPr>
          <w:ilvl w:val="0"/>
          <w:numId w:val="19"/>
        </w:numPr>
        <w:spacing w:after="100" w:line="276" w:lineRule="auto"/>
      </w:pPr>
      <w:r>
        <w:rPr>
          <w:rFonts w:ascii="Calibri" w:hAnsi="Calibri"/>
          <w:color w:val="253043"/>
          <w:sz w:val="21"/>
        </w:rPr>
        <w:t>Toucher le cadre en pointillés de la rubrique concernée.</w:t>
      </w:r>
    </w:p>
    <w:p>
      <w:pPr>
        <w:numPr>
          <w:ilvl w:val="0"/>
          <w:numId w:val="19"/>
        </w:numPr>
        <w:spacing w:after="100" w:line="276" w:lineRule="auto"/>
      </w:pPr>
      <w:r>
        <w:rPr>
          <w:rFonts w:ascii="Calibri" w:hAnsi="Calibri"/>
          <w:color w:val="253043"/>
          <w:sz w:val="21"/>
        </w:rPr>
        <w:t>Choisir une photo existante ou prendre une photo.</w:t>
      </w:r>
    </w:p>
    <w:p>
      <w:pPr>
        <w:numPr>
          <w:ilvl w:val="0"/>
          <w:numId w:val="19"/>
        </w:numPr>
        <w:spacing w:after="100" w:line="276" w:lineRule="auto"/>
      </w:pPr>
      <w:r>
        <w:rPr>
          <w:rFonts w:ascii="Calibri" w:hAnsi="Calibri"/>
          <w:color w:val="253043"/>
          <w:sz w:val="21"/>
        </w:rPr>
        <w:t>Vérifier l’image avant de poursuivre.</w:t>
      </w:r>
    </w:p>
    <w:p>
      <w:pPr>
        <w:numPr>
          <w:ilvl w:val="0"/>
          <w:numId w:val="19"/>
        </w:numPr>
        <w:spacing w:after="100" w:line="276" w:lineRule="auto"/>
      </w:pPr>
      <w:r>
        <w:rPr>
          <w:rFonts w:ascii="Calibri" w:hAnsi="Calibri"/>
          <w:color w:val="253043"/>
          <w:sz w:val="21"/>
        </w:rPr>
        <w:t>Ajouter d’autres photos dans le même cadre si nécessaire.</w:t>
      </w:r>
    </w:p>
    <w:p>
      <w:pPr>
        <w:pStyle w:val="Heading2"/>
        <w:keepNext/>
      </w:pPr>
      <w:r>
        <w:t>Préconisations</w:t>
      </w:r>
    </w:p>
    <w:p>
      <w:pPr>
        <w:numPr>
          <w:ilvl w:val="0"/>
          <w:numId w:val="20"/>
        </w:numPr>
        <w:spacing w:after="100" w:line="276" w:lineRule="auto"/>
      </w:pPr>
      <w:r>
        <w:rPr>
          <w:rFonts w:ascii="Calibri" w:hAnsi="Calibri"/>
          <w:color w:val="253043"/>
          <w:sz w:val="21"/>
        </w:rPr>
        <w:t>Toucher Ajouter une préconisation.</w:t>
      </w:r>
    </w:p>
    <w:p>
      <w:pPr>
        <w:numPr>
          <w:ilvl w:val="0"/>
          <w:numId w:val="20"/>
        </w:numPr>
        <w:spacing w:after="100" w:line="276" w:lineRule="auto"/>
      </w:pPr>
      <w:r>
        <w:rPr>
          <w:rFonts w:ascii="Calibri" w:hAnsi="Calibri"/>
          <w:color w:val="253043"/>
          <w:sz w:val="21"/>
        </w:rPr>
        <w:t>Choisir un élément de la bibliothèque.</w:t>
      </w:r>
    </w:p>
    <w:p>
      <w:pPr>
        <w:numPr>
          <w:ilvl w:val="0"/>
          <w:numId w:val="20"/>
        </w:numPr>
        <w:spacing w:after="100" w:line="276" w:lineRule="auto"/>
      </w:pPr>
      <w:r>
        <w:rPr>
          <w:rFonts w:ascii="Calibri" w:hAnsi="Calibri"/>
          <w:color w:val="253043"/>
          <w:sz w:val="21"/>
        </w:rPr>
        <w:t>Adapter le titre et la description au projet réel.</w:t>
      </w:r>
    </w:p>
    <w:p>
      <w:pPr>
        <w:numPr>
          <w:ilvl w:val="0"/>
          <w:numId w:val="20"/>
        </w:numPr>
        <w:spacing w:after="100" w:line="276" w:lineRule="auto"/>
      </w:pPr>
      <w:r>
        <w:rPr>
          <w:rFonts w:ascii="Calibri" w:hAnsi="Calibri"/>
          <w:color w:val="253043"/>
          <w:sz w:val="21"/>
        </w:rPr>
        <w:t>Répéter l’opération pour chaque solution retenue.</w:t>
      </w:r>
    </w:p>
    <w:p>
      <w:pPr>
        <w:numPr>
          <w:ilvl w:val="0"/>
          <w:numId w:val="20"/>
        </w:numPr>
        <w:spacing w:after="100" w:line="276" w:lineRule="auto"/>
      </w:pPr>
      <w:r>
        <w:rPr>
          <w:rFonts w:ascii="Calibri" w:hAnsi="Calibri"/>
          <w:color w:val="253043"/>
          <w:sz w:val="21"/>
        </w:rPr>
        <w:t>Maintenir une carte et la déplacer pour définir l’ordre du rapport.</w:t>
      </w:r>
    </w:p>
    <w:tbl>
      <w:tblPr>
        <w:tblW w:type="dxa" w:w="9360"/>
        <w:jc w:val="left"/>
        <w:tblLayout w:type="fixed"/>
        <w:tblLook w:firstColumn="1" w:firstRow="1" w:lastColumn="0" w:lastRow="0" w:noHBand="0" w:noVBand="1" w:val="04A0"/>
        <w:tblInd w:w="0" w:type="dxa"/>
        <w:tblBorders>
          <w:top w:val="single" w:sz="0" w:space="0" w:color="FFF4E5"/>
          <w:left w:val="single" w:sz="0" w:space="0" w:color="FFF4E5"/>
          <w:bottom w:val="single" w:sz="0" w:space="0" w:color="FFF4E5"/>
          <w:right w:val="single" w:sz="0" w:space="0" w:color="FFF4E5"/>
          <w:insideH w:val="single" w:sz="0" w:space="0" w:color="FFF4E5"/>
          <w:insideV w:val="single" w:sz="0" w:space="0" w:color="FFF4E5"/>
        </w:tblBorders>
      </w:tblPr>
      <w:tblGrid>
        <w:gridCol w:w="9360"/>
      </w:tblGrid>
      <w:tr>
        <w:trPr>
          <w:cantSplit/>
        </w:trPr>
        <w:tc>
          <w:tcPr>
            <w:tcW w:type="dxa" w:w="9360"/>
            <w:vAlign w:val="center"/>
            <w:tcMar>
              <w:top w:w="130" w:type="dxa"/>
              <w:start w:w="180" w:type="dxa"/>
              <w:bottom w:w="130" w:type="dxa"/>
              <w:end w:w="180" w:type="dxa"/>
            </w:tcMar>
            <w:shd w:fill="FFF4E5"/>
          </w:tcPr>
          <w:p>
            <w:pPr>
              <w:spacing w:after="0" w:line="264" w:lineRule="auto"/>
            </w:pPr>
            <w:r>
              <w:rPr>
                <w:rFonts w:ascii="Calibri" w:hAnsi="Calibri"/>
                <w:b/>
                <w:color w:val="B35C00"/>
                <w:sz w:val="21"/>
              </w:rPr>
              <w:t xml:space="preserve">Important  </w:t>
            </w:r>
            <w:r>
              <w:rPr>
                <w:rFonts w:ascii="Calibri" w:hAnsi="Calibri"/>
                <w:color w:val="253043"/>
                <w:sz w:val="21"/>
              </w:rPr>
              <w:t>Une préconisation n’apparaît qu’après la sélection d’un élément de la bibliothèque. Ne pas créer de carte vide.</w:t>
            </w:r>
          </w:p>
        </w:tc>
      </w:tr>
    </w:tbl>
    <w:p>
      <w:pPr>
        <w:spacing w:after="40"/>
      </w:pPr>
    </w:p>
    <w:p>
      <w:r>
        <w:br w:type="page"/>
      </w:r>
    </w:p>
    <w:p>
      <w:pPr>
        <w:pStyle w:val="Heading1"/>
        <w:keepNext/>
      </w:pPr>
      <w:r>
        <w:t>7. Gérer les documents</w:t>
      </w:r>
    </w:p>
    <w:p>
      <w:pPr>
        <w:pStyle w:val="Heading2"/>
        <w:keepNext/>
      </w:pPr>
      <w:r>
        <w:t>Ajouter un document</w:t>
      </w:r>
    </w:p>
    <w:p>
      <w:pPr>
        <w:numPr>
          <w:ilvl w:val="0"/>
          <w:numId w:val="21"/>
        </w:numPr>
        <w:spacing w:after="100" w:line="276" w:lineRule="auto"/>
      </w:pPr>
      <w:r>
        <w:rPr>
          <w:rFonts w:ascii="Calibri" w:hAnsi="Calibri"/>
          <w:color w:val="253043"/>
          <w:sz w:val="21"/>
        </w:rPr>
        <w:t>Ouvrir Documents dans le dossier du bénéficiaire.</w:t>
      </w:r>
    </w:p>
    <w:p>
      <w:pPr>
        <w:numPr>
          <w:ilvl w:val="0"/>
          <w:numId w:val="21"/>
        </w:numPr>
        <w:spacing w:after="100" w:line="276" w:lineRule="auto"/>
      </w:pPr>
      <w:r>
        <w:rPr>
          <w:rFonts w:ascii="Calibri" w:hAnsi="Calibri"/>
          <w:color w:val="253043"/>
          <w:sz w:val="21"/>
        </w:rPr>
        <w:t>Toucher Déposer un fichier ou prendre une photo.</w:t>
      </w:r>
    </w:p>
    <w:p>
      <w:pPr>
        <w:numPr>
          <w:ilvl w:val="0"/>
          <w:numId w:val="21"/>
        </w:numPr>
        <w:spacing w:after="100" w:line="276" w:lineRule="auto"/>
      </w:pPr>
      <w:r>
        <w:rPr>
          <w:rFonts w:ascii="Calibri" w:hAnsi="Calibri"/>
          <w:color w:val="253043"/>
          <w:sz w:val="21"/>
        </w:rPr>
        <w:t>Choisir Fichier, Photo ou Scanner un document selon le besoin.</w:t>
      </w:r>
    </w:p>
    <w:p>
      <w:pPr>
        <w:numPr>
          <w:ilvl w:val="0"/>
          <w:numId w:val="21"/>
        </w:numPr>
        <w:spacing w:after="100" w:line="276" w:lineRule="auto"/>
      </w:pPr>
      <w:r>
        <w:rPr>
          <w:rFonts w:ascii="Calibri" w:hAnsi="Calibri"/>
          <w:color w:val="253043"/>
          <w:sz w:val="21"/>
        </w:rPr>
        <w:t>Avec le scanner, cadrer le document, conserver la bonne prise puis terminer l’import.</w:t>
      </w:r>
    </w:p>
    <w:p>
      <w:pPr>
        <w:numPr>
          <w:ilvl w:val="0"/>
          <w:numId w:val="21"/>
        </w:numPr>
        <w:spacing w:after="100" w:line="276" w:lineRule="auto"/>
      </w:pPr>
      <w:r>
        <w:rPr>
          <w:rFonts w:ascii="Calibri" w:hAnsi="Calibri"/>
          <w:color w:val="253043"/>
          <w:sz w:val="21"/>
        </w:rPr>
        <w:t>Renommer le document de manière compréhensible.</w:t>
      </w:r>
    </w:p>
    <w:tbl>
      <w:tblPr>
        <w:tblW w:type="dxa" w:w="9360"/>
        <w:jc w:val="left"/>
        <w:tblLayout w:type="fixed"/>
        <w:tblLook w:firstColumn="1" w:firstRow="1" w:lastColumn="0" w:lastRow="0" w:noHBand="0" w:noVBand="1" w:val="04A0"/>
        <w:tblInd w:w="0" w:type="dxa"/>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Pr>
      <w:tblGrid>
        <w:gridCol w:w="9360"/>
      </w:tblGrid>
      <w:tr>
        <w:trPr>
          <w:cantSplit/>
        </w:trPr>
        <w:tc>
          <w:tcPr>
            <w:tcW w:type="dxa" w:w="9360"/>
            <w:vAlign w:val="center"/>
            <w:tcMar>
              <w:top w:w="130" w:type="dxa"/>
              <w:start w:w="180" w:type="dxa"/>
              <w:bottom w:w="130" w:type="dxa"/>
              <w:end w:w="180" w:type="dxa"/>
            </w:tcMar>
            <w:shd w:fill="EAF5EF"/>
          </w:tcPr>
          <w:p>
            <w:pPr>
              <w:spacing w:after="0" w:line="264" w:lineRule="auto"/>
            </w:pPr>
            <w:r>
              <w:rPr>
                <w:rFonts w:ascii="Calibri" w:hAnsi="Calibri"/>
                <w:b/>
                <w:color w:val="2F7D58"/>
                <w:sz w:val="21"/>
              </w:rPr>
              <w:t xml:space="preserve">Nommage conseillé  </w:t>
            </w:r>
            <w:r>
              <w:rPr>
                <w:rFonts w:ascii="Calibri" w:hAnsi="Calibri"/>
                <w:color w:val="253043"/>
                <w:sz w:val="21"/>
              </w:rPr>
              <w:t>Utiliser un nom court et explicite : « Avis d’imposition 2025 », « Plan logement », « Devis salle de bain ».</w:t>
            </w:r>
          </w:p>
        </w:tc>
      </w:tr>
    </w:tbl>
    <w:p>
      <w:pPr>
        <w:spacing w:after="40"/>
      </w:pPr>
    </w:p>
    <w:p>
      <w:pPr>
        <w:pStyle w:val="Heading2"/>
        <w:keepNext/>
      </w:pPr>
      <w:r>
        <w:t>Consulter ou annoter un PDF</w:t>
      </w:r>
    </w:p>
    <w:p>
      <w:pPr>
        <w:numPr>
          <w:ilvl w:val="0"/>
          <w:numId w:val="22"/>
        </w:numPr>
        <w:spacing w:after="100" w:line="276" w:lineRule="auto"/>
      </w:pPr>
      <w:r>
        <w:rPr>
          <w:rFonts w:ascii="Calibri" w:hAnsi="Calibri"/>
          <w:color w:val="253043"/>
          <w:sz w:val="21"/>
        </w:rPr>
        <w:t>Toucher la carte du document pour l’ouvrir.</w:t>
      </w:r>
    </w:p>
    <w:p>
      <w:pPr>
        <w:numPr>
          <w:ilvl w:val="0"/>
          <w:numId w:val="22"/>
        </w:numPr>
        <w:spacing w:after="100" w:line="276" w:lineRule="auto"/>
      </w:pPr>
      <w:r>
        <w:rPr>
          <w:rFonts w:ascii="Calibri" w:hAnsi="Calibri"/>
          <w:color w:val="253043"/>
          <w:sz w:val="21"/>
        </w:rPr>
        <w:t>Naviguer jusqu’à la page souhaitée.</w:t>
      </w:r>
    </w:p>
    <w:p>
      <w:pPr>
        <w:numPr>
          <w:ilvl w:val="0"/>
          <w:numId w:val="22"/>
        </w:numPr>
        <w:spacing w:after="100" w:line="276" w:lineRule="auto"/>
      </w:pPr>
      <w:r>
        <w:rPr>
          <w:rFonts w:ascii="Calibri" w:hAnsi="Calibri"/>
          <w:color w:val="253043"/>
          <w:sz w:val="21"/>
        </w:rPr>
        <w:t>Ajouter les annotations nécessaires.</w:t>
      </w:r>
    </w:p>
    <w:p>
      <w:pPr>
        <w:numPr>
          <w:ilvl w:val="0"/>
          <w:numId w:val="22"/>
        </w:numPr>
        <w:spacing w:after="100" w:line="276" w:lineRule="auto"/>
      </w:pPr>
      <w:r>
        <w:rPr>
          <w:rFonts w:ascii="Calibri" w:hAnsi="Calibri"/>
          <w:color w:val="253043"/>
          <w:sz w:val="21"/>
        </w:rPr>
        <w:t>Toucher Enregistrer pour conserver les modifications.</w:t>
      </w:r>
    </w:p>
    <w:p>
      <w:pPr>
        <w:numPr>
          <w:ilvl w:val="0"/>
          <w:numId w:val="22"/>
        </w:numPr>
        <w:spacing w:after="100" w:line="276" w:lineRule="auto"/>
      </w:pPr>
      <w:r>
        <w:rPr>
          <w:rFonts w:ascii="Calibri" w:hAnsi="Calibri"/>
          <w:color w:val="253043"/>
          <w:sz w:val="21"/>
        </w:rPr>
        <w:t>Pour fermer sans conserver, toucher Quitter sans enregistrer.</w:t>
      </w:r>
    </w:p>
    <w:tbl>
      <w:tblPr>
        <w:tblW w:type="dxa" w:w="9360"/>
        <w:jc w:val="left"/>
        <w:tblLayout w:type="fixed"/>
        <w:tblLook w:firstColumn="1" w:firstRow="1" w:lastColumn="0" w:lastRow="0" w:noHBand="0" w:noVBand="1" w:val="04A0"/>
        <w:tblInd w:w="0" w:type="dxa"/>
        <w:tblBorders>
          <w:top w:val="single" w:sz="0" w:space="0" w:color="FFF4E5"/>
          <w:left w:val="single" w:sz="0" w:space="0" w:color="FFF4E5"/>
          <w:bottom w:val="single" w:sz="0" w:space="0" w:color="FFF4E5"/>
          <w:right w:val="single" w:sz="0" w:space="0" w:color="FFF4E5"/>
          <w:insideH w:val="single" w:sz="0" w:space="0" w:color="FFF4E5"/>
          <w:insideV w:val="single" w:sz="0" w:space="0" w:color="FFF4E5"/>
        </w:tblBorders>
      </w:tblPr>
      <w:tblGrid>
        <w:gridCol w:w="9360"/>
      </w:tblGrid>
      <w:tr>
        <w:trPr>
          <w:cantSplit/>
        </w:trPr>
        <w:tc>
          <w:tcPr>
            <w:tcW w:type="dxa" w:w="9360"/>
            <w:vAlign w:val="center"/>
            <w:tcMar>
              <w:top w:w="130" w:type="dxa"/>
              <w:start w:w="180" w:type="dxa"/>
              <w:bottom w:w="130" w:type="dxa"/>
              <w:end w:w="180" w:type="dxa"/>
            </w:tcMar>
            <w:shd w:fill="FFF4E5"/>
          </w:tcPr>
          <w:p>
            <w:pPr>
              <w:spacing w:after="0" w:line="264" w:lineRule="auto"/>
            </w:pPr>
            <w:r>
              <w:rPr>
                <w:rFonts w:ascii="Calibri" w:hAnsi="Calibri"/>
                <w:b/>
                <w:color w:val="B35C00"/>
                <w:sz w:val="21"/>
              </w:rPr>
              <w:t xml:space="preserve">Fermeture  </w:t>
            </w:r>
            <w:r>
              <w:rPr>
                <w:rFonts w:ascii="Calibri" w:hAnsi="Calibri"/>
                <w:color w:val="253043"/>
                <w:sz w:val="21"/>
              </w:rPr>
              <w:t>Si une modification n’est pas enregistrée, une confirmation doit être affichée. Utiliser la croix pour continuer l’édition.</w:t>
            </w:r>
          </w:p>
        </w:tc>
      </w:tr>
    </w:tbl>
    <w:p>
      <w:pPr>
        <w:spacing w:after="40"/>
      </w:pPr>
    </w:p>
    <w:p>
      <w:r>
        <w:br w:type="page"/>
      </w:r>
    </w:p>
    <w:p>
      <w:pPr>
        <w:pStyle w:val="Heading1"/>
        <w:keepNext/>
      </w:pPr>
      <w:r>
        <w:t>8. Utiliser les ressources</w:t>
      </w:r>
    </w:p>
    <w:p>
      <w:pPr>
        <w:pStyle w:val="Heading2"/>
        <w:keepNext/>
      </w:pPr>
      <w:r>
        <w:t>Bibliothèque Wiki et inspirations</w:t>
      </w:r>
    </w:p>
    <w:p>
      <w:pPr>
        <w:numPr>
          <w:ilvl w:val="0"/>
          <w:numId w:val="11"/>
        </w:numPr>
        <w:spacing w:after="80" w:line="276" w:lineRule="auto"/>
      </w:pPr>
      <w:r>
        <w:rPr>
          <w:rFonts w:ascii="Calibri" w:hAnsi="Calibri"/>
          <w:color w:val="253043"/>
          <w:sz w:val="21"/>
        </w:rPr>
        <w:t>Les images sont enregistrées dans l’application et restent visibles hors ligne.</w:t>
      </w:r>
    </w:p>
    <w:p>
      <w:pPr>
        <w:numPr>
          <w:ilvl w:val="0"/>
          <w:numId w:val="11"/>
        </w:numPr>
        <w:spacing w:after="80" w:line="276" w:lineRule="auto"/>
      </w:pPr>
      <w:r>
        <w:rPr>
          <w:rFonts w:ascii="Calibri" w:hAnsi="Calibri"/>
          <w:color w:val="253043"/>
          <w:sz w:val="21"/>
        </w:rPr>
        <w:t>Choisir un filtre pour limiter les résultats.</w:t>
      </w:r>
    </w:p>
    <w:p>
      <w:pPr>
        <w:numPr>
          <w:ilvl w:val="0"/>
          <w:numId w:val="11"/>
        </w:numPr>
        <w:spacing w:after="80" w:line="276" w:lineRule="auto"/>
      </w:pPr>
      <w:r>
        <w:rPr>
          <w:rFonts w:ascii="Calibri" w:hAnsi="Calibri"/>
          <w:color w:val="253043"/>
          <w:sz w:val="21"/>
        </w:rPr>
        <w:t>Une recherche efface le filtre actif et porte sur toute la bibliothèque.</w:t>
      </w:r>
    </w:p>
    <w:p>
      <w:pPr>
        <w:numPr>
          <w:ilvl w:val="0"/>
          <w:numId w:val="11"/>
        </w:numPr>
        <w:spacing w:after="80" w:line="276" w:lineRule="auto"/>
      </w:pPr>
      <w:r>
        <w:rPr>
          <w:rFonts w:ascii="Calibri" w:hAnsi="Calibri"/>
          <w:color w:val="253043"/>
          <w:sz w:val="21"/>
        </w:rPr>
        <w:t>Toucher une carte pour ouvrir sa fiche détaillée.</w:t>
      </w:r>
    </w:p>
    <w:p>
      <w:pPr>
        <w:numPr>
          <w:ilvl w:val="0"/>
          <w:numId w:val="11"/>
        </w:numPr>
        <w:spacing w:after="80" w:line="276" w:lineRule="auto"/>
      </w:pPr>
      <w:r>
        <w:rPr>
          <w:rFonts w:ascii="Calibri" w:hAnsi="Calibri"/>
          <w:color w:val="253043"/>
          <w:sz w:val="21"/>
        </w:rPr>
        <w:t>Toucher en dehors de la fenêtre pour la fermer.</w:t>
      </w:r>
    </w:p>
    <w:p>
      <w:pPr>
        <w:pStyle w:val="Heading2"/>
        <w:keepNext/>
      </w:pPr>
      <w:r>
        <w:t>Caisses de retraite</w:t>
      </w:r>
    </w:p>
    <w:p>
      <w:pPr>
        <w:numPr>
          <w:ilvl w:val="0"/>
          <w:numId w:val="11"/>
        </w:numPr>
        <w:spacing w:after="80" w:line="276" w:lineRule="auto"/>
      </w:pPr>
      <w:r>
        <w:rPr>
          <w:rFonts w:ascii="Calibri" w:hAnsi="Calibri"/>
          <w:color w:val="253043"/>
          <w:sz w:val="21"/>
        </w:rPr>
        <w:t>Basculer entre caisses principales et complémentaires par balayage horizontal.</w:t>
      </w:r>
    </w:p>
    <w:p>
      <w:pPr>
        <w:numPr>
          <w:ilvl w:val="0"/>
          <w:numId w:val="11"/>
        </w:numPr>
        <w:spacing w:after="80" w:line="276" w:lineRule="auto"/>
      </w:pPr>
      <w:r>
        <w:rPr>
          <w:rFonts w:ascii="Calibri" w:hAnsi="Calibri"/>
          <w:color w:val="253043"/>
          <w:sz w:val="21"/>
        </w:rPr>
        <w:t>Toucher une caisse pour consulter les profils éligibles, la demande, le délai, le téléphone, le site et le montant.</w:t>
      </w:r>
    </w:p>
    <w:p>
      <w:pPr>
        <w:numPr>
          <w:ilvl w:val="0"/>
          <w:numId w:val="11"/>
        </w:numPr>
        <w:spacing w:after="80" w:line="276" w:lineRule="auto"/>
      </w:pPr>
      <w:r>
        <w:rPr>
          <w:rFonts w:ascii="Calibri" w:hAnsi="Calibri"/>
          <w:color w:val="253043"/>
          <w:sz w:val="21"/>
        </w:rPr>
        <w:t>Toucher un numéro de téléphone pour lancer l’appel.</w:t>
      </w:r>
    </w:p>
    <w:p>
      <w:pPr>
        <w:numPr>
          <w:ilvl w:val="0"/>
          <w:numId w:val="11"/>
        </w:numPr>
        <w:spacing w:after="80" w:line="276" w:lineRule="auto"/>
      </w:pPr>
      <w:r>
        <w:rPr>
          <w:rFonts w:ascii="Calibri" w:hAnsi="Calibri"/>
          <w:color w:val="253043"/>
          <w:sz w:val="21"/>
        </w:rPr>
        <w:t>Dans le dossier bénéficiaire, ajouter plusieurs caisses si nécessaire.</w:t>
      </w:r>
    </w:p>
    <w:p>
      <w:pPr>
        <w:pStyle w:val="Heading2"/>
        <w:keepNext/>
      </w:pPr>
      <w:r>
        <w:t>Portail Anah</w:t>
      </w:r>
    </w:p>
    <w:p>
      <w:pPr>
        <w:spacing w:before="0" w:after="120" w:line="276" w:lineRule="auto"/>
      </w:pPr>
      <w:r>
        <w:rPr>
          <w:rFonts w:ascii="Calibri" w:hAnsi="Calibri"/>
          <w:color w:val="253043"/>
          <w:sz w:val="21"/>
        </w:rPr>
        <w:t>Le portail MaPrimeAdapt’ est intégré à l’application native. Il nécessite une connexion Internet et peut être ouvert dans Safari si le site refuse l’affichage intégré.</w:t>
      </w:r>
    </w:p>
    <w:tbl>
      <w:tblPr>
        <w:tblW w:type="dxa" w:w="9360"/>
        <w:jc w:val="left"/>
        <w:tblLayout w:type="fixed"/>
        <w:tblLook w:firstColumn="1" w:firstRow="1" w:lastColumn="0" w:lastRow="0" w:noHBand="0" w:noVBand="1" w:val="04A0"/>
        <w:tblInd w:w="0" w:type="dxa"/>
        <w:tblBorders>
          <w:top w:val="single" w:sz="0" w:space="0" w:color="FFF4E5"/>
          <w:left w:val="single" w:sz="0" w:space="0" w:color="FFF4E5"/>
          <w:bottom w:val="single" w:sz="0" w:space="0" w:color="FFF4E5"/>
          <w:right w:val="single" w:sz="0" w:space="0" w:color="FFF4E5"/>
          <w:insideH w:val="single" w:sz="0" w:space="0" w:color="FFF4E5"/>
          <w:insideV w:val="single" w:sz="0" w:space="0" w:color="FFF4E5"/>
        </w:tblBorders>
      </w:tblPr>
      <w:tblGrid>
        <w:gridCol w:w="9360"/>
      </w:tblGrid>
      <w:tr>
        <w:trPr>
          <w:cantSplit/>
        </w:trPr>
        <w:tc>
          <w:tcPr>
            <w:tcW w:type="dxa" w:w="9360"/>
            <w:vAlign w:val="center"/>
            <w:tcMar>
              <w:top w:w="130" w:type="dxa"/>
              <w:start w:w="180" w:type="dxa"/>
              <w:bottom w:w="130" w:type="dxa"/>
              <w:end w:w="180" w:type="dxa"/>
            </w:tcMar>
            <w:shd w:fill="FFF4E5"/>
          </w:tcPr>
          <w:p>
            <w:pPr>
              <w:spacing w:after="0" w:line="264" w:lineRule="auto"/>
            </w:pPr>
            <w:r>
              <w:rPr>
                <w:rFonts w:ascii="Calibri" w:hAnsi="Calibri"/>
                <w:b/>
                <w:color w:val="B35C00"/>
                <w:sz w:val="21"/>
              </w:rPr>
              <w:t xml:space="preserve">Hors ligne  </w:t>
            </w:r>
            <w:r>
              <w:rPr>
                <w:rFonts w:ascii="Calibri" w:hAnsi="Calibri"/>
                <w:color w:val="253043"/>
                <w:sz w:val="21"/>
              </w:rPr>
              <w:t>La rubrique Anah est indisponible sans connexion. Les autres informations déjà chargées restent accessibles.</w:t>
            </w:r>
          </w:p>
        </w:tc>
      </w:tr>
    </w:tbl>
    <w:p>
      <w:pPr>
        <w:spacing w:after="40"/>
      </w:pPr>
    </w:p>
    <w:p>
      <w:r>
        <w:br w:type="page"/>
      </w:r>
    </w:p>
    <w:p>
      <w:pPr>
        <w:pStyle w:val="Heading1"/>
        <w:keepNext/>
      </w:pPr>
      <w:r>
        <w:t>9. Travailler hors ligne et synchroniser</w:t>
      </w:r>
    </w:p>
    <w:p>
      <w:pPr>
        <w:pStyle w:val="Heading2"/>
        <w:keepNext/>
      </w:pPr>
      <w:r>
        <w:t>Ce qui se passe automatiquement</w:t>
      </w:r>
    </w:p>
    <w:p>
      <w:pPr>
        <w:spacing w:before="0" w:after="120" w:line="276" w:lineRule="auto"/>
      </w:pPr>
      <w:r>
        <w:rPr>
          <w:rFonts w:ascii="Calibri" w:hAnsi="Calibri"/>
          <w:color w:val="253043"/>
          <w:sz w:val="21"/>
        </w:rPr>
        <w:t>Chaque saisie est d’abord enregistrée sur l’appareil. Dès qu’une connexion est disponible, l’application transmet les opérations en attente vers la base partagée.</w:t>
      </w:r>
    </w:p>
    <w:tbl>
      <w:tblPr>
        <w:tblW w:type="dxa" w:w="9360"/>
        <w:jc w:val="left"/>
        <w:tblLayout w:type="fixed"/>
        <w:tblLook w:firstColumn="1" w:firstRow="1" w:lastColumn="0" w:lastRow="0" w:noHBand="0" w:noVBand="1" w:val="04A0"/>
        <w:tblInd w:w="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Pr>
      <w:tblGrid>
        <w:gridCol w:w="2800"/>
        <w:gridCol w:w="6560"/>
      </w:tblGrid>
      <w:tr>
        <w:trPr>
          <w:cantSplit/>
          <w:tblHeader w:val="true"/>
        </w:trPr>
        <w:tc>
          <w:tcPr>
            <w:tcW w:type="dxa" w:w="2800"/>
            <w:vAlign w:val="center"/>
            <w:tcMar>
              <w:top w:w="100" w:type="dxa"/>
              <w:start w:w="160" w:type="dxa"/>
              <w:bottom w:w="100" w:type="dxa"/>
              <w:end w:w="160" w:type="dxa"/>
            </w:tcMar>
            <w:shd w:fill="F2ECF5"/>
          </w:tcPr>
          <w:p>
            <w:r>
              <w:rPr>
                <w:rFonts w:ascii="Calibri" w:hAnsi="Calibri"/>
                <w:b/>
                <w:color w:val="684B7A"/>
                <w:sz w:val="20"/>
              </w:rPr>
              <w:t>Affichage</w:t>
            </w:r>
          </w:p>
        </w:tc>
        <w:tc>
          <w:tcPr>
            <w:tcW w:type="dxa" w:w="6560"/>
            <w:vAlign w:val="center"/>
            <w:tcMar>
              <w:top w:w="100" w:type="dxa"/>
              <w:start w:w="160" w:type="dxa"/>
              <w:bottom w:w="100" w:type="dxa"/>
              <w:end w:w="160" w:type="dxa"/>
            </w:tcMar>
            <w:shd w:fill="F2ECF5"/>
          </w:tcPr>
          <w:p>
            <w:r>
              <w:rPr>
                <w:rFonts w:ascii="Calibri" w:hAnsi="Calibri"/>
                <w:b/>
                <w:color w:val="684B7A"/>
                <w:sz w:val="20"/>
              </w:rPr>
              <w:t>Signification</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Aucun bandeau</w:t>
            </w:r>
          </w:p>
        </w:tc>
        <w:tc>
          <w:tcPr>
            <w:tcW w:type="dxa" w:w="6560"/>
            <w:vAlign w:val="center"/>
            <w:tcMar>
              <w:top w:w="100" w:type="dxa"/>
              <w:start w:w="160" w:type="dxa"/>
              <w:bottom w:w="100" w:type="dxa"/>
              <w:end w:w="160" w:type="dxa"/>
            </w:tcMar>
          </w:tcPr>
          <w:p>
            <w:r>
              <w:rPr>
                <w:rFonts w:ascii="Calibri" w:hAnsi="Calibri"/>
                <w:color w:val="253043"/>
                <w:sz w:val="20"/>
              </w:rPr>
              <w:t>La situation est normale ; la synchronisation est terminée ou aucune action n’est en attente.</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Bandeau violet</w:t>
            </w:r>
          </w:p>
        </w:tc>
        <w:tc>
          <w:tcPr>
            <w:tcW w:type="dxa" w:w="6560"/>
            <w:vAlign w:val="center"/>
            <w:tcMar>
              <w:top w:w="100" w:type="dxa"/>
              <w:start w:w="160" w:type="dxa"/>
              <w:bottom w:w="100" w:type="dxa"/>
              <w:end w:w="160" w:type="dxa"/>
            </w:tcMar>
          </w:tcPr>
          <w:p>
            <w:r>
              <w:rPr>
                <w:rFonts w:ascii="Calibri" w:hAnsi="Calibri"/>
                <w:color w:val="253043"/>
                <w:sz w:val="20"/>
              </w:rPr>
              <w:t>Des opérations attendent le réseau ou leur traitement.</w:t>
            </w:r>
          </w:p>
        </w:tc>
      </w:tr>
      <w:tr>
        <w:trPr>
          <w:cantSplit/>
        </w:trPr>
        <w:tc>
          <w:tcPr>
            <w:tcW w:type="dxa" w:w="2800"/>
            <w:vAlign w:val="center"/>
            <w:tcMar>
              <w:top w:w="100" w:type="dxa"/>
              <w:start w:w="160" w:type="dxa"/>
              <w:bottom w:w="100" w:type="dxa"/>
              <w:end w:w="160" w:type="dxa"/>
            </w:tcMar>
            <w:shd w:fill="F8F5FA"/>
          </w:tcPr>
          <w:p>
            <w:r>
              <w:rPr>
                <w:rFonts w:ascii="Calibri" w:hAnsi="Calibri"/>
                <w:b/>
                <w:color w:val="684B7A"/>
                <w:sz w:val="20"/>
              </w:rPr>
              <w:t>Bandeau rouge</w:t>
            </w:r>
          </w:p>
        </w:tc>
        <w:tc>
          <w:tcPr>
            <w:tcW w:type="dxa" w:w="6560"/>
            <w:vAlign w:val="center"/>
            <w:tcMar>
              <w:top w:w="100" w:type="dxa"/>
              <w:start w:w="160" w:type="dxa"/>
              <w:bottom w:w="100" w:type="dxa"/>
              <w:end w:w="160" w:type="dxa"/>
            </w:tcMar>
          </w:tcPr>
          <w:p>
            <w:r>
              <w:rPr>
                <w:rFonts w:ascii="Calibri" w:hAnsi="Calibri"/>
                <w:color w:val="253043"/>
                <w:sz w:val="20"/>
              </w:rPr>
              <w:t>Une ou plusieurs opérations ont échoué et nécessitent un contrôle.</w:t>
            </w:r>
          </w:p>
        </w:tc>
      </w:tr>
    </w:tbl>
    <w:p>
      <w:pPr>
        <w:spacing w:after="40"/>
      </w:pPr>
    </w:p>
    <w:p>
      <w:pPr>
        <w:pStyle w:val="Heading2"/>
        <w:keepNext/>
      </w:pPr>
      <w:r>
        <w:t>Avant de passer hors ligne</w:t>
      </w:r>
    </w:p>
    <w:p>
      <w:pPr>
        <w:numPr>
          <w:ilvl w:val="0"/>
          <w:numId w:val="23"/>
        </w:numPr>
        <w:spacing w:after="100" w:line="276" w:lineRule="auto"/>
      </w:pPr>
      <w:r>
        <w:rPr>
          <w:rFonts w:ascii="Calibri" w:hAnsi="Calibri"/>
          <w:color w:val="253043"/>
          <w:sz w:val="21"/>
        </w:rPr>
        <w:t>Se connecter avec Internet.</w:t>
      </w:r>
    </w:p>
    <w:p>
      <w:pPr>
        <w:numPr>
          <w:ilvl w:val="0"/>
          <w:numId w:val="23"/>
        </w:numPr>
        <w:spacing w:after="100" w:line="276" w:lineRule="auto"/>
      </w:pPr>
      <w:r>
        <w:rPr>
          <w:rFonts w:ascii="Calibri" w:hAnsi="Calibri"/>
          <w:color w:val="253043"/>
          <w:sz w:val="21"/>
        </w:rPr>
        <w:t>Ouvrir la liste des dossiers et attendre son chargement.</w:t>
      </w:r>
    </w:p>
    <w:p>
      <w:pPr>
        <w:numPr>
          <w:ilvl w:val="0"/>
          <w:numId w:val="23"/>
        </w:numPr>
        <w:spacing w:after="100" w:line="276" w:lineRule="auto"/>
      </w:pPr>
      <w:r>
        <w:rPr>
          <w:rFonts w:ascii="Calibri" w:hAnsi="Calibri"/>
          <w:color w:val="253043"/>
          <w:sz w:val="21"/>
        </w:rPr>
        <w:t>Ouvrir les dossiers prévus pour la journée.</w:t>
      </w:r>
    </w:p>
    <w:p>
      <w:pPr>
        <w:numPr>
          <w:ilvl w:val="0"/>
          <w:numId w:val="23"/>
        </w:numPr>
        <w:spacing w:after="100" w:line="276" w:lineRule="auto"/>
      </w:pPr>
      <w:r>
        <w:rPr>
          <w:rFonts w:ascii="Calibri" w:hAnsi="Calibri"/>
          <w:color w:val="253043"/>
          <w:sz w:val="21"/>
        </w:rPr>
        <w:t>Ouvrir leur relevé de visite et leurs documents utiles.</w:t>
      </w:r>
    </w:p>
    <w:p>
      <w:pPr>
        <w:numPr>
          <w:ilvl w:val="0"/>
          <w:numId w:val="23"/>
        </w:numPr>
        <w:spacing w:after="100" w:line="276" w:lineRule="auto"/>
      </w:pPr>
      <w:r>
        <w:rPr>
          <w:rFonts w:ascii="Calibri" w:hAnsi="Calibri"/>
          <w:color w:val="253043"/>
          <w:sz w:val="21"/>
        </w:rPr>
        <w:t>Vérifier qu’aucun bandeau rouge n’est présent.</w:t>
      </w:r>
    </w:p>
    <w:p>
      <w:pPr>
        <w:pStyle w:val="Heading2"/>
        <w:keepNext/>
      </w:pPr>
      <w:r>
        <w:t>Au retour de la connexion</w:t>
      </w:r>
    </w:p>
    <w:p>
      <w:pPr>
        <w:numPr>
          <w:ilvl w:val="0"/>
          <w:numId w:val="24"/>
        </w:numPr>
        <w:spacing w:after="100" w:line="276" w:lineRule="auto"/>
      </w:pPr>
      <w:r>
        <w:rPr>
          <w:rFonts w:ascii="Calibri" w:hAnsi="Calibri"/>
          <w:color w:val="253043"/>
          <w:sz w:val="21"/>
        </w:rPr>
        <w:t>Laisser l’application ouverte quelques instants.</w:t>
      </w:r>
    </w:p>
    <w:p>
      <w:pPr>
        <w:numPr>
          <w:ilvl w:val="0"/>
          <w:numId w:val="24"/>
        </w:numPr>
        <w:spacing w:after="100" w:line="276" w:lineRule="auto"/>
      </w:pPr>
      <w:r>
        <w:rPr>
          <w:rFonts w:ascii="Calibri" w:hAnsi="Calibri"/>
          <w:color w:val="253043"/>
          <w:sz w:val="21"/>
        </w:rPr>
        <w:t>Attendre la disparition du bandeau de synchronisation.</w:t>
      </w:r>
    </w:p>
    <w:p>
      <w:pPr>
        <w:numPr>
          <w:ilvl w:val="0"/>
          <w:numId w:val="24"/>
        </w:numPr>
        <w:spacing w:after="100" w:line="276" w:lineRule="auto"/>
      </w:pPr>
      <w:r>
        <w:rPr>
          <w:rFonts w:ascii="Calibri" w:hAnsi="Calibri"/>
          <w:color w:val="253043"/>
          <w:sz w:val="21"/>
        </w:rPr>
        <w:t>Si une génération de rapport était en attente, laisser l’application la reprendre.</w:t>
      </w:r>
    </w:p>
    <w:p>
      <w:pPr>
        <w:numPr>
          <w:ilvl w:val="0"/>
          <w:numId w:val="24"/>
        </w:numPr>
        <w:spacing w:after="100" w:line="276" w:lineRule="auto"/>
      </w:pPr>
      <w:r>
        <w:rPr>
          <w:rFonts w:ascii="Calibri" w:hAnsi="Calibri"/>
          <w:color w:val="253043"/>
          <w:sz w:val="21"/>
        </w:rPr>
        <w:t>Contrôler les dossiers modifiés avant de se déconnecter.</w:t>
      </w:r>
    </w:p>
    <w:tbl>
      <w:tblPr>
        <w:tblW w:type="dxa" w:w="9360"/>
        <w:jc w:val="left"/>
        <w:tblLayout w:type="fixed"/>
        <w:tblLook w:firstColumn="1" w:firstRow="1" w:lastColumn="0" w:lastRow="0" w:noHBand="0" w:noVBand="1" w:val="04A0"/>
        <w:tblInd w:w="0" w:type="dxa"/>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360"/>
      </w:tblGrid>
      <w:tr>
        <w:trPr>
          <w:cantSplit/>
        </w:trPr>
        <w:tc>
          <w:tcPr>
            <w:tcW w:type="dxa" w:w="9360"/>
            <w:vAlign w:val="center"/>
            <w:tcMar>
              <w:top w:w="130" w:type="dxa"/>
              <w:start w:w="180" w:type="dxa"/>
              <w:bottom w:w="130" w:type="dxa"/>
              <w:end w:w="180" w:type="dxa"/>
            </w:tcMar>
            <w:shd w:fill="FDECEC"/>
          </w:tcPr>
          <w:p>
            <w:pPr>
              <w:spacing w:after="0" w:line="264" w:lineRule="auto"/>
            </w:pPr>
            <w:r>
              <w:rPr>
                <w:rFonts w:ascii="Calibri" w:hAnsi="Calibri"/>
                <w:b/>
                <w:color w:val="B42318"/>
                <w:sz w:val="21"/>
              </w:rPr>
              <w:t xml:space="preserve">Ne pas abandonner  </w:t>
            </w:r>
            <w:r>
              <w:rPr>
                <w:rFonts w:ascii="Calibri" w:hAnsi="Calibri"/>
                <w:color w:val="253043"/>
                <w:sz w:val="21"/>
              </w:rPr>
              <w:t>Ne jamais toucher Abandonner sur une opération en échec sans consigne. L’abandon retire l’opération de la file mais n’envoie pas la modification au serveur. Ouvrir Détails, prendre une capture sans données sensibles et utiliser Réessayer.</w:t>
            </w:r>
          </w:p>
        </w:tc>
      </w:tr>
    </w:tbl>
    <w:p>
      <w:pPr>
        <w:spacing w:after="40"/>
      </w:pPr>
    </w:p>
    <w:p>
      <w:r>
        <w:br w:type="page"/>
      </w:r>
    </w:p>
    <w:p>
      <w:pPr>
        <w:pStyle w:val="Heading1"/>
        <w:keepNext/>
      </w:pPr>
      <w:r>
        <w:t>10. Contrôler et générer le rapport</w:t>
      </w:r>
    </w:p>
    <w:p>
      <w:pPr>
        <w:pStyle w:val="Heading2"/>
        <w:keepNext/>
      </w:pPr>
      <w:r>
        <w:t>Avant la génération</w:t>
      </w:r>
    </w:p>
    <w:p>
      <w:pPr>
        <w:numPr>
          <w:ilvl w:val="0"/>
          <w:numId w:val="11"/>
        </w:numPr>
        <w:spacing w:after="80" w:line="276" w:lineRule="auto"/>
      </w:pPr>
      <w:r>
        <w:rPr>
          <w:rFonts w:ascii="Calibri" w:hAnsi="Calibri"/>
          <w:color w:val="253043"/>
          <w:sz w:val="21"/>
        </w:rPr>
        <w:t>Relire le Résumé et vérifier les informations principales.</w:t>
      </w:r>
    </w:p>
    <w:p>
      <w:pPr>
        <w:numPr>
          <w:ilvl w:val="0"/>
          <w:numId w:val="11"/>
        </w:numPr>
        <w:spacing w:after="80" w:line="276" w:lineRule="auto"/>
      </w:pPr>
      <w:r>
        <w:rPr>
          <w:rFonts w:ascii="Calibri" w:hAnsi="Calibri"/>
          <w:color w:val="253043"/>
          <w:sz w:val="21"/>
        </w:rPr>
        <w:t>Contrôler les plans avant/après travaux.</w:t>
      </w:r>
    </w:p>
    <w:p>
      <w:pPr>
        <w:numPr>
          <w:ilvl w:val="0"/>
          <w:numId w:val="11"/>
        </w:numPr>
        <w:spacing w:after="80" w:line="276" w:lineRule="auto"/>
      </w:pPr>
      <w:r>
        <w:rPr>
          <w:rFonts w:ascii="Calibri" w:hAnsi="Calibri"/>
          <w:color w:val="253043"/>
          <w:sz w:val="21"/>
        </w:rPr>
        <w:t>Vérifier l’ordre et le contenu des préconisations.</w:t>
      </w:r>
    </w:p>
    <w:p>
      <w:pPr>
        <w:numPr>
          <w:ilvl w:val="0"/>
          <w:numId w:val="11"/>
        </w:numPr>
        <w:spacing w:after="80" w:line="276" w:lineRule="auto"/>
      </w:pPr>
      <w:r>
        <w:rPr>
          <w:rFonts w:ascii="Calibri" w:hAnsi="Calibri"/>
          <w:color w:val="253043"/>
          <w:sz w:val="21"/>
        </w:rPr>
        <w:t>S’assurer que les photos utiles sont présentes.</w:t>
      </w:r>
    </w:p>
    <w:p>
      <w:pPr>
        <w:numPr>
          <w:ilvl w:val="0"/>
          <w:numId w:val="11"/>
        </w:numPr>
        <w:spacing w:after="80" w:line="276" w:lineRule="auto"/>
      </w:pPr>
      <w:r>
        <w:rPr>
          <w:rFonts w:ascii="Calibri" w:hAnsi="Calibri"/>
          <w:color w:val="253043"/>
          <w:sz w:val="21"/>
        </w:rPr>
        <w:t>Attendre la fin des sauvegardes en cours.</w:t>
      </w:r>
    </w:p>
    <w:p>
      <w:pPr>
        <w:pStyle w:val="Heading2"/>
        <w:keepNext/>
      </w:pPr>
      <w:r>
        <w:t>Générer</w:t>
      </w:r>
    </w:p>
    <w:p>
      <w:pPr>
        <w:numPr>
          <w:ilvl w:val="0"/>
          <w:numId w:val="25"/>
        </w:numPr>
        <w:spacing w:after="100" w:line="276" w:lineRule="auto"/>
      </w:pPr>
      <w:r>
        <w:rPr>
          <w:rFonts w:ascii="Calibri" w:hAnsi="Calibri"/>
          <w:color w:val="253043"/>
          <w:sz w:val="21"/>
        </w:rPr>
        <w:t>Toucher Générer en haut du relevé.</w:t>
      </w:r>
    </w:p>
    <w:p>
      <w:pPr>
        <w:numPr>
          <w:ilvl w:val="0"/>
          <w:numId w:val="25"/>
        </w:numPr>
        <w:spacing w:after="100" w:line="276" w:lineRule="auto"/>
      </w:pPr>
      <w:r>
        <w:rPr>
          <w:rFonts w:ascii="Calibri" w:hAnsi="Calibri"/>
          <w:color w:val="253043"/>
          <w:sz w:val="21"/>
        </w:rPr>
        <w:t>Laisser l’application préparer et synchroniser les données.</w:t>
      </w:r>
    </w:p>
    <w:p>
      <w:pPr>
        <w:numPr>
          <w:ilvl w:val="0"/>
          <w:numId w:val="25"/>
        </w:numPr>
        <w:spacing w:after="100" w:line="276" w:lineRule="auto"/>
      </w:pPr>
      <w:r>
        <w:rPr>
          <w:rFonts w:ascii="Calibri" w:hAnsi="Calibri"/>
          <w:color w:val="253043"/>
          <w:sz w:val="21"/>
        </w:rPr>
        <w:t>Attendre l’ouverture ou l’ajout du PDF dans Documents.</w:t>
      </w:r>
    </w:p>
    <w:p>
      <w:pPr>
        <w:numPr>
          <w:ilvl w:val="0"/>
          <w:numId w:val="25"/>
        </w:numPr>
        <w:spacing w:after="100" w:line="276" w:lineRule="auto"/>
      </w:pPr>
      <w:r>
        <w:rPr>
          <w:rFonts w:ascii="Calibri" w:hAnsi="Calibri"/>
          <w:color w:val="253043"/>
          <w:sz w:val="21"/>
        </w:rPr>
        <w:t>Ouvrir le PDF et contrôler les pages importantes.</w:t>
      </w:r>
    </w:p>
    <w:tbl>
      <w:tblPr>
        <w:tblW w:type="dxa" w:w="9360"/>
        <w:jc w:val="left"/>
        <w:tblLayout w:type="fixed"/>
        <w:tblLook w:firstColumn="1" w:firstRow="1" w:lastColumn="0" w:lastRow="0" w:noHBand="0" w:noVBand="1" w:val="04A0"/>
        <w:tblInd w:w="0" w:type="dxa"/>
        <w:tblBorders>
          <w:top w:val="single" w:sz="0" w:space="0" w:color="F2ECF5"/>
          <w:left w:val="single" w:sz="0" w:space="0" w:color="F2ECF5"/>
          <w:bottom w:val="single" w:sz="0" w:space="0" w:color="F2ECF5"/>
          <w:right w:val="single" w:sz="0" w:space="0" w:color="F2ECF5"/>
          <w:insideH w:val="single" w:sz="0" w:space="0" w:color="F2ECF5"/>
          <w:insideV w:val="single" w:sz="0" w:space="0" w:color="F2ECF5"/>
        </w:tblBorders>
      </w:tblPr>
      <w:tblGrid>
        <w:gridCol w:w="9360"/>
      </w:tblGrid>
      <w:tr>
        <w:trPr>
          <w:cantSplit/>
        </w:trPr>
        <w:tc>
          <w:tcPr>
            <w:tcW w:type="dxa" w:w="9360"/>
            <w:vAlign w:val="center"/>
            <w:tcMar>
              <w:top w:w="130" w:type="dxa"/>
              <w:start w:w="180" w:type="dxa"/>
              <w:bottom w:w="130" w:type="dxa"/>
              <w:end w:w="180" w:type="dxa"/>
            </w:tcMar>
            <w:shd w:fill="F2ECF5"/>
          </w:tcPr>
          <w:p>
            <w:pPr>
              <w:spacing w:after="0" w:line="264" w:lineRule="auto"/>
            </w:pPr>
            <w:r>
              <w:rPr>
                <w:rFonts w:ascii="Calibri" w:hAnsi="Calibri"/>
                <w:b/>
                <w:color w:val="684B7A"/>
                <w:sz w:val="21"/>
              </w:rPr>
              <w:t xml:space="preserve">Sans connexion  </w:t>
            </w:r>
            <w:r>
              <w:rPr>
                <w:rFonts w:ascii="Calibri" w:hAnsi="Calibri"/>
                <w:color w:val="253043"/>
                <w:sz w:val="21"/>
              </w:rPr>
              <w:t>La demande de génération est mise en attente. Elle doit reprendre au retour du réseau. Ne pas multiplier les clics sur Générer.</w:t>
            </w:r>
          </w:p>
        </w:tc>
      </w:tr>
    </w:tbl>
    <w:p>
      <w:pPr>
        <w:spacing w:after="40"/>
      </w:pPr>
    </w:p>
    <w:p>
      <w:r>
        <w:br w:type="page"/>
      </w:r>
    </w:p>
    <w:p>
      <w:pPr>
        <w:pStyle w:val="Heading1"/>
        <w:keepNext/>
      </w:pPr>
      <w:r>
        <w:t>11. Sécurité et confidentialité</w:t>
      </w:r>
    </w:p>
    <w:p>
      <w:pPr>
        <w:numPr>
          <w:ilvl w:val="0"/>
          <w:numId w:val="11"/>
        </w:numPr>
        <w:spacing w:after="80" w:line="276" w:lineRule="auto"/>
      </w:pPr>
      <w:r>
        <w:rPr>
          <w:rFonts w:ascii="Calibri" w:hAnsi="Calibri"/>
          <w:color w:val="253043"/>
          <w:sz w:val="21"/>
        </w:rPr>
        <w:t>Utiliser uniquement son compte personnel.</w:t>
      </w:r>
    </w:p>
    <w:p>
      <w:pPr>
        <w:numPr>
          <w:ilvl w:val="0"/>
          <w:numId w:val="11"/>
        </w:numPr>
        <w:spacing w:after="80" w:line="276" w:lineRule="auto"/>
      </w:pPr>
      <w:r>
        <w:rPr>
          <w:rFonts w:ascii="Calibri" w:hAnsi="Calibri"/>
          <w:color w:val="253043"/>
          <w:sz w:val="21"/>
        </w:rPr>
        <w:t>Verrouiller l’iPad dès qu’il n’est plus utilisé.</w:t>
      </w:r>
    </w:p>
    <w:p>
      <w:pPr>
        <w:numPr>
          <w:ilvl w:val="0"/>
          <w:numId w:val="11"/>
        </w:numPr>
        <w:spacing w:after="80" w:line="276" w:lineRule="auto"/>
      </w:pPr>
      <w:r>
        <w:rPr>
          <w:rFonts w:ascii="Calibri" w:hAnsi="Calibri"/>
          <w:color w:val="253043"/>
          <w:sz w:val="21"/>
        </w:rPr>
        <w:t>Ne pas transmettre de données bénéficiaires par messagerie personnelle.</w:t>
      </w:r>
    </w:p>
    <w:p>
      <w:pPr>
        <w:numPr>
          <w:ilvl w:val="0"/>
          <w:numId w:val="11"/>
        </w:numPr>
        <w:spacing w:after="80" w:line="276" w:lineRule="auto"/>
      </w:pPr>
      <w:r>
        <w:rPr>
          <w:rFonts w:ascii="Calibri" w:hAnsi="Calibri"/>
          <w:color w:val="253043"/>
          <w:sz w:val="21"/>
        </w:rPr>
        <w:t>Éviter les captures d’écran contenant des informations médicales ou des coordonnées.</w:t>
      </w:r>
    </w:p>
    <w:p>
      <w:pPr>
        <w:numPr>
          <w:ilvl w:val="0"/>
          <w:numId w:val="11"/>
        </w:numPr>
        <w:spacing w:after="80" w:line="276" w:lineRule="auto"/>
      </w:pPr>
      <w:r>
        <w:rPr>
          <w:rFonts w:ascii="Calibri" w:hAnsi="Calibri"/>
          <w:color w:val="253043"/>
          <w:sz w:val="21"/>
        </w:rPr>
        <w:t>Ne pas stocker les rapports dans un espace personnel non autorisé.</w:t>
      </w:r>
    </w:p>
    <w:p>
      <w:pPr>
        <w:numPr>
          <w:ilvl w:val="0"/>
          <w:numId w:val="11"/>
        </w:numPr>
        <w:spacing w:after="80" w:line="276" w:lineRule="auto"/>
      </w:pPr>
      <w:r>
        <w:rPr>
          <w:rFonts w:ascii="Calibri" w:hAnsi="Calibri"/>
          <w:color w:val="253043"/>
          <w:sz w:val="21"/>
        </w:rPr>
        <w:t>Signaler immédiatement la perte ou le vol d’un appareil.</w:t>
      </w:r>
    </w:p>
    <w:p>
      <w:pPr>
        <w:numPr>
          <w:ilvl w:val="0"/>
          <w:numId w:val="11"/>
        </w:numPr>
        <w:spacing w:after="80" w:line="276" w:lineRule="auto"/>
      </w:pPr>
      <w:r>
        <w:rPr>
          <w:rFonts w:ascii="Calibri" w:hAnsi="Calibri"/>
          <w:color w:val="253043"/>
          <w:sz w:val="21"/>
        </w:rPr>
        <w:t>Se déconnecter avant de remettre l’appareil à une autre personne.</w:t>
      </w:r>
    </w:p>
    <w:tbl>
      <w:tblPr>
        <w:tblW w:type="dxa" w:w="9360"/>
        <w:jc w:val="left"/>
        <w:tblLayout w:type="fixed"/>
        <w:tblLook w:firstColumn="1" w:firstRow="1" w:lastColumn="0" w:lastRow="0" w:noHBand="0" w:noVBand="1" w:val="04A0"/>
        <w:tblInd w:w="0" w:type="dxa"/>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360"/>
      </w:tblGrid>
      <w:tr>
        <w:trPr>
          <w:cantSplit/>
        </w:trPr>
        <w:tc>
          <w:tcPr>
            <w:tcW w:type="dxa" w:w="9360"/>
            <w:vAlign w:val="center"/>
            <w:tcMar>
              <w:top w:w="130" w:type="dxa"/>
              <w:start w:w="180" w:type="dxa"/>
              <w:bottom w:w="130" w:type="dxa"/>
              <w:end w:w="180" w:type="dxa"/>
            </w:tcMar>
            <w:shd w:fill="FDECEC"/>
          </w:tcPr>
          <w:p>
            <w:pPr>
              <w:spacing w:after="0" w:line="264" w:lineRule="auto"/>
            </w:pPr>
            <w:r>
              <w:rPr>
                <w:rFonts w:ascii="Calibri" w:hAnsi="Calibri"/>
                <w:b/>
                <w:color w:val="B42318"/>
                <w:sz w:val="21"/>
              </w:rPr>
              <w:t xml:space="preserve">Données sensibles  </w:t>
            </w:r>
            <w:r>
              <w:rPr>
                <w:rFonts w:ascii="Calibri" w:hAnsi="Calibri"/>
                <w:color w:val="253043"/>
                <w:sz w:val="21"/>
              </w:rPr>
              <w:t>Les informations de santé, d’autonomie, de revenus et d’identité doivent être consultées uniquement pour l’accompagnement du bénéficiaire.</w:t>
            </w:r>
          </w:p>
        </w:tc>
      </w:tr>
    </w:tbl>
    <w:p>
      <w:pPr>
        <w:spacing w:after="40"/>
      </w:pPr>
    </w:p>
    <w:p>
      <w:pPr>
        <w:pStyle w:val="Heading2"/>
        <w:keepNext/>
      </w:pPr>
      <w:r>
        <w:t>Checklist de fin de journée</w:t>
      </w:r>
    </w:p>
    <w:p>
      <w:pPr>
        <w:numPr>
          <w:ilvl w:val="0"/>
          <w:numId w:val="11"/>
        </w:numPr>
        <w:spacing w:after="80" w:line="276" w:lineRule="auto"/>
      </w:pPr>
      <w:r>
        <w:rPr>
          <w:rFonts w:ascii="Calibri" w:hAnsi="Calibri"/>
          <w:color w:val="253043"/>
          <w:sz w:val="21"/>
        </w:rPr>
        <w:t>Connexion Internet rétablie.</w:t>
      </w:r>
    </w:p>
    <w:p>
      <w:pPr>
        <w:numPr>
          <w:ilvl w:val="0"/>
          <w:numId w:val="11"/>
        </w:numPr>
        <w:spacing w:after="80" w:line="276" w:lineRule="auto"/>
      </w:pPr>
      <w:r>
        <w:rPr>
          <w:rFonts w:ascii="Calibri" w:hAnsi="Calibri"/>
          <w:color w:val="253043"/>
          <w:sz w:val="21"/>
        </w:rPr>
        <w:t>Aucun bandeau rouge.</w:t>
      </w:r>
    </w:p>
    <w:p>
      <w:pPr>
        <w:numPr>
          <w:ilvl w:val="0"/>
          <w:numId w:val="11"/>
        </w:numPr>
        <w:spacing w:after="80" w:line="276" w:lineRule="auto"/>
      </w:pPr>
      <w:r>
        <w:rPr>
          <w:rFonts w:ascii="Calibri" w:hAnsi="Calibri"/>
          <w:color w:val="253043"/>
          <w:sz w:val="21"/>
        </w:rPr>
        <w:t>Aucune génération de rapport en attente.</w:t>
      </w:r>
    </w:p>
    <w:p>
      <w:pPr>
        <w:numPr>
          <w:ilvl w:val="0"/>
          <w:numId w:val="11"/>
        </w:numPr>
        <w:spacing w:after="80" w:line="276" w:lineRule="auto"/>
      </w:pPr>
      <w:r>
        <w:rPr>
          <w:rFonts w:ascii="Calibri" w:hAnsi="Calibri"/>
          <w:color w:val="253043"/>
          <w:sz w:val="21"/>
        </w:rPr>
        <w:t>Documents et rapports contrôlés.</w:t>
      </w:r>
    </w:p>
    <w:p>
      <w:pPr>
        <w:numPr>
          <w:ilvl w:val="0"/>
          <w:numId w:val="11"/>
        </w:numPr>
        <w:spacing w:after="80" w:line="276" w:lineRule="auto"/>
      </w:pPr>
      <w:r>
        <w:rPr>
          <w:rFonts w:ascii="Calibri" w:hAnsi="Calibri"/>
          <w:color w:val="253043"/>
          <w:sz w:val="21"/>
        </w:rPr>
        <w:t>Application fermée ou session déconnectée si l’appareil est partagé.</w:t>
      </w:r>
    </w:p>
    <w:p>
      <w:pPr>
        <w:numPr>
          <w:ilvl w:val="0"/>
          <w:numId w:val="11"/>
        </w:numPr>
        <w:spacing w:after="80" w:line="276" w:lineRule="auto"/>
      </w:pPr>
      <w:r>
        <w:rPr>
          <w:rFonts w:ascii="Calibri" w:hAnsi="Calibri"/>
          <w:color w:val="253043"/>
          <w:sz w:val="21"/>
        </w:rPr>
        <w:t>iPad remis en charge.</w:t>
      </w:r>
    </w:p>
    <w:p>
      <w:r>
        <w:br w:type="page"/>
      </w:r>
    </w:p>
    <w:p>
      <w:pPr>
        <w:pStyle w:val="Heading1"/>
        <w:keepNext/>
      </w:pPr>
      <w:r>
        <w:t>12. Dépannage rapide</w:t>
      </w:r>
    </w:p>
    <w:tbl>
      <w:tblPr>
        <w:tblW w:type="dxa" w:w="9360"/>
        <w:jc w:val="left"/>
        <w:tblLayout w:type="fixed"/>
        <w:tblLook w:firstColumn="1" w:firstRow="1" w:lastColumn="0" w:lastRow="0" w:noHBand="0" w:noVBand="1" w:val="04A0"/>
        <w:tblInd w:w="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Pr>
      <w:tblGrid>
        <w:gridCol w:w="3000"/>
        <w:gridCol w:w="6360"/>
      </w:tblGrid>
      <w:tr>
        <w:trPr>
          <w:cantSplit/>
          <w:tblHeader w:val="true"/>
        </w:trPr>
        <w:tc>
          <w:tcPr>
            <w:tcW w:type="dxa" w:w="3000"/>
            <w:vAlign w:val="center"/>
            <w:tcMar>
              <w:top w:w="100" w:type="dxa"/>
              <w:start w:w="160" w:type="dxa"/>
              <w:bottom w:w="100" w:type="dxa"/>
              <w:end w:w="160" w:type="dxa"/>
            </w:tcMar>
            <w:shd w:fill="F2ECF5"/>
          </w:tcPr>
          <w:p>
            <w:r>
              <w:rPr>
                <w:rFonts w:ascii="Calibri" w:hAnsi="Calibri"/>
                <w:b/>
                <w:color w:val="684B7A"/>
                <w:sz w:val="20"/>
              </w:rPr>
              <w:t>Problème</w:t>
            </w:r>
          </w:p>
        </w:tc>
        <w:tc>
          <w:tcPr>
            <w:tcW w:type="dxa" w:w="6360"/>
            <w:vAlign w:val="center"/>
            <w:tcMar>
              <w:top w:w="100" w:type="dxa"/>
              <w:start w:w="160" w:type="dxa"/>
              <w:bottom w:w="100" w:type="dxa"/>
              <w:end w:w="160" w:type="dxa"/>
            </w:tcMar>
            <w:shd w:fill="F2ECF5"/>
          </w:tcPr>
          <w:p>
            <w:r>
              <w:rPr>
                <w:rFonts w:ascii="Calibri" w:hAnsi="Calibri"/>
                <w:b/>
                <w:color w:val="684B7A"/>
                <w:sz w:val="20"/>
              </w:rPr>
              <w:t>Action</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Le dossier n’apparaît pas</w:t>
            </w:r>
          </w:p>
        </w:tc>
        <w:tc>
          <w:tcPr>
            <w:tcW w:type="dxa" w:w="6360"/>
            <w:vAlign w:val="center"/>
            <w:tcMar>
              <w:top w:w="100" w:type="dxa"/>
              <w:start w:w="160" w:type="dxa"/>
              <w:bottom w:w="100" w:type="dxa"/>
              <w:end w:w="160" w:type="dxa"/>
            </w:tcMar>
          </w:tcPr>
          <w:p>
            <w:r>
              <w:rPr>
                <w:rFonts w:ascii="Calibri" w:hAnsi="Calibri"/>
                <w:color w:val="253043"/>
                <w:sz w:val="20"/>
              </w:rPr>
              <w:t>Vérifier le profil connecté, la connexion, puis relancer la synchronisation. L’attribution du dossier doit correspondre à l’ergothérapeute.</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Une page reste vide</w:t>
            </w:r>
          </w:p>
        </w:tc>
        <w:tc>
          <w:tcPr>
            <w:tcW w:type="dxa" w:w="6360"/>
            <w:vAlign w:val="center"/>
            <w:tcMar>
              <w:top w:w="100" w:type="dxa"/>
              <w:start w:w="160" w:type="dxa"/>
              <w:bottom w:w="100" w:type="dxa"/>
              <w:end w:w="160" w:type="dxa"/>
            </w:tcMar>
          </w:tcPr>
          <w:p>
            <w:r>
              <w:rPr>
                <w:rFonts w:ascii="Calibri" w:hAnsi="Calibri"/>
                <w:color w:val="253043"/>
                <w:sz w:val="20"/>
              </w:rPr>
              <w:t>Revenir à l’écran précédent, attendre quelques secondes puis rouvrir. Signaler si le problème se répète.</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Bandeau violet permanent</w:t>
            </w:r>
          </w:p>
        </w:tc>
        <w:tc>
          <w:tcPr>
            <w:tcW w:type="dxa" w:w="6360"/>
            <w:vAlign w:val="center"/>
            <w:tcMar>
              <w:top w:w="100" w:type="dxa"/>
              <w:start w:w="160" w:type="dxa"/>
              <w:bottom w:w="100" w:type="dxa"/>
              <w:end w:w="160" w:type="dxa"/>
            </w:tcMar>
          </w:tcPr>
          <w:p>
            <w:r>
              <w:rPr>
                <w:rFonts w:ascii="Calibri" w:hAnsi="Calibri"/>
                <w:color w:val="253043"/>
                <w:sz w:val="20"/>
              </w:rPr>
              <w:t>Vérifier Internet, laisser l’application ouverte, puis se reconnecter si nécessaire.</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Bandeau rouge</w:t>
            </w:r>
          </w:p>
        </w:tc>
        <w:tc>
          <w:tcPr>
            <w:tcW w:type="dxa" w:w="6360"/>
            <w:vAlign w:val="center"/>
            <w:tcMar>
              <w:top w:w="100" w:type="dxa"/>
              <w:start w:w="160" w:type="dxa"/>
              <w:bottom w:w="100" w:type="dxa"/>
              <w:end w:w="160" w:type="dxa"/>
            </w:tcMar>
          </w:tcPr>
          <w:p>
            <w:r>
              <w:rPr>
                <w:rFonts w:ascii="Calibri" w:hAnsi="Calibri"/>
                <w:color w:val="253043"/>
                <w:sz w:val="20"/>
              </w:rPr>
              <w:t>Ouvrir Détails, conserver le message, toucher Réessayer. Ne pas abandonner sans consigne.</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Le rapport reste en attente</w:t>
            </w:r>
          </w:p>
        </w:tc>
        <w:tc>
          <w:tcPr>
            <w:tcW w:type="dxa" w:w="6360"/>
            <w:vAlign w:val="center"/>
            <w:tcMar>
              <w:top w:w="100" w:type="dxa"/>
              <w:start w:w="160" w:type="dxa"/>
              <w:bottom w:w="100" w:type="dxa"/>
              <w:end w:w="160" w:type="dxa"/>
            </w:tcMar>
          </w:tcPr>
          <w:p>
            <w:r>
              <w:rPr>
                <w:rFonts w:ascii="Calibri" w:hAnsi="Calibri"/>
                <w:color w:val="253043"/>
                <w:sz w:val="20"/>
              </w:rPr>
              <w:t>Rétablir Internet, laisser l’application ouverte et se reconnecter si la reprise ne démarre pas.</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Un document ne s’ouvre pas</w:t>
            </w:r>
          </w:p>
        </w:tc>
        <w:tc>
          <w:tcPr>
            <w:tcW w:type="dxa" w:w="6360"/>
            <w:vAlign w:val="center"/>
            <w:tcMar>
              <w:top w:w="100" w:type="dxa"/>
              <w:start w:w="160" w:type="dxa"/>
              <w:bottom w:w="100" w:type="dxa"/>
              <w:end w:w="160" w:type="dxa"/>
            </w:tcMar>
          </w:tcPr>
          <w:p>
            <w:r>
              <w:rPr>
                <w:rFonts w:ascii="Calibri" w:hAnsi="Calibri"/>
                <w:color w:val="253043"/>
                <w:sz w:val="20"/>
              </w:rPr>
              <w:t>Vérifier qu’il a déjà été chargé en ligne. Réessayer avec la connexion.</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Le portail Anah échoue</w:t>
            </w:r>
          </w:p>
        </w:tc>
        <w:tc>
          <w:tcPr>
            <w:tcW w:type="dxa" w:w="6360"/>
            <w:vAlign w:val="center"/>
            <w:tcMar>
              <w:top w:w="100" w:type="dxa"/>
              <w:start w:w="160" w:type="dxa"/>
              <w:bottom w:w="100" w:type="dxa"/>
              <w:end w:w="160" w:type="dxa"/>
            </w:tcMar>
          </w:tcPr>
          <w:p>
            <w:r>
              <w:rPr>
                <w:rFonts w:ascii="Calibri" w:hAnsi="Calibri"/>
                <w:color w:val="253043"/>
                <w:sz w:val="20"/>
              </w:rPr>
              <w:t>Vérifier Internet puis utiliser Ouvrir dans Safari.</w:t>
            </w:r>
          </w:p>
        </w:tc>
      </w:tr>
      <w:tr>
        <w:trPr>
          <w:cantSplit/>
        </w:trPr>
        <w:tc>
          <w:tcPr>
            <w:tcW w:type="dxa" w:w="3000"/>
            <w:vAlign w:val="center"/>
            <w:tcMar>
              <w:top w:w="100" w:type="dxa"/>
              <w:start w:w="160" w:type="dxa"/>
              <w:bottom w:w="100" w:type="dxa"/>
              <w:end w:w="160" w:type="dxa"/>
            </w:tcMar>
            <w:shd w:fill="F8F5FA"/>
          </w:tcPr>
          <w:p>
            <w:r>
              <w:rPr>
                <w:rFonts w:ascii="Calibri" w:hAnsi="Calibri"/>
                <w:b/>
                <w:color w:val="684B7A"/>
                <w:sz w:val="20"/>
              </w:rPr>
              <w:t>Une note semble revenir en arrière</w:t>
            </w:r>
          </w:p>
        </w:tc>
        <w:tc>
          <w:tcPr>
            <w:tcW w:type="dxa" w:w="6360"/>
            <w:vAlign w:val="center"/>
            <w:tcMar>
              <w:top w:w="100" w:type="dxa"/>
              <w:start w:w="160" w:type="dxa"/>
              <w:bottom w:w="100" w:type="dxa"/>
              <w:end w:w="160" w:type="dxa"/>
            </w:tcMar>
          </w:tcPr>
          <w:p>
            <w:r>
              <w:rPr>
                <w:rFonts w:ascii="Calibri" w:hAnsi="Calibri"/>
                <w:color w:val="253043"/>
                <w:sz w:val="20"/>
              </w:rPr>
              <w:t>Ne plus modifier la zone, attendre la synchronisation et signaler le dossier concerné.</w:t>
            </w:r>
          </w:p>
        </w:tc>
      </w:tr>
    </w:tbl>
    <w:p>
      <w:pPr>
        <w:spacing w:after="40"/>
      </w:pPr>
    </w:p>
    <w:p>
      <w:pPr>
        <w:pStyle w:val="Heading2"/>
        <w:keepNext/>
      </w:pPr>
      <w:r>
        <w:t>Signaler un problème</w:t>
      </w:r>
    </w:p>
    <w:p>
      <w:pPr>
        <w:numPr>
          <w:ilvl w:val="0"/>
          <w:numId w:val="26"/>
        </w:numPr>
        <w:spacing w:after="100" w:line="276" w:lineRule="auto"/>
      </w:pPr>
      <w:r>
        <w:rPr>
          <w:rFonts w:ascii="Calibri" w:hAnsi="Calibri"/>
          <w:color w:val="253043"/>
          <w:sz w:val="21"/>
        </w:rPr>
        <w:t>Toucher Signaler dans l’application.</w:t>
      </w:r>
    </w:p>
    <w:p>
      <w:pPr>
        <w:numPr>
          <w:ilvl w:val="0"/>
          <w:numId w:val="26"/>
        </w:numPr>
        <w:spacing w:after="100" w:line="276" w:lineRule="auto"/>
      </w:pPr>
      <w:r>
        <w:rPr>
          <w:rFonts w:ascii="Calibri" w:hAnsi="Calibri"/>
          <w:color w:val="253043"/>
          <w:sz w:val="21"/>
        </w:rPr>
        <w:t>Choisir le type de problème.</w:t>
      </w:r>
    </w:p>
    <w:p>
      <w:pPr>
        <w:numPr>
          <w:ilvl w:val="0"/>
          <w:numId w:val="26"/>
        </w:numPr>
        <w:spacing w:after="100" w:line="276" w:lineRule="auto"/>
      </w:pPr>
      <w:r>
        <w:rPr>
          <w:rFonts w:ascii="Calibri" w:hAnsi="Calibri"/>
          <w:color w:val="253043"/>
          <w:sz w:val="21"/>
        </w:rPr>
        <w:t>Décrire l’action réalisée juste avant le problème.</w:t>
      </w:r>
    </w:p>
    <w:p>
      <w:pPr>
        <w:numPr>
          <w:ilvl w:val="0"/>
          <w:numId w:val="26"/>
        </w:numPr>
        <w:spacing w:after="100" w:line="276" w:lineRule="auto"/>
      </w:pPr>
      <w:r>
        <w:rPr>
          <w:rFonts w:ascii="Calibri" w:hAnsi="Calibri"/>
          <w:color w:val="253043"/>
          <w:sz w:val="21"/>
        </w:rPr>
        <w:t>Envoyer le signalement.</w:t>
      </w:r>
    </w:p>
    <w:tbl>
      <w:tblPr>
        <w:tblW w:type="dxa" w:w="9360"/>
        <w:jc w:val="left"/>
        <w:tblLayout w:type="fixed"/>
        <w:tblLook w:firstColumn="1" w:firstRow="1" w:lastColumn="0" w:lastRow="0" w:noHBand="0" w:noVBand="1" w:val="04A0"/>
        <w:tblInd w:w="0" w:type="dxa"/>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Pr>
      <w:tblGrid>
        <w:gridCol w:w="9360"/>
      </w:tblGrid>
      <w:tr>
        <w:trPr>
          <w:cantSplit/>
        </w:trPr>
        <w:tc>
          <w:tcPr>
            <w:tcW w:type="dxa" w:w="9360"/>
            <w:vAlign w:val="center"/>
            <w:tcMar>
              <w:top w:w="130" w:type="dxa"/>
              <w:start w:w="180" w:type="dxa"/>
              <w:bottom w:w="130" w:type="dxa"/>
              <w:end w:w="180" w:type="dxa"/>
            </w:tcMar>
            <w:shd w:fill="EAF5EF"/>
          </w:tcPr>
          <w:p>
            <w:pPr>
              <w:spacing w:after="0" w:line="264" w:lineRule="auto"/>
            </w:pPr>
            <w:r>
              <w:rPr>
                <w:rFonts w:ascii="Calibri" w:hAnsi="Calibri"/>
                <w:b/>
                <w:color w:val="2F7D58"/>
                <w:sz w:val="21"/>
              </w:rPr>
              <w:t xml:space="preserve">Message utile  </w:t>
            </w:r>
            <w:r>
              <w:rPr>
                <w:rFonts w:ascii="Calibri" w:hAnsi="Calibri"/>
                <w:color w:val="253043"/>
                <w:sz w:val="21"/>
              </w:rPr>
              <w:t>Décrire uniquement le problème observé. Le nom du dossier et l’onglet sont déjà ajoutés automatiquement au signalement. Exemple : « Après l’ajout d’une ligne, un bandeau rouge s’affiche. L’opération n’a pas été abandonnée. »</w:t>
            </w:r>
          </w:p>
        </w:tc>
      </w:tr>
    </w:tbl>
    <w:p>
      <w:pPr>
        <w:spacing w:after="40"/>
      </w:pPr>
    </w:p>
    <w:sectPr w:rsidR="00FC693F" w:rsidRPr="0006063C" w:rsidSect="00034616">
      <w:headerReference w:type="default" r:id="rId9"/>
      <w:footerReference w:type="default" r:id="rId10"/>
      <w:pgSz w:w="11906" w:h="16838"/>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Usage interne  ·  Juillet 2026  ·  Page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APP’ERGO  ·  MODE D’EMPLOI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decimal"/>
      <w:lvlText w:val="%1."/>
      <w:lvlJc w:val="left"/>
      <w:pPr>
        <w:tabs>
          <w:tab w:val="num" w:pos="540"/>
        </w:tabs>
        <w:ind w:left="540" w:hanging="270"/>
      </w:pPr>
    </w:lvl>
  </w:abstractNum>
  <w:num w:numId="20">
    <w:abstractNumId w:val="19"/>
  </w:num>
  <w:abstractNum w:abstractNumId="20">
    <w:multiLevelType w:val="singleLevel"/>
    <w:lvl w:ilvl="0">
      <w:start w:val="1"/>
      <w:numFmt w:val="decimal"/>
      <w:lvlText w:val="%1."/>
      <w:lvlJc w:val="left"/>
      <w:pPr>
        <w:tabs>
          <w:tab w:val="num" w:pos="540"/>
        </w:tabs>
        <w:ind w:left="540" w:hanging="270"/>
      </w:p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530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684B7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84B7A"/>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530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d’emploi de l’application App’Ergo</dc:title>
  <dc:subject>Guide terrain pour les ergothérapeutes Aid’Habitat</dc:subject>
  <dc:creator>Aid’Habitat</dc:creator>
  <cp:keywords>App’Ergo, ergothérapie, visite à domicile, mode d’emploi</cp:keywords>
  <dc:description>generated by python-docx</dc:description>
  <cp:lastModifiedBy/>
  <cp:revision>1</cp:revision>
  <dcterms:created xsi:type="dcterms:W3CDTF">2013-12-23T23:15:00Z</dcterms:created>
  <dcterms:modified xsi:type="dcterms:W3CDTF">2013-12-23T23:15:00Z</dcterms:modified>
  <cp:category/>
</cp:coreProperties>
</file>