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F56DE" w:rsidRDefault="004F56DE">
      <w:pPr>
        <w:rPr>
          <w:sz w:val="28"/>
          <w:szCs w:val="28"/>
        </w:rPr>
      </w:pPr>
      <w:r>
        <w:rPr>
          <w:sz w:val="28"/>
          <w:szCs w:val="28"/>
        </w:rPr>
        <w:t>The purpose of the exercise is to find which game players made in game purchases and then further classify the buyers as either “</w:t>
      </w:r>
      <w:proofErr w:type="spellStart"/>
      <w:r>
        <w:rPr>
          <w:sz w:val="28"/>
          <w:szCs w:val="28"/>
        </w:rPr>
        <w:t>HighRollers</w:t>
      </w:r>
      <w:proofErr w:type="spellEnd"/>
      <w:r>
        <w:rPr>
          <w:sz w:val="28"/>
          <w:szCs w:val="28"/>
        </w:rPr>
        <w:t>” or “</w:t>
      </w:r>
      <w:proofErr w:type="spellStart"/>
      <w:r>
        <w:rPr>
          <w:sz w:val="28"/>
          <w:szCs w:val="28"/>
        </w:rPr>
        <w:t>PennyPinchers</w:t>
      </w:r>
      <w:proofErr w:type="spellEnd"/>
      <w:r>
        <w:rPr>
          <w:sz w:val="28"/>
          <w:szCs w:val="28"/>
        </w:rPr>
        <w:t xml:space="preserve">.”  </w:t>
      </w:r>
      <w:proofErr w:type="spellStart"/>
      <w:r>
        <w:rPr>
          <w:sz w:val="28"/>
          <w:szCs w:val="28"/>
        </w:rPr>
        <w:t>Highrollers</w:t>
      </w:r>
      <w:proofErr w:type="spellEnd"/>
      <w:r>
        <w:rPr>
          <w:sz w:val="28"/>
          <w:szCs w:val="28"/>
        </w:rPr>
        <w:t xml:space="preserve"> are defined as users spending more than $5.00 per purchase and </w:t>
      </w:r>
      <w:proofErr w:type="spellStart"/>
      <w:r>
        <w:rPr>
          <w:sz w:val="28"/>
          <w:szCs w:val="28"/>
        </w:rPr>
        <w:t>PennyPinchers</w:t>
      </w:r>
      <w:proofErr w:type="spellEnd"/>
      <w:r>
        <w:rPr>
          <w:sz w:val="28"/>
          <w:szCs w:val="28"/>
        </w:rPr>
        <w:t xml:space="preserve"> are defined as users spending less than $5.00 per purchase.  The main drawback of this exercise was that the data set was less than 5000 lines so the analysis could have easily been done in Excel with a pivot table.</w:t>
      </w:r>
    </w:p>
    <w:p w:rsidR="004F56DE" w:rsidRPr="004F56DE" w:rsidRDefault="004F56DE">
      <w:pPr>
        <w:rPr>
          <w:sz w:val="28"/>
          <w:szCs w:val="28"/>
        </w:rPr>
      </w:pPr>
    </w:p>
    <w:p w:rsidR="007703F1" w:rsidRDefault="0001744F">
      <w:r>
        <w:rPr>
          <w:b/>
          <w:sz w:val="28"/>
          <w:szCs w:val="28"/>
        </w:rPr>
        <w:t>Data Preparation</w:t>
      </w:r>
    </w:p>
    <w:p w:rsidR="007703F1" w:rsidRDefault="0001744F">
      <w:r>
        <w:t>Analysis of combined_data.csv</w:t>
      </w:r>
    </w:p>
    <w:p w:rsidR="007703F1" w:rsidRDefault="007703F1"/>
    <w:p w:rsidR="007703F1" w:rsidRDefault="0001744F">
      <w:r>
        <w:rPr>
          <w:u w:val="single"/>
        </w:rPr>
        <w:t>Sample Selection</w:t>
      </w:r>
    </w:p>
    <w:p w:rsidR="007703F1" w:rsidRDefault="007703F1"/>
    <w:tbl>
      <w:tblPr>
        <w:tblStyle w:val="a"/>
        <w:tblW w:w="7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65"/>
        <w:gridCol w:w="3330"/>
      </w:tblGrid>
      <w:tr w:rsidR="007703F1">
        <w:tc>
          <w:tcPr>
            <w:tcW w:w="4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3F1" w:rsidRDefault="0001744F">
            <w:pPr>
              <w:widowControl w:val="0"/>
              <w:spacing w:line="240" w:lineRule="auto"/>
            </w:pPr>
            <w:r>
              <w:rPr>
                <w:b/>
              </w:rPr>
              <w:t>Item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3F1" w:rsidRDefault="0001744F">
            <w:pPr>
              <w:widowControl w:val="0"/>
              <w:spacing w:line="240" w:lineRule="auto"/>
            </w:pPr>
            <w:r>
              <w:rPr>
                <w:b/>
              </w:rPr>
              <w:t>Amount</w:t>
            </w:r>
          </w:p>
        </w:tc>
      </w:tr>
      <w:tr w:rsidR="007703F1">
        <w:tc>
          <w:tcPr>
            <w:tcW w:w="4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3F1" w:rsidRDefault="0001744F">
            <w:pPr>
              <w:widowControl w:val="0"/>
              <w:spacing w:line="240" w:lineRule="auto"/>
            </w:pPr>
            <w:r>
              <w:t># of Samples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3F1" w:rsidRDefault="0001744F">
            <w:pPr>
              <w:widowControl w:val="0"/>
              <w:spacing w:line="240" w:lineRule="auto"/>
            </w:pPr>
            <w:r>
              <w:t>4619</w:t>
            </w:r>
          </w:p>
        </w:tc>
      </w:tr>
      <w:tr w:rsidR="007703F1">
        <w:trPr>
          <w:trHeight w:val="460"/>
        </w:trPr>
        <w:tc>
          <w:tcPr>
            <w:tcW w:w="4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3F1" w:rsidRDefault="0001744F">
            <w:pPr>
              <w:widowControl w:val="0"/>
              <w:spacing w:line="240" w:lineRule="auto"/>
            </w:pPr>
            <w:r>
              <w:t># of Samples with Purchases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3F1" w:rsidRDefault="0001744F">
            <w:pPr>
              <w:widowControl w:val="0"/>
              <w:spacing w:line="240" w:lineRule="auto"/>
            </w:pPr>
            <w:r>
              <w:t>1411</w:t>
            </w:r>
          </w:p>
        </w:tc>
      </w:tr>
    </w:tbl>
    <w:p w:rsidR="007703F1" w:rsidRDefault="007703F1"/>
    <w:p w:rsidR="007703F1" w:rsidRDefault="007703F1"/>
    <w:p w:rsidR="007703F1" w:rsidRDefault="0001744F">
      <w:r>
        <w:rPr>
          <w:u w:val="single"/>
        </w:rPr>
        <w:t>Attribute Creation</w:t>
      </w:r>
    </w:p>
    <w:p w:rsidR="007703F1" w:rsidRDefault="007703F1"/>
    <w:p w:rsidR="007703F1" w:rsidRDefault="0001744F">
      <w:r>
        <w:t>A new categorical attribute was created to enable analysis of players as broken into 2 categories (</w:t>
      </w:r>
      <w:proofErr w:type="spellStart"/>
      <w:r>
        <w:t>HighRollers</w:t>
      </w:r>
      <w:proofErr w:type="spellEnd"/>
      <w:r>
        <w:t xml:space="preserve"> and </w:t>
      </w:r>
      <w:proofErr w:type="spellStart"/>
      <w:r>
        <w:t>PennyPinchers</w:t>
      </w:r>
      <w:proofErr w:type="spellEnd"/>
      <w:r>
        <w:t>).  A screenshot of the attribute follows:</w:t>
      </w:r>
    </w:p>
    <w:p w:rsidR="007703F1" w:rsidRDefault="007703F1"/>
    <w:p w:rsidR="004F56DE" w:rsidRDefault="004F56DE">
      <w:pPr>
        <w:rPr>
          <w:noProof/>
        </w:rPr>
      </w:pPr>
    </w:p>
    <w:p w:rsidR="007703F1" w:rsidRDefault="0001744F">
      <w:r>
        <w:rPr>
          <w:noProof/>
        </w:rPr>
        <w:drawing>
          <wp:inline distT="0" distB="0" distL="0" distR="0" wp14:anchorId="6E6410A4" wp14:editId="1FA3AAFE">
            <wp:extent cx="3000375" cy="173609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49519"/>
                    <a:stretch/>
                  </pic:blipFill>
                  <pic:spPr bwMode="auto">
                    <a:xfrm>
                      <a:off x="0" y="0"/>
                      <a:ext cx="3000375" cy="1736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56DE" w:rsidRDefault="004F56DE"/>
    <w:p w:rsidR="004F56DE" w:rsidRDefault="004F56DE">
      <w:r>
        <w:t xml:space="preserve">Note:  A </w:t>
      </w:r>
      <w:r w:rsidRPr="004F56DE">
        <w:rPr>
          <w:b/>
        </w:rPr>
        <w:t>Rule Engine</w:t>
      </w:r>
      <w:r>
        <w:t xml:space="preserve"> node is not the only node that could be inserted after the </w:t>
      </w:r>
      <w:r w:rsidRPr="004F56DE">
        <w:rPr>
          <w:b/>
        </w:rPr>
        <w:t>Row Filter</w:t>
      </w:r>
      <w:r>
        <w:t xml:space="preserve"> node.  A </w:t>
      </w:r>
      <w:r w:rsidRPr="004F56DE">
        <w:rPr>
          <w:b/>
        </w:rPr>
        <w:t xml:space="preserve">Numerical </w:t>
      </w:r>
      <w:proofErr w:type="spellStart"/>
      <w:r w:rsidRPr="004F56DE">
        <w:rPr>
          <w:b/>
        </w:rPr>
        <w:t>Binner</w:t>
      </w:r>
      <w:proofErr w:type="spellEnd"/>
      <w:r>
        <w:t xml:space="preserve"> node could also have been used.</w:t>
      </w:r>
    </w:p>
    <w:p w:rsidR="007703F1" w:rsidRDefault="0001744F">
      <w:r>
        <w:t>Locate every user who made a purchase.  Based on the amount spent, assign users who made purchases a title of either “</w:t>
      </w:r>
      <w:proofErr w:type="spellStart"/>
      <w:r>
        <w:t>PennyPinchers</w:t>
      </w:r>
      <w:proofErr w:type="spellEnd"/>
      <w:r>
        <w:t>” or “</w:t>
      </w:r>
      <w:proofErr w:type="spellStart"/>
      <w:r>
        <w:t>HighRollers</w:t>
      </w:r>
      <w:proofErr w:type="spellEnd"/>
      <w:r>
        <w:t>.”</w:t>
      </w:r>
    </w:p>
    <w:p w:rsidR="007703F1" w:rsidRDefault="007703F1"/>
    <w:p w:rsidR="007703F1" w:rsidRDefault="0001744F">
      <w:r>
        <w:lastRenderedPageBreak/>
        <w:t xml:space="preserve">The creation of this new categorical attribute was necessary because the purpose of this exercise is to conduct analysis attributed to </w:t>
      </w:r>
      <w:proofErr w:type="spellStart"/>
      <w:r>
        <w:t>PennyPinchers</w:t>
      </w:r>
      <w:proofErr w:type="spellEnd"/>
      <w:r>
        <w:t xml:space="preserve"> and </w:t>
      </w:r>
      <w:proofErr w:type="spellStart"/>
      <w:r>
        <w:t>HighRollers</w:t>
      </w:r>
      <w:proofErr w:type="spellEnd"/>
      <w:r>
        <w:t>.</w:t>
      </w:r>
    </w:p>
    <w:p w:rsidR="007703F1" w:rsidRDefault="007703F1"/>
    <w:p w:rsidR="007703F1" w:rsidRDefault="0001744F">
      <w:r>
        <w:rPr>
          <w:u w:val="single"/>
        </w:rPr>
        <w:t>Attribute Selection</w:t>
      </w:r>
    </w:p>
    <w:p w:rsidR="007703F1" w:rsidRDefault="007703F1"/>
    <w:p w:rsidR="007703F1" w:rsidRDefault="0001744F">
      <w:r>
        <w:t>The following attributes were filtered from the dataset for the following reasons:</w:t>
      </w:r>
    </w:p>
    <w:p w:rsidR="007703F1" w:rsidRDefault="007703F1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0"/>
        <w:gridCol w:w="6600"/>
      </w:tblGrid>
      <w:tr w:rsidR="007703F1"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3F1" w:rsidRDefault="0001744F">
            <w:pPr>
              <w:widowControl w:val="0"/>
              <w:spacing w:line="240" w:lineRule="auto"/>
            </w:pPr>
            <w:r>
              <w:rPr>
                <w:b/>
              </w:rPr>
              <w:t>Attribute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3F1" w:rsidRDefault="0001744F">
            <w:pPr>
              <w:widowControl w:val="0"/>
              <w:spacing w:line="240" w:lineRule="auto"/>
            </w:pPr>
            <w:r>
              <w:rPr>
                <w:b/>
              </w:rPr>
              <w:t>Rationale for Filtering</w:t>
            </w:r>
          </w:p>
        </w:tc>
      </w:tr>
      <w:tr w:rsidR="007703F1"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3F1" w:rsidRDefault="0001744F">
            <w:pPr>
              <w:widowControl w:val="0"/>
              <w:spacing w:line="240" w:lineRule="auto"/>
            </w:pPr>
            <w:proofErr w:type="spellStart"/>
            <w:r>
              <w:t>userSessionId</w:t>
            </w:r>
            <w:proofErr w:type="spellEnd"/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03F1" w:rsidRDefault="0001744F">
            <w:pPr>
              <w:widowControl w:val="0"/>
              <w:spacing w:line="240" w:lineRule="auto"/>
            </w:pPr>
            <w:r>
              <w:t>Decided not relevant to analysis</w:t>
            </w:r>
          </w:p>
        </w:tc>
      </w:tr>
    </w:tbl>
    <w:p w:rsidR="007703F1" w:rsidRDefault="007703F1"/>
    <w:p w:rsidR="007703F1" w:rsidRDefault="007703F1"/>
    <w:p w:rsidR="004F56DE" w:rsidRDefault="004F56DE" w:rsidP="004F56DE">
      <w:r>
        <w:rPr>
          <w:b/>
          <w:sz w:val="28"/>
          <w:szCs w:val="28"/>
        </w:rPr>
        <w:t>Data Partitioning and Modeling</w:t>
      </w:r>
    </w:p>
    <w:p w:rsidR="004F56DE" w:rsidRDefault="004F56DE" w:rsidP="004F56DE"/>
    <w:p w:rsidR="004F56DE" w:rsidRDefault="004F56DE" w:rsidP="004F56DE">
      <w:r>
        <w:t>The data was partitioned into train and test datasets.</w:t>
      </w:r>
    </w:p>
    <w:p w:rsidR="004F56DE" w:rsidRDefault="004F56DE" w:rsidP="004F56DE">
      <w:r>
        <w:t>The Buyer Info data set was used to create the decision tree model.</w:t>
      </w:r>
    </w:p>
    <w:p w:rsidR="004F56DE" w:rsidRDefault="004F56DE" w:rsidP="004F56DE">
      <w:r>
        <w:t xml:space="preserve">The trained model was then applied to the Buyer Info dataset.  </w:t>
      </w:r>
    </w:p>
    <w:p w:rsidR="004F56DE" w:rsidRDefault="004F56DE" w:rsidP="004F56DE">
      <w:r>
        <w:t>This is important because the Buyer Info is the dataset where we are conducting the analysis.</w:t>
      </w:r>
    </w:p>
    <w:p w:rsidR="004F56DE" w:rsidRDefault="004F56DE" w:rsidP="004F56DE"/>
    <w:p w:rsidR="004F56DE" w:rsidRDefault="004F56DE" w:rsidP="004F56DE">
      <w:r>
        <w:t>When partitioning the data using sampling, it is important to set the random seed because you want to select random lines to reduce the chance the rows are related.</w:t>
      </w:r>
    </w:p>
    <w:p w:rsidR="004F56DE" w:rsidRDefault="004F56DE" w:rsidP="004F56DE"/>
    <w:p w:rsidR="004F56DE" w:rsidRDefault="004F56DE" w:rsidP="004F56DE">
      <w:r>
        <w:t>A screenshot of the resulting decision tree can be seen below:</w:t>
      </w:r>
    </w:p>
    <w:p w:rsidR="007703F1" w:rsidRDefault="004F56DE">
      <w:r>
        <w:rPr>
          <w:noProof/>
        </w:rPr>
        <w:drawing>
          <wp:inline distT="0" distB="0" distL="0" distR="0" wp14:anchorId="659971E3" wp14:editId="4AB2FE7C">
            <wp:extent cx="5943600" cy="21882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6DE" w:rsidRDefault="004F56DE"/>
    <w:p w:rsidR="004F56DE" w:rsidRDefault="004F56DE">
      <w:r>
        <w:t>The final KNIME model looks like:</w:t>
      </w:r>
    </w:p>
    <w:p w:rsidR="004F56DE" w:rsidRDefault="004F56DE">
      <w:r>
        <w:rPr>
          <w:noProof/>
        </w:rPr>
        <w:lastRenderedPageBreak/>
        <w:drawing>
          <wp:inline distT="0" distB="0" distL="0" distR="0" wp14:anchorId="5B77299C" wp14:editId="0808FF56">
            <wp:extent cx="5943600" cy="2212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6DE" w:rsidRDefault="004F56DE"/>
    <w:p w:rsidR="004F56DE" w:rsidRDefault="004F56DE" w:rsidP="004F56DE">
      <w:r>
        <w:rPr>
          <w:b/>
          <w:sz w:val="28"/>
          <w:szCs w:val="28"/>
        </w:rPr>
        <w:t xml:space="preserve">Evaluation </w:t>
      </w:r>
    </w:p>
    <w:p w:rsidR="004F56DE" w:rsidRDefault="004F56DE" w:rsidP="004F56DE">
      <w:r>
        <w:br/>
        <w:t>A screenshot of the confusion matrix can be seen below:</w:t>
      </w:r>
    </w:p>
    <w:p w:rsidR="004F56DE" w:rsidRDefault="004F56DE">
      <w:r>
        <w:rPr>
          <w:noProof/>
        </w:rPr>
        <w:drawing>
          <wp:inline distT="0" distB="0" distL="0" distR="0" wp14:anchorId="5305F8C6" wp14:editId="2725A9C2">
            <wp:extent cx="4791075" cy="3914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6DE" w:rsidRDefault="004F56DE" w:rsidP="004F56DE">
      <w:r>
        <w:t>As seen in the screenshot above, the overall accuracy of the model is 100%</w:t>
      </w:r>
    </w:p>
    <w:p w:rsidR="004F56DE" w:rsidRDefault="004F56DE" w:rsidP="004F56DE"/>
    <w:p w:rsidR="004F56DE" w:rsidRDefault="004F56DE" w:rsidP="004F56DE">
      <w:r>
        <w:t xml:space="preserve">The model identified 502 </w:t>
      </w:r>
      <w:proofErr w:type="spellStart"/>
      <w:r>
        <w:t>PennyPinchers</w:t>
      </w:r>
      <w:proofErr w:type="spellEnd"/>
      <w:r>
        <w:t>.</w:t>
      </w:r>
    </w:p>
    <w:p w:rsidR="004F56DE" w:rsidRDefault="004F56DE" w:rsidP="004F56DE">
      <w:r>
        <w:t xml:space="preserve">The model identified 345 </w:t>
      </w:r>
      <w:proofErr w:type="spellStart"/>
      <w:r>
        <w:t>HighRollers</w:t>
      </w:r>
      <w:proofErr w:type="spellEnd"/>
      <w:r>
        <w:t>.</w:t>
      </w:r>
    </w:p>
    <w:p w:rsidR="004F56DE" w:rsidRDefault="004F56DE" w:rsidP="004F56DE">
      <w:pPr>
        <w:jc w:val="both"/>
        <w:rPr>
          <w:b/>
          <w:sz w:val="28"/>
          <w:szCs w:val="28"/>
        </w:rPr>
      </w:pPr>
    </w:p>
    <w:p w:rsidR="004F56DE" w:rsidRDefault="004F56DE" w:rsidP="004F56DE">
      <w:pPr>
        <w:jc w:val="both"/>
        <w:rPr>
          <w:b/>
          <w:sz w:val="28"/>
          <w:szCs w:val="28"/>
        </w:rPr>
      </w:pPr>
    </w:p>
    <w:p w:rsidR="004F56DE" w:rsidRDefault="004F56DE" w:rsidP="004F56DE">
      <w:pPr>
        <w:jc w:val="both"/>
      </w:pPr>
      <w:r>
        <w:rPr>
          <w:b/>
          <w:sz w:val="28"/>
          <w:szCs w:val="28"/>
        </w:rPr>
        <w:lastRenderedPageBreak/>
        <w:t>Analysis Conclusions</w:t>
      </w:r>
    </w:p>
    <w:p w:rsidR="004F56DE" w:rsidRDefault="004F56DE" w:rsidP="004F56DE">
      <w:pPr>
        <w:jc w:val="both"/>
      </w:pPr>
    </w:p>
    <w:p w:rsidR="004F56DE" w:rsidRDefault="004F56DE" w:rsidP="004F56DE">
      <w:pPr>
        <w:jc w:val="both"/>
      </w:pPr>
      <w:r>
        <w:t xml:space="preserve">What makes a </w:t>
      </w:r>
      <w:proofErr w:type="spellStart"/>
      <w:r>
        <w:t>HighRoller</w:t>
      </w:r>
      <w:proofErr w:type="spellEnd"/>
      <w:r>
        <w:t xml:space="preserve"> vs. a </w:t>
      </w:r>
      <w:proofErr w:type="spellStart"/>
      <w:r>
        <w:t>PennyPincher</w:t>
      </w:r>
      <w:proofErr w:type="spellEnd"/>
      <w:r>
        <w:t xml:space="preserve">?  A </w:t>
      </w:r>
      <w:proofErr w:type="spellStart"/>
      <w:r>
        <w:t>HighRoller</w:t>
      </w:r>
      <w:proofErr w:type="spellEnd"/>
      <w:r>
        <w:t xml:space="preserve"> spends more than $5 per purchase averaging $10.25 per purchase.  A </w:t>
      </w:r>
      <w:proofErr w:type="spellStart"/>
      <w:r>
        <w:t>PennyPincher</w:t>
      </w:r>
      <w:proofErr w:type="spellEnd"/>
      <w:r>
        <w:t xml:space="preserve"> spends less than $5 per purchase averaging $1.97 per purchase.</w:t>
      </w:r>
    </w:p>
    <w:p w:rsidR="004F56DE" w:rsidRDefault="004F56DE" w:rsidP="004F56DE">
      <w:pPr>
        <w:jc w:val="both"/>
      </w:pPr>
    </w:p>
    <w:p w:rsidR="004F56DE" w:rsidRDefault="004F56DE" w:rsidP="004F56DE">
      <w:pPr>
        <w:jc w:val="both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F56DE" w:rsidTr="0077091D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6DE" w:rsidRDefault="004F56DE" w:rsidP="0077091D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Specific Recommendations to Increase Revenue</w:t>
            </w:r>
          </w:p>
        </w:tc>
      </w:tr>
      <w:tr w:rsidR="004F56DE" w:rsidTr="0077091D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6DE" w:rsidRDefault="004F56DE" w:rsidP="0077091D">
            <w:pPr>
              <w:widowControl w:val="0"/>
              <w:spacing w:line="240" w:lineRule="auto"/>
            </w:pPr>
            <w:r>
              <w:t>1. iPhone users spend the most followed by Mac users.  Increase marketing to Apple users.</w:t>
            </w:r>
            <w:r>
              <w:t xml:space="preserve">  Develop additional and more expensive in game purchases that can be made by Apple users.</w:t>
            </w:r>
            <w:bookmarkStart w:id="0" w:name="_GoBack"/>
            <w:bookmarkEnd w:id="0"/>
          </w:p>
        </w:tc>
      </w:tr>
      <w:tr w:rsidR="004F56DE" w:rsidTr="0077091D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6DE" w:rsidRDefault="004F56DE" w:rsidP="0077091D">
            <w:pPr>
              <w:widowControl w:val="0"/>
              <w:spacing w:line="240" w:lineRule="auto"/>
            </w:pPr>
            <w:r>
              <w:t>2. Linux and windows users spend the least amount of money.  Cease marketing on Linux and Windows platforms.</w:t>
            </w:r>
          </w:p>
        </w:tc>
      </w:tr>
    </w:tbl>
    <w:p w:rsidR="004F56DE" w:rsidRDefault="004F56DE"/>
    <w:sectPr w:rsidR="004F56D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3F1"/>
    <w:rsid w:val="0001744F"/>
    <w:rsid w:val="00170152"/>
    <w:rsid w:val="00201B56"/>
    <w:rsid w:val="004F56DE"/>
    <w:rsid w:val="007703F1"/>
    <w:rsid w:val="00EC1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5D874"/>
  <w15:docId w15:val="{9711BA9F-58B9-4C09-8AB6-305C54FA3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Jordan</dc:creator>
  <cp:lastModifiedBy>Jonathan Jordan</cp:lastModifiedBy>
  <cp:revision>2</cp:revision>
  <cp:lastPrinted>2016-08-02T14:01:00Z</cp:lastPrinted>
  <dcterms:created xsi:type="dcterms:W3CDTF">2016-08-02T14:45:00Z</dcterms:created>
  <dcterms:modified xsi:type="dcterms:W3CDTF">2016-08-02T14:45:00Z</dcterms:modified>
</cp:coreProperties>
</file>