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370.0" w:type="dxa"/>
        <w:jc w:val="left"/>
        <w:tblLayout w:type="fixed"/>
        <w:tblLook w:val="0600"/>
      </w:tblPr>
      <w:tblGrid>
        <w:gridCol w:w="1320"/>
        <w:gridCol w:w="2850"/>
        <w:gridCol w:w="10200"/>
        <w:tblGridChange w:id="0">
          <w:tblGrid>
            <w:gridCol w:w="1320"/>
            <w:gridCol w:w="2850"/>
            <w:gridCol w:w="102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  <w:p w:rsidR="00000000" w:rsidDel="00000000" w:rsidP="00000000" w:rsidRDefault="00000000" w:rsidRPr="00000000" w14:paraId="0000000F">
            <w:pPr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  <w:p w:rsidR="00000000" w:rsidDel="00000000" w:rsidP="00000000" w:rsidRDefault="00000000" w:rsidRPr="00000000" w14:paraId="00000010">
            <w:pPr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Rodriguez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del impacto de los riesgos.</w:t>
            </w:r>
          </w:p>
        </w:tc>
      </w:tr>
    </w:tbl>
    <w:p w:rsidR="00000000" w:rsidDel="00000000" w:rsidP="00000000" w:rsidRDefault="00000000" w:rsidRPr="00000000" w14:paraId="00000015">
      <w:pPr>
        <w:spacing w:after="28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35" w:tblpY="0"/>
        <w:tblW w:w="1468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365"/>
        <w:gridCol w:w="1395"/>
        <w:gridCol w:w="1350"/>
        <w:gridCol w:w="690"/>
        <w:gridCol w:w="675"/>
        <w:gridCol w:w="690"/>
        <w:gridCol w:w="765"/>
        <w:gridCol w:w="1290"/>
        <w:gridCol w:w="1470"/>
        <w:gridCol w:w="1185"/>
        <w:gridCol w:w="1050"/>
        <w:gridCol w:w="1725"/>
        <w:tblGridChange w:id="0">
          <w:tblGrid>
            <w:gridCol w:w="1035"/>
            <w:gridCol w:w="1365"/>
            <w:gridCol w:w="1395"/>
            <w:gridCol w:w="1350"/>
            <w:gridCol w:w="690"/>
            <w:gridCol w:w="675"/>
            <w:gridCol w:w="690"/>
            <w:gridCol w:w="765"/>
            <w:gridCol w:w="1290"/>
            <w:gridCol w:w="1470"/>
            <w:gridCol w:w="1185"/>
            <w:gridCol w:w="1050"/>
            <w:gridCol w:w="172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before="120" w:line="276" w:lineRule="auto"/>
              <w:ind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ind w:right="113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INTERESADO(FUENTE)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0">
            <w:pPr>
              <w:spacing w:after="2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8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24">
            <w:pPr>
              <w:spacing w:after="28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8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 (RESPUESTA)</w:t>
            </w:r>
          </w:p>
        </w:tc>
      </w:tr>
      <w:tr>
        <w:trPr>
          <w:cantSplit w:val="1"/>
          <w:trHeight w:val="1546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before="120" w:line="276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Operativos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recursos clave durante el desarrollo.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  <w:p w:rsidR="00000000" w:rsidDel="00000000" w:rsidP="00000000" w:rsidRDefault="00000000" w:rsidRPr="00000000" w14:paraId="0000003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Reasignar recursos o contratar temporalmente. </w:t>
            </w:r>
          </w:p>
          <w:p w:rsidR="00000000" w:rsidDel="00000000" w:rsidP="00000000" w:rsidRDefault="00000000" w:rsidRPr="00000000" w14:paraId="0000004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cada sprint.</w:t>
            </w:r>
          </w:p>
          <w:p w:rsidR="00000000" w:rsidDel="00000000" w:rsidP="00000000" w:rsidRDefault="00000000" w:rsidRPr="00000000" w14:paraId="0000004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Contactar con el Patrocinador.</w:t>
            </w:r>
          </w:p>
          <w:p w:rsidR="00000000" w:rsidDel="00000000" w:rsidP="00000000" w:rsidRDefault="00000000" w:rsidRPr="00000000" w14:paraId="0000004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Técnicos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Fallo del servidor principal que provoque una interrupción prolongada.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finales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servidores y enfocarse en el fallo para solucionarlo lo antes posible.</w:t>
            </w:r>
          </w:p>
        </w:tc>
      </w:tr>
      <w:tr>
        <w:trPr>
          <w:cantSplit w:val="0"/>
          <w:trHeight w:val="1081.562499999999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Vulnerabilidades en la protección de datos personales.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correcciones inmediatas y realizar auditoría.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Financieros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Sobrecostos imprevistos en la implementación de nuevas funcionalidades.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Reasignar presupuesto de otras áreas, evaluar impacto en tiempo.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satisfacción del usuario final debido a errores en la funcionalidad principal.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finales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adicionales, corregir errores rápidamente y mejorar la comunicación con los usuarios. Revisar durante el testing de cada sprint.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Operativos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productividad del equipo debido a conflictos internos o sobrecarga de trabajo.</w:t>
              <w:tab/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comunicación interna.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del alcance poco detallada o incompleta.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Reunirse con el patrocinador para comprobar que el alcance esté definido correctamente.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Operativos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director de proyecto no se comunica de manera eficaz con el patrocinador.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correctamente los temas a tratar antes de la reunión con el patrocinador.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Operativos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patrocinador tarda mucho en responder a los correos.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Acordar una reunión presencial para hablar con el patrocinador.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no conoce la tecnología que se va a usar.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Entrenamiento previo sobre la tecnología.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Operativos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 en el desarrollo del proyecto.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control de calidad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y usuarios finales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múltiples pruebas e informes para asegurar el correcto funcionamiento.</w:t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IzOzTTL5gVgMF7Xo650CQ4z//A==">CgMxLjA4AHIhMVZxb3BLeGpXejNmVkRGYnpGcnVJQkRucU9ibTVjbnhf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