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6A813ED5" w:rsidR="00765F3A" w:rsidRDefault="00765F3A" w:rsidP="00765F3A">
      <w:pPr>
        <w:tabs>
          <w:tab w:val="left" w:pos="7290"/>
        </w:tabs>
        <w:rPr>
          <w:i/>
          <w:iCs/>
        </w:rPr>
      </w:pPr>
      <w:r>
        <w:rPr>
          <w:b/>
          <w:bCs/>
        </w:rPr>
        <w:t xml:space="preserve">Study Sponsor:  </w:t>
      </w:r>
      <w:r w:rsidR="003269B4">
        <w:t>LTER</w:t>
      </w:r>
      <w:r w:rsidR="003269B4">
        <w:rPr>
          <w:b/>
          <w:bCs/>
        </w:rPr>
        <w:t xml:space="preserve"> or</w:t>
      </w:r>
      <w:r>
        <w:rPr>
          <w:b/>
          <w:bCs/>
        </w:rPr>
        <w:t xml:space="preserve"> </w:t>
      </w:r>
      <w:r>
        <w:t>USDA/ARS JER</w:t>
      </w:r>
      <w:r>
        <w:rPr>
          <w:i/>
          <w:iCs/>
        </w:rPr>
        <w:tab/>
      </w:r>
    </w:p>
    <w:p w14:paraId="3369D686" w14:textId="4F5B2317" w:rsidR="00765F3A" w:rsidRDefault="00765F3A" w:rsidP="00317FB5">
      <w:pPr>
        <w:tabs>
          <w:tab w:val="left" w:pos="1980"/>
          <w:tab w:val="left" w:pos="4590"/>
          <w:tab w:val="left" w:pos="7740"/>
        </w:tabs>
        <w:rPr>
          <w:b/>
          <w:bCs/>
        </w:rPr>
      </w:pPr>
      <w:r>
        <w:rPr>
          <w:b/>
          <w:bCs/>
        </w:rPr>
        <w:t>Final approval status:</w:t>
      </w:r>
      <w:r>
        <w:tab/>
        <w:t>approved / not approved</w:t>
      </w:r>
      <w:r>
        <w:tab/>
      </w:r>
      <w:r>
        <w:rPr>
          <w:b/>
          <w:bCs/>
        </w:rPr>
        <w:t>Final Approval Date</w:t>
      </w:r>
      <w:r>
        <w:t xml:space="preserve"> (mm/dd/</w:t>
      </w:r>
      <w:proofErr w:type="spellStart"/>
      <w:r>
        <w:t>yyyy</w:t>
      </w:r>
      <w:proofErr w:type="spellEnd"/>
      <w:r>
        <w:t>)</w:t>
      </w:r>
      <w:r>
        <w:rPr>
          <w:b/>
          <w:bCs/>
        </w:rPr>
        <w:t>:</w:t>
      </w:r>
      <w:r>
        <w:rPr>
          <w:b/>
          <w:bCs/>
        </w:rPr>
        <w:tab/>
      </w:r>
    </w:p>
    <w:p w14:paraId="7E578EB2" w14:textId="14FE1C0D" w:rsidR="00765F3A" w:rsidRPr="006A00E8" w:rsidRDefault="00765F3A" w:rsidP="00DD4997">
      <w:pPr>
        <w:tabs>
          <w:tab w:val="left" w:pos="3420"/>
          <w:tab w:val="left" w:pos="4590"/>
          <w:tab w:val="left" w:pos="7560"/>
        </w:tabs>
      </w:pPr>
      <w:r>
        <w:rPr>
          <w:b/>
          <w:bCs/>
        </w:rPr>
        <w:t xml:space="preserve">GPS mapping completed </w:t>
      </w:r>
      <w:r>
        <w:t>(mm/dd/</w:t>
      </w:r>
      <w:proofErr w:type="spellStart"/>
      <w:r>
        <w:t>yy</w:t>
      </w:r>
      <w:r w:rsidR="00317FB5">
        <w:t>yy</w:t>
      </w:r>
      <w:proofErr w:type="spellEnd"/>
      <w:r>
        <w:t>):</w:t>
      </w:r>
      <w:r w:rsidR="00317FB5">
        <w:tab/>
      </w:r>
      <w:r>
        <w:tab/>
      </w:r>
      <w:r>
        <w:rPr>
          <w:b/>
          <w:bCs/>
        </w:rPr>
        <w:t>Person completing GPS mapping:</w:t>
      </w:r>
      <w:r w:rsidR="00DD4997">
        <w:rPr>
          <w:b/>
          <w:bCs/>
        </w:rPr>
        <w:tab/>
      </w:r>
      <w:r>
        <w:rPr>
          <w:b/>
          <w:bCs/>
        </w:rPr>
        <w:tab/>
      </w:r>
    </w:p>
    <w:p w14:paraId="45DDB0BE" w14:textId="57A8A6D1" w:rsidR="00142342" w:rsidRDefault="00142342" w:rsidP="00306621">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w:t>
      </w:r>
      <w:r w:rsidR="00DF6019" w:rsidRPr="004F7DCA">
        <w:rPr>
          <w:sz w:val="16"/>
          <w:szCs w:val="16"/>
        </w:rPr>
        <w:t>approved,</w:t>
      </w:r>
      <w:r w:rsidRPr="004F7DCA">
        <w:rPr>
          <w:sz w:val="16"/>
          <w:szCs w:val="16"/>
        </w:rPr>
        <w:t xml:space="preserve"> </w:t>
      </w:r>
      <w:r w:rsidRPr="004F7DCA">
        <w:rPr>
          <w:b/>
          <w:bCs/>
          <w:sz w:val="16"/>
          <w:szCs w:val="16"/>
        </w:rPr>
        <w:t>N</w:t>
      </w:r>
      <w:r w:rsidRPr="004F7DCA">
        <w:rPr>
          <w:sz w:val="16"/>
          <w:szCs w:val="16"/>
        </w:rPr>
        <w:t>=</w:t>
      </w:r>
      <w:r w:rsidR="00306621">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34F9639" w:rsidR="000A67BF" w:rsidRDefault="00A22F95" w:rsidP="00A22F95">
      <w:pPr>
        <w:ind w:left="360" w:hanging="360"/>
      </w:pPr>
      <w:r w:rsidRPr="00A22F95">
        <w:rPr>
          <w:b/>
          <w:bCs/>
        </w:rPr>
        <w:t>1.</w:t>
      </w:r>
      <w:r>
        <w:rPr>
          <w:b/>
          <w:bCs/>
        </w:rPr>
        <w:t xml:space="preserve"> </w:t>
      </w:r>
      <w:r w:rsidR="000A67BF" w:rsidRPr="00A22F95">
        <w:rPr>
          <w:b/>
          <w:bCs/>
        </w:rPr>
        <w:t>Title of proposed study:</w:t>
      </w:r>
      <w:r w:rsidR="000A67BF">
        <w:t xml:space="preserve">  </w:t>
      </w:r>
    </w:p>
    <w:p w14:paraId="046DDCA9" w14:textId="30A9BEA7" w:rsidR="00A22F95" w:rsidRPr="00A22F95" w:rsidRDefault="00A22F95" w:rsidP="00A22F95">
      <w:pPr>
        <w:ind w:left="360" w:hanging="360"/>
        <w:rPr>
          <w:b/>
          <w:bCs/>
        </w:rPr>
      </w:pPr>
      <w:r>
        <w:tab/>
      </w:r>
      <w:r w:rsidRPr="00A22F95">
        <w:rPr>
          <w:b/>
          <w:bCs/>
        </w:rPr>
        <w:t>Short title:</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1592B5B2" w14:textId="385139B8" w:rsidR="009C4CF4" w:rsidRPr="009C4CF4" w:rsidRDefault="009C4CF4" w:rsidP="00E91C5F">
      <w:pPr>
        <w:ind w:left="270"/>
        <w:rPr>
          <w:bCs/>
          <w:iCs/>
        </w:rPr>
      </w:pPr>
    </w:p>
    <w:p w14:paraId="20874DF4" w14:textId="3C183CA0" w:rsidR="000A67BF" w:rsidRPr="009C4CF4" w:rsidRDefault="009C4CF4" w:rsidP="009C4CF4">
      <w:pPr>
        <w:ind w:left="270"/>
        <w:rPr>
          <w:bCs/>
          <w:iCs/>
        </w:rPr>
      </w:pPr>
      <w:r w:rsidRPr="009C4CF4">
        <w:rPr>
          <w:bCs/>
          <w:iCs/>
        </w:rPr>
        <w:t>List chemicals:</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9C4CF4">
      <w:pPr>
        <w:pStyle w:val="BodyText"/>
        <w:ind w:firstLine="720"/>
      </w:pPr>
      <w:r>
        <w:rPr>
          <w:b/>
          <w:bCs/>
        </w:rPr>
        <w:t>If Yes,</w:t>
      </w:r>
      <w:r>
        <w:t xml:space="preserve"> what is the status of application?</w:t>
      </w: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 xml:space="preserve">What is the design of your study?  Transect ___ Grid ___ </w:t>
      </w:r>
      <w:proofErr w:type="gramStart"/>
      <w:r>
        <w:rPr>
          <w:b/>
          <w:bCs/>
        </w:rPr>
        <w:t>Point  _</w:t>
      </w:r>
      <w:proofErr w:type="gramEnd"/>
      <w:r>
        <w:rPr>
          <w:b/>
          <w:bCs/>
        </w:rPr>
        <w:t>__ Other _________________________</w:t>
      </w:r>
    </w:p>
    <w:p w14:paraId="0B948284" w14:textId="77777777" w:rsidR="000A67BF" w:rsidRDefault="000A67BF">
      <w:pPr>
        <w:rPr>
          <w:b/>
          <w:bCs/>
        </w:rPr>
      </w:pPr>
      <w:r>
        <w:rPr>
          <w:b/>
          <w:bCs/>
        </w:rPr>
        <w:t>20.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467E88A1" w:rsidR="000A67BF" w:rsidRDefault="005044D4" w:rsidP="003210AD">
      <w:pPr>
        <w:pStyle w:val="Footer"/>
        <w:tabs>
          <w:tab w:val="clear" w:pos="4320"/>
          <w:tab w:val="clear" w:pos="8640"/>
          <w:tab w:val="left" w:pos="2250"/>
          <w:tab w:val="left" w:pos="5940"/>
          <w:tab w:val="left" w:pos="8190"/>
        </w:tabs>
      </w:pPr>
      <w:r>
        <w:t>Brandon Bestelmeyer</w:t>
      </w:r>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rsidP="003210AD">
      <w:pPr>
        <w:pStyle w:val="Footer"/>
        <w:tabs>
          <w:tab w:val="clear" w:pos="4320"/>
          <w:tab w:val="clear" w:pos="8640"/>
          <w:tab w:val="left" w:pos="2250"/>
          <w:tab w:val="left" w:pos="5940"/>
          <w:tab w:val="left" w:pos="8190"/>
        </w:tabs>
      </w:pPr>
      <w:r>
        <w:lastRenderedPageBreak/>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14AC36F3" w14:textId="77777777" w:rsidR="005C48D5" w:rsidRDefault="005C48D5">
      <w:pPr>
        <w:rPr>
          <w:b/>
          <w:bCs/>
        </w:rPr>
      </w:pPr>
    </w:p>
    <w:p w14:paraId="1F7F4AB4" w14:textId="4CB09ABF" w:rsidR="005C48D5" w:rsidRDefault="005C48D5" w:rsidP="005C48D5">
      <w:pPr>
        <w:rPr>
          <w:b/>
          <w:bCs/>
        </w:rPr>
      </w:pPr>
      <w:r>
        <w:rPr>
          <w:b/>
          <w:bCs/>
        </w:rPr>
        <w:t>21. Have principal investigator(s) read and understood policies for conducting research on JER and CDRRC (Attachment 1)?</w:t>
      </w:r>
    </w:p>
    <w:p w14:paraId="1758710D" w14:textId="11B91C4F" w:rsidR="005C48D5" w:rsidRDefault="005C48D5">
      <w:pPr>
        <w:rPr>
          <w:b/>
          <w:bCs/>
        </w:rPr>
      </w:pPr>
    </w:p>
    <w:p w14:paraId="057FAC4A" w14:textId="1A9A55C0" w:rsidR="005C48D5" w:rsidRDefault="005C48D5" w:rsidP="005C48D5">
      <w:pPr>
        <w:pStyle w:val="BodyText"/>
        <w:rPr>
          <w:b/>
          <w:bCs/>
        </w:rPr>
      </w:pPr>
      <w:r>
        <w:rPr>
          <w:bCs/>
        </w:rPr>
        <w:t>Mark one: Yes    No</w:t>
      </w:r>
      <w:r w:rsidDel="00A33372">
        <w:rPr>
          <w:b/>
          <w:bCs/>
        </w:rPr>
        <w:t xml:space="preserve"> </w:t>
      </w:r>
    </w:p>
    <w:p w14:paraId="32AA5761" w14:textId="77777777" w:rsidR="000A75D6" w:rsidRDefault="000A75D6" w:rsidP="005C48D5">
      <w:pPr>
        <w:pStyle w:val="BodyText"/>
        <w:rPr>
          <w:b/>
          <w:bCs/>
        </w:rPr>
      </w:pPr>
    </w:p>
    <w:p w14:paraId="5574036E" w14:textId="44BB3835" w:rsidR="0035317A" w:rsidRDefault="0035317A" w:rsidP="0035317A">
      <w:pPr>
        <w:rPr>
          <w:b/>
          <w:bCs/>
        </w:rPr>
      </w:pPr>
      <w:r>
        <w:rPr>
          <w:b/>
          <w:bCs/>
        </w:rPr>
        <w:t>2</w:t>
      </w:r>
      <w:r>
        <w:rPr>
          <w:b/>
          <w:bCs/>
        </w:rPr>
        <w:t>2</w:t>
      </w:r>
      <w:r>
        <w:rPr>
          <w:b/>
          <w:bCs/>
        </w:rPr>
        <w:t xml:space="preserve">. </w:t>
      </w:r>
      <w:r>
        <w:rPr>
          <w:b/>
          <w:bCs/>
        </w:rPr>
        <w:t xml:space="preserve">Do </w:t>
      </w:r>
      <w:r>
        <w:rPr>
          <w:b/>
          <w:bCs/>
        </w:rPr>
        <w:t xml:space="preserve">principal investigator(s) </w:t>
      </w:r>
      <w:r>
        <w:rPr>
          <w:b/>
          <w:bCs/>
        </w:rPr>
        <w:t xml:space="preserve">have a current JER </w:t>
      </w:r>
      <w:r w:rsidR="00F57A28">
        <w:rPr>
          <w:b/>
          <w:bCs/>
        </w:rPr>
        <w:t xml:space="preserve">federal </w:t>
      </w:r>
      <w:r>
        <w:rPr>
          <w:b/>
          <w:bCs/>
        </w:rPr>
        <w:t xml:space="preserve">permit on file with </w:t>
      </w:r>
      <w:r w:rsidR="009443B9">
        <w:rPr>
          <w:b/>
          <w:bCs/>
        </w:rPr>
        <w:t xml:space="preserve">USDA-ARS </w:t>
      </w:r>
      <w:r>
        <w:rPr>
          <w:b/>
          <w:bCs/>
        </w:rPr>
        <w:t xml:space="preserve">JER? </w:t>
      </w:r>
      <w:r w:rsidR="009443B9">
        <w:rPr>
          <w:b/>
          <w:bCs/>
        </w:rPr>
        <w:t>If not, c</w:t>
      </w:r>
      <w:r>
        <w:rPr>
          <w:b/>
          <w:bCs/>
        </w:rPr>
        <w:t>ontact Nicki</w:t>
      </w:r>
      <w:r>
        <w:rPr>
          <w:b/>
          <w:bCs/>
        </w:rPr>
        <w:t xml:space="preserve"> </w:t>
      </w:r>
      <w:r>
        <w:rPr>
          <w:b/>
          <w:bCs/>
        </w:rPr>
        <w:t>Daniels</w:t>
      </w:r>
      <w:r w:rsidR="009443B9">
        <w:rPr>
          <w:b/>
          <w:bCs/>
        </w:rPr>
        <w:t xml:space="preserve"> at</w:t>
      </w:r>
      <w:r>
        <w:rPr>
          <w:b/>
          <w:bCs/>
        </w:rPr>
        <w:t xml:space="preserve"> </w:t>
      </w:r>
      <w:hyperlink r:id="rId9" w:history="1">
        <w:r w:rsidRPr="00A17CBF">
          <w:rPr>
            <w:rStyle w:val="Hyperlink"/>
            <w:b/>
            <w:bCs/>
          </w:rPr>
          <w:t>Nicole.Daniels@usda.gov</w:t>
        </w:r>
      </w:hyperlink>
      <w:r w:rsidR="009443B9">
        <w:rPr>
          <w:b/>
          <w:bCs/>
        </w:rPr>
        <w:t>.</w:t>
      </w:r>
      <w:r w:rsidR="00867E47">
        <w:rPr>
          <w:b/>
          <w:bCs/>
        </w:rPr>
        <w:t xml:space="preserve"> </w:t>
      </w:r>
      <w:r w:rsidR="009443B9">
        <w:rPr>
          <w:b/>
          <w:bCs/>
        </w:rPr>
        <w:t xml:space="preserve">The JER federal permit </w:t>
      </w:r>
      <w:r w:rsidR="00867E47">
        <w:rPr>
          <w:b/>
          <w:bCs/>
        </w:rPr>
        <w:t>is separate from this research authorization form.</w:t>
      </w:r>
    </w:p>
    <w:p w14:paraId="5EB4860D" w14:textId="77777777" w:rsidR="0035317A" w:rsidRDefault="0035317A" w:rsidP="0035317A">
      <w:pPr>
        <w:rPr>
          <w:b/>
          <w:bCs/>
        </w:rPr>
      </w:pPr>
    </w:p>
    <w:p w14:paraId="4E877A90" w14:textId="6ACF0B31" w:rsidR="0035317A" w:rsidRDefault="0035317A" w:rsidP="0035317A">
      <w:pPr>
        <w:pStyle w:val="BodyText"/>
        <w:rPr>
          <w:b/>
          <w:bCs/>
        </w:rPr>
      </w:pPr>
      <w:r>
        <w:rPr>
          <w:bCs/>
        </w:rPr>
        <w:t>Mark one: Yes    No</w:t>
      </w:r>
      <w:r>
        <w:rPr>
          <w:bCs/>
        </w:rPr>
        <w:t xml:space="preserve">    Not applicable (research not on JER)</w:t>
      </w:r>
      <w:r w:rsidDel="00A33372">
        <w:rPr>
          <w:b/>
          <w:bCs/>
        </w:rPr>
        <w:t xml:space="preserve"> </w:t>
      </w:r>
    </w:p>
    <w:p w14:paraId="55E92767" w14:textId="77777777" w:rsidR="005C48D5" w:rsidRDefault="005C48D5">
      <w:pPr>
        <w:rPr>
          <w:b/>
          <w:bCs/>
        </w:rPr>
      </w:pPr>
    </w:p>
    <w:p w14:paraId="00C80EDB" w14:textId="77777777" w:rsidR="005C48D5" w:rsidRDefault="005C48D5">
      <w:pPr>
        <w:rPr>
          <w:b/>
          <w:bCs/>
        </w:rPr>
      </w:pPr>
    </w:p>
    <w:p w14:paraId="41B7D2BE" w14:textId="67A242E2" w:rsidR="000A67BF" w:rsidRDefault="005C48D5">
      <w:pPr>
        <w:rPr>
          <w:b/>
          <w:bCs/>
        </w:rPr>
      </w:pPr>
      <w:r>
        <w:rPr>
          <w:b/>
          <w:bCs/>
        </w:rPr>
        <w:t>2</w:t>
      </w:r>
      <w:r w:rsidR="0035317A">
        <w:rPr>
          <w:b/>
          <w:bCs/>
        </w:rPr>
        <w:t>3</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10" w:history="1">
        <w:r w:rsidR="003F142C" w:rsidRPr="003171E8">
          <w:rPr>
            <w:rStyle w:val="Hyperlink"/>
          </w:rPr>
          <w:t>janderso@nmsu.edu</w:t>
        </w:r>
      </w:hyperlink>
      <w:r w:rsidR="003F142C">
        <w:t>)</w:t>
      </w:r>
      <w:r w:rsidR="0009514B">
        <w:t>,</w:t>
      </w:r>
      <w:r w:rsidR="003F142C">
        <w:t xml:space="preserve"> or the LTER Information Manager (</w:t>
      </w:r>
      <w:hyperlink r:id="rId11"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2"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3" w:history="1">
        <w:r w:rsidR="00F301F2" w:rsidRPr="003171E8">
          <w:rPr>
            <w:rStyle w:val="Hyperlink"/>
          </w:rPr>
          <w:t>https://ltar.ars.usda.gov/data-policy/</w:t>
        </w:r>
      </w:hyperlink>
      <w:r w:rsidR="00F301F2">
        <w:t>) and LTER Network (</w:t>
      </w:r>
      <w:hyperlink r:id="rId14"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5"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6" w:history="1">
        <w:r w:rsidR="005F6FE5">
          <w:rPr>
            <w:rStyle w:val="Hyperlink"/>
          </w:rPr>
          <w:t>https://www.usda.gov/sites/default/files/documents/usda-anti-harassment-policy.pdf</w:t>
        </w:r>
      </w:hyperlink>
      <w:r w:rsidR="005F6FE5">
        <w:t xml:space="preserve">; </w:t>
      </w:r>
      <w:hyperlink r:id="rId17"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kg/ha/yr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Benomyl may enter the atmosphere in the vapor phase or sorbed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8"/>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25128" w14:textId="77777777" w:rsidR="00F77E58" w:rsidRDefault="00F77E58">
      <w:r>
        <w:separator/>
      </w:r>
    </w:p>
  </w:endnote>
  <w:endnote w:type="continuationSeparator" w:id="0">
    <w:p w14:paraId="0FCA31DE" w14:textId="77777777" w:rsidR="00F77E58" w:rsidRDefault="00F7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1A7" w14:textId="08EE4A60"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20201013</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EB8F" w14:textId="77777777" w:rsidR="00F77E58" w:rsidRDefault="00F77E58">
      <w:r>
        <w:separator/>
      </w:r>
    </w:p>
  </w:footnote>
  <w:footnote w:type="continuationSeparator" w:id="0">
    <w:p w14:paraId="2BECC89B" w14:textId="77777777" w:rsidR="00F77E58" w:rsidRDefault="00F77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080A05BD"/>
    <w:multiLevelType w:val="hybridMultilevel"/>
    <w:tmpl w:val="DC3C9B28"/>
    <w:lvl w:ilvl="0" w:tplc="4408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5047">
    <w:abstractNumId w:val="0"/>
  </w:num>
  <w:num w:numId="2" w16cid:durableId="14636443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16cid:durableId="368847148">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16cid:durableId="2008555084">
    <w:abstractNumId w:val="2"/>
  </w:num>
  <w:num w:numId="5" w16cid:durableId="120829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0FE"/>
    <w:rsid w:val="000A67BF"/>
    <w:rsid w:val="000A75D6"/>
    <w:rsid w:val="000B48A8"/>
    <w:rsid w:val="000B711E"/>
    <w:rsid w:val="000D384A"/>
    <w:rsid w:val="000D7E64"/>
    <w:rsid w:val="000E6709"/>
    <w:rsid w:val="000E7AD2"/>
    <w:rsid w:val="000F3F17"/>
    <w:rsid w:val="0011240E"/>
    <w:rsid w:val="00127BEB"/>
    <w:rsid w:val="001339FF"/>
    <w:rsid w:val="00142342"/>
    <w:rsid w:val="00152A18"/>
    <w:rsid w:val="00163BAB"/>
    <w:rsid w:val="0018434A"/>
    <w:rsid w:val="001B4026"/>
    <w:rsid w:val="001B6C7B"/>
    <w:rsid w:val="001C0C2D"/>
    <w:rsid w:val="001F6193"/>
    <w:rsid w:val="001F7384"/>
    <w:rsid w:val="00226981"/>
    <w:rsid w:val="00236B69"/>
    <w:rsid w:val="0027603A"/>
    <w:rsid w:val="002C0634"/>
    <w:rsid w:val="002D3825"/>
    <w:rsid w:val="002D5248"/>
    <w:rsid w:val="002D7D29"/>
    <w:rsid w:val="002F0E34"/>
    <w:rsid w:val="00302E6B"/>
    <w:rsid w:val="003059A3"/>
    <w:rsid w:val="00306621"/>
    <w:rsid w:val="00314AFB"/>
    <w:rsid w:val="00317FB5"/>
    <w:rsid w:val="003210AD"/>
    <w:rsid w:val="0032228F"/>
    <w:rsid w:val="0032581B"/>
    <w:rsid w:val="003260DA"/>
    <w:rsid w:val="003269B4"/>
    <w:rsid w:val="0035317A"/>
    <w:rsid w:val="003A781A"/>
    <w:rsid w:val="003B77D4"/>
    <w:rsid w:val="003C3322"/>
    <w:rsid w:val="003D60C4"/>
    <w:rsid w:val="003D72E9"/>
    <w:rsid w:val="003F142C"/>
    <w:rsid w:val="00405239"/>
    <w:rsid w:val="00413815"/>
    <w:rsid w:val="004151A6"/>
    <w:rsid w:val="00434C7E"/>
    <w:rsid w:val="0043667C"/>
    <w:rsid w:val="00443DE4"/>
    <w:rsid w:val="00450FA0"/>
    <w:rsid w:val="00480E5D"/>
    <w:rsid w:val="00497575"/>
    <w:rsid w:val="004C0F41"/>
    <w:rsid w:val="004D5D5B"/>
    <w:rsid w:val="004E23C2"/>
    <w:rsid w:val="004F3AE3"/>
    <w:rsid w:val="005044D4"/>
    <w:rsid w:val="00507BF2"/>
    <w:rsid w:val="00521D14"/>
    <w:rsid w:val="00557CE1"/>
    <w:rsid w:val="00592EE7"/>
    <w:rsid w:val="00593F49"/>
    <w:rsid w:val="00597B7E"/>
    <w:rsid w:val="005B3A42"/>
    <w:rsid w:val="005C48D5"/>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71CE7"/>
    <w:rsid w:val="00781918"/>
    <w:rsid w:val="007924EC"/>
    <w:rsid w:val="00797E69"/>
    <w:rsid w:val="007E3C43"/>
    <w:rsid w:val="008325C6"/>
    <w:rsid w:val="00865199"/>
    <w:rsid w:val="00865A5C"/>
    <w:rsid w:val="00867E47"/>
    <w:rsid w:val="008C0513"/>
    <w:rsid w:val="008D33C7"/>
    <w:rsid w:val="008F4466"/>
    <w:rsid w:val="00902951"/>
    <w:rsid w:val="00910934"/>
    <w:rsid w:val="0092379E"/>
    <w:rsid w:val="00926E56"/>
    <w:rsid w:val="009443B9"/>
    <w:rsid w:val="00947211"/>
    <w:rsid w:val="009705EF"/>
    <w:rsid w:val="009749BB"/>
    <w:rsid w:val="00992E65"/>
    <w:rsid w:val="00996807"/>
    <w:rsid w:val="009A0C57"/>
    <w:rsid w:val="009B434B"/>
    <w:rsid w:val="009C14E3"/>
    <w:rsid w:val="009C4CF4"/>
    <w:rsid w:val="00A01530"/>
    <w:rsid w:val="00A221CE"/>
    <w:rsid w:val="00A22F95"/>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3EC0"/>
    <w:rsid w:val="00B94747"/>
    <w:rsid w:val="00BA670B"/>
    <w:rsid w:val="00BD488A"/>
    <w:rsid w:val="00BF0922"/>
    <w:rsid w:val="00C410EE"/>
    <w:rsid w:val="00C53E10"/>
    <w:rsid w:val="00C937F3"/>
    <w:rsid w:val="00C966B2"/>
    <w:rsid w:val="00C96800"/>
    <w:rsid w:val="00C971E5"/>
    <w:rsid w:val="00CB7821"/>
    <w:rsid w:val="00CD5B30"/>
    <w:rsid w:val="00CF5E1E"/>
    <w:rsid w:val="00D15847"/>
    <w:rsid w:val="00D363AF"/>
    <w:rsid w:val="00D44976"/>
    <w:rsid w:val="00D51D50"/>
    <w:rsid w:val="00D52D41"/>
    <w:rsid w:val="00D60E38"/>
    <w:rsid w:val="00D94C7C"/>
    <w:rsid w:val="00DA4901"/>
    <w:rsid w:val="00DA53AF"/>
    <w:rsid w:val="00DA61D5"/>
    <w:rsid w:val="00DC2A7C"/>
    <w:rsid w:val="00DD4997"/>
    <w:rsid w:val="00DF6019"/>
    <w:rsid w:val="00E2450B"/>
    <w:rsid w:val="00E56EA6"/>
    <w:rsid w:val="00E61932"/>
    <w:rsid w:val="00E9120E"/>
    <w:rsid w:val="00E91C5F"/>
    <w:rsid w:val="00E945F0"/>
    <w:rsid w:val="00EA37ED"/>
    <w:rsid w:val="00EB70FB"/>
    <w:rsid w:val="00EC5209"/>
    <w:rsid w:val="00EE2124"/>
    <w:rsid w:val="00EE64FB"/>
    <w:rsid w:val="00F1001D"/>
    <w:rsid w:val="00F15363"/>
    <w:rsid w:val="00F301F2"/>
    <w:rsid w:val="00F43ECE"/>
    <w:rsid w:val="00F57A28"/>
    <w:rsid w:val="00F77DFE"/>
    <w:rsid w:val="00F77E58"/>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3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ar.ars.usda.gov/data-polic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mailto:janderso@nmsu.edu" TargetMode="External"/><Relationship Id="rId17" Type="http://schemas.openxmlformats.org/officeDocument/2006/relationships/hyperlink" Target="https://www.ocio.usda.gov/document/departmental-regulation-4070-735-001" TargetMode="External"/><Relationship Id="rId2" Type="http://schemas.openxmlformats.org/officeDocument/2006/relationships/styles" Target="styles.xml"/><Relationship Id="rId16" Type="http://schemas.openxmlformats.org/officeDocument/2006/relationships/hyperlink" Target="https://www.usda.gov/sites/default/files/documents/usda-anti-harassment-policy.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manager.jrn.lter@gmail.com" TargetMode="External"/><Relationship Id="rId5" Type="http://schemas.openxmlformats.org/officeDocument/2006/relationships/footnotes" Target="footnotes.xml"/><Relationship Id="rId15" Type="http://schemas.openxmlformats.org/officeDocument/2006/relationships/hyperlink" Target="mailto:datamanager.jrn.lter@gmail.co" TargetMode="External"/><Relationship Id="rId10" Type="http://schemas.openxmlformats.org/officeDocument/2006/relationships/hyperlink" Target="mailto:janderso@nm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cole.Daniels@usda.gov" TargetMode="External"/><Relationship Id="rId14" Type="http://schemas.openxmlformats.org/officeDocument/2006/relationships/hyperlink" Target="https://lternet.edu/data-acces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17</cp:revision>
  <cp:lastPrinted>2014-08-20T19:59:00Z</cp:lastPrinted>
  <dcterms:created xsi:type="dcterms:W3CDTF">2020-05-28T15:05:00Z</dcterms:created>
  <dcterms:modified xsi:type="dcterms:W3CDTF">2024-08-14T23:47:00Z</dcterms:modified>
</cp:coreProperties>
</file>