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4B1F4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1. Въведение в програмирането</w:t>
      </w:r>
    </w:p>
    <w:p w14:paraId="3033AC6E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0" w:name="_Toc298863812"/>
      <w:bookmarkEnd w:id="0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2. Примитивни типове и променливи</w:t>
      </w:r>
    </w:p>
    <w:p w14:paraId="76DC3B4C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" w:name="_Toc298863813"/>
      <w:bookmarkEnd w:id="1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3. Оператори и изрази</w:t>
      </w:r>
    </w:p>
    <w:p w14:paraId="46E8E639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2" w:name="_Toc298863814"/>
      <w:bookmarkEnd w:id="2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4. Вход и изход от конзолата</w:t>
      </w:r>
    </w:p>
    <w:p w14:paraId="5494974E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3" w:name="_Toc298863815"/>
      <w:bookmarkEnd w:id="3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5. Условни конструкции</w:t>
      </w:r>
    </w:p>
    <w:p w14:paraId="3CB1B053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4" w:name="_Toc298863816"/>
      <w:bookmarkEnd w:id="4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6. Цикли</w:t>
      </w:r>
    </w:p>
    <w:p w14:paraId="5E3250CE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5" w:name="_Toc298863817"/>
      <w:bookmarkEnd w:id="5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7. Масиви</w:t>
      </w:r>
    </w:p>
    <w:p w14:paraId="3173442C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6" w:name="_Toc298863818"/>
      <w:bookmarkEnd w:id="6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8. Бройни системи</w:t>
      </w:r>
    </w:p>
    <w:p w14:paraId="20C7B9C3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7" w:name="_Toc298863819"/>
      <w:bookmarkEnd w:id="7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9. Методи</w:t>
      </w:r>
    </w:p>
    <w:p w14:paraId="39C81769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8" w:name="_Toc298863820"/>
      <w:bookmarkEnd w:id="8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10. Рекурсия</w:t>
      </w:r>
    </w:p>
    <w:p w14:paraId="7EC59A5F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9" w:name="_Toc298863821"/>
      <w:bookmarkEnd w:id="9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11. Създаване и използване на обекти</w:t>
      </w:r>
    </w:p>
    <w:p w14:paraId="2B0BE66F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0" w:name="_Toc298863822"/>
      <w:bookmarkEnd w:id="10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12. Обработка на изключения</w:t>
      </w:r>
    </w:p>
    <w:p w14:paraId="30D12954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1" w:name="_Toc298863823"/>
      <w:bookmarkEnd w:id="11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13. Символни низове</w:t>
      </w:r>
    </w:p>
    <w:p w14:paraId="5CE55C86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2" w:name="_Toc298863824"/>
      <w:bookmarkEnd w:id="12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14. Дефиниране на класове</w:t>
      </w:r>
    </w:p>
    <w:p w14:paraId="54A321A8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3" w:name="_Toc298863825"/>
      <w:bookmarkEnd w:id="13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15. Текстови файлове</w:t>
      </w:r>
    </w:p>
    <w:p w14:paraId="12585BA6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4" w:name="_Toc298863826"/>
      <w:bookmarkEnd w:id="14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16. Линейни структури от данни</w:t>
      </w:r>
    </w:p>
    <w:p w14:paraId="6A61FF38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5" w:name="_Toc298863827"/>
      <w:bookmarkEnd w:id="15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17. Дървета и графи</w:t>
      </w:r>
    </w:p>
    <w:p w14:paraId="7B83D94E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6" w:name="_Toc298863828"/>
      <w:bookmarkEnd w:id="16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 xml:space="preserve">Глава 18. Речници, </w:t>
      </w:r>
      <w:proofErr w:type="spellStart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хеш</w:t>
      </w:r>
      <w:proofErr w:type="spellEnd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-таблици и множества</w:t>
      </w:r>
    </w:p>
    <w:p w14:paraId="6C2CE49F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7" w:name="_Toc298863829"/>
      <w:bookmarkEnd w:id="17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19. Структури от данни – съпоставка и препоръки</w:t>
      </w:r>
    </w:p>
    <w:p w14:paraId="0154424E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8" w:name="_Toc298863830"/>
      <w:bookmarkEnd w:id="18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20. Принципи на обектно-ориентираното програмиране</w:t>
      </w:r>
    </w:p>
    <w:p w14:paraId="741BBBC6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19" w:name="_Toc298863831"/>
      <w:bookmarkEnd w:id="19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21. Качествен програмен код</w:t>
      </w:r>
    </w:p>
    <w:p w14:paraId="179B048B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20" w:name="_Toc298863832"/>
      <w:bookmarkEnd w:id="20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 xml:space="preserve">Глава 22. </w:t>
      </w:r>
      <w:proofErr w:type="spellStart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Ламбда</w:t>
      </w:r>
      <w:proofErr w:type="spellEnd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 xml:space="preserve"> изрази и LINQ заявки</w:t>
      </w:r>
    </w:p>
    <w:p w14:paraId="7DF7DB4F" w14:textId="77777777" w:rsidR="003B69F4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21" w:name="_Toc298863833"/>
      <w:bookmarkEnd w:id="21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Глава 23. Как да решаваме задачи по програмиране?</w:t>
      </w:r>
    </w:p>
    <w:p w14:paraId="1F0738BC" w14:textId="789EBA41" w:rsidR="00446E9B" w:rsidRPr="003B69F4" w:rsidRDefault="003B69F4" w:rsidP="003B69F4">
      <w:pPr>
        <w:pBdr>
          <w:bottom w:val="dotted" w:sz="6" w:space="8" w:color="8C8C73"/>
        </w:pBdr>
        <w:shd w:val="clear" w:color="auto" w:fill="FFFFFF"/>
        <w:spacing w:after="0" w:line="375" w:lineRule="atLeast"/>
        <w:outlineLvl w:val="2"/>
        <w:rPr>
          <w:rFonts w:ascii="Trebuchet MS" w:eastAsia="Times New Roman" w:hAnsi="Trebuchet MS" w:cs="Times New Roman"/>
          <w:b/>
          <w:bCs/>
          <w:color w:val="000000"/>
          <w:sz w:val="34"/>
          <w:szCs w:val="34"/>
          <w:lang w:eastAsia="bg-BG"/>
        </w:rPr>
      </w:pPr>
      <w:bookmarkStart w:id="22" w:name="_Toc298863834"/>
      <w:bookmarkEnd w:id="22"/>
      <w:r w:rsidRPr="003B69F4">
        <w:rPr>
          <w:rFonts w:ascii="inherit" w:eastAsia="Times New Roman" w:hAnsi="inherit" w:cs="Times New Roman"/>
          <w:b/>
          <w:bCs/>
          <w:color w:val="000000"/>
          <w:sz w:val="26"/>
          <w:szCs w:val="26"/>
          <w:bdr w:val="none" w:sz="0" w:space="0" w:color="auto" w:frame="1"/>
          <w:lang w:eastAsia="bg-BG"/>
        </w:rPr>
        <w:t>Глави 24, 25, 26. Практически задачи за изпит по програмиране</w:t>
      </w:r>
    </w:p>
    <w:sectPr w:rsidR="00446E9B" w:rsidRPr="003B6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F4"/>
    <w:rsid w:val="003B69F4"/>
    <w:rsid w:val="0044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63F8"/>
  <w15:chartTrackingRefBased/>
  <w15:docId w15:val="{4AD3593C-BE1D-472E-A340-C439FB0B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B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3B69F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3B69F4"/>
    <w:rPr>
      <w:color w:val="0000FF"/>
      <w:u w:val="single"/>
    </w:rPr>
  </w:style>
  <w:style w:type="character" w:styleId="a4">
    <w:name w:val="Strong"/>
    <w:basedOn w:val="a0"/>
    <w:uiPriority w:val="22"/>
    <w:qFormat/>
    <w:rsid w:val="003B6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1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1</cp:revision>
  <dcterms:created xsi:type="dcterms:W3CDTF">2021-03-25T16:03:00Z</dcterms:created>
  <dcterms:modified xsi:type="dcterms:W3CDTF">2021-03-25T16:05:00Z</dcterms:modified>
</cp:coreProperties>
</file>