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both"/>
      </w:pPr>
      <w:r>
        <w:rPr>
          <w:rFonts w:ascii="Times New Roman" w:hAnsi="Times New Roman"/>
          <w:b w:val="0"/>
          <w:i w:val="0"/>
          <w:sz w:val="20"/>
        </w:rPr>
        <w:t xml:space="preserve">Results are presented in two parts. Section 5.1 reports an incremental ablation study tracing how each architectural contribution—SpeechCue prosody prompting, the ViT visual stream, conflict-aware gating, and the MultiScaleTemporal classification head—affects validation and test performance across the 54-configuration grid. Section 5.2 then compares the best resulting configuration (Ablation 45) against published bimodal and trimodal systems on IEMOCAP, situating CAMF within the broader SER literature.</w:t>
      </w:r>
    </w:p>
    <w:p>
      <w:pPr>
        <w:spacing w:before="40" w:after="40"/>
        <w:jc w:val="both"/>
      </w:pPr>
      <w:r>
        <w:rPr>
          <w:rFonts w:ascii="Times New Roman" w:hAnsi="Times New Roman"/>
          <w:b w:val="0"/>
          <w:i w:val="0"/>
          <w:sz w:val="20"/>
        </w:rPr>
        <w:t xml:space="preserve">This section describes the dataset, evaluation protocol, implementation environment, and comparison baselines used to validate CAMF. All experiments follow the IEMOCAP single-split protocol to ensure direct comparability with published systems. A systematic ablation study across 54 configurations, reported in Section 5.1, was conducted to quantify the individual contribution of each architectural component before benchmarking the best configuration against the state of the art.</w:t>
      </w:r>
    </w:p>
    <w:p>
      <w:pPr>
        <w:spacing w:before="0" w:after="200"/>
        <w:jc w:val="center"/>
      </w:pPr>
      <w:r>
        <w:rPr>
          <w:rFonts w:ascii="Times New Roman" w:hAnsi="Times New Roman"/>
          <w:b/>
          <w:sz w:val="28"/>
        </w:rPr>
        <w:t>CAMF: Conflict-Aware Multi-Stream Fusion for Speech Emotion Recognition</w:t>
        <w:br/>
        <w:t>with Waveform, Spectrogram Image, and Prosody Prompting</w:t>
      </w:r>
    </w:p>
    <w:p>
      <w:pPr>
        <w:spacing w:before="0" w:after="40"/>
        <w:jc w:val="center"/>
      </w:pPr>
      <w:r>
        <w:rPr>
          <w:rFonts w:ascii="Times New Roman" w:hAnsi="Times New Roman"/>
          <w:b w:val="0"/>
          <w:i w:val="0"/>
          <w:sz w:val="20"/>
        </w:rPr>
        <w:t>Jorge Jorrin-Coz</w:t>
      </w:r>
      <w:r>
        <w:rPr>
          <w:rFonts w:ascii="Times New Roman" w:hAnsi="Times New Roman"/>
          <w:b w:val="0"/>
          <w:i w:val="0"/>
          <w:sz w:val="16"/>
        </w:rPr>
        <w:t>¹</w:t>
      </w:r>
      <w:r>
        <w:rPr>
          <w:rFonts w:ascii="Times New Roman" w:hAnsi="Times New Roman"/>
          <w:b w:val="0"/>
          <w:i w:val="0"/>
          <w:sz w:val="20"/>
        </w:rPr>
        <w:t>, Mariko Nakano-Miyatake</w:t>
      </w:r>
      <w:r>
        <w:rPr>
          <w:rFonts w:ascii="Times New Roman" w:hAnsi="Times New Roman"/>
          <w:b w:val="0"/>
          <w:i w:val="0"/>
          <w:sz w:val="16"/>
        </w:rPr>
        <w:t>¹</w:t>
      </w:r>
      <w:r>
        <w:rPr>
          <w:rFonts w:ascii="Times New Roman" w:hAnsi="Times New Roman"/>
          <w:b w:val="0"/>
          <w:i w:val="0"/>
          <w:sz w:val="20"/>
        </w:rPr>
        <w:t>, Hector Perez-Meana</w:t>
      </w:r>
      <w:r>
        <w:rPr>
          <w:rFonts w:ascii="Times New Roman" w:hAnsi="Times New Roman"/>
          <w:b w:val="0"/>
          <w:i w:val="0"/>
          <w:sz w:val="16"/>
        </w:rPr>
        <w:t>¹(✉)</w:t>
      </w:r>
    </w:p>
    <w:p>
      <w:pPr>
        <w:spacing w:before="0" w:after="40"/>
        <w:jc w:val="center"/>
      </w:pPr>
      <w:r>
        <w:rPr>
          <w:rFonts w:ascii="Times New Roman" w:hAnsi="Times New Roman"/>
          <w:b w:val="0"/>
          <w:i w:val="0"/>
          <w:sz w:val="18"/>
        </w:rPr>
        <w:t>¹ ESIME Culhuacan, Instituto Politécnico Nacional, Av. Santa Ana 1000, 04440 CDMX, Mexico</w:t>
      </w:r>
    </w:p>
    <w:p>
      <w:pPr>
        <w:spacing w:before="0" w:after="200"/>
        <w:jc w:val="center"/>
      </w:pPr>
      <w:r>
        <w:rPr>
          <w:rFonts w:ascii="Times New Roman" w:hAnsi="Times New Roman"/>
          <w:b w:val="0"/>
          <w:i/>
          <w:sz w:val="18"/>
        </w:rPr>
        <w:t>{jljorrincoz, mnakano, hmperezm}@ipn.mx (✉ corresponding author)</w:t>
      </w:r>
    </w:p>
    <w:p>
      <w:pPr>
        <w:spacing w:before="0" w:after="80"/>
        <w:ind w:left="283" w:right="283"/>
        <w:jc w:val="both"/>
      </w:pPr>
      <w:r>
        <w:rPr>
          <w:rFonts w:ascii="Times New Roman" w:hAnsi="Times New Roman"/>
          <w:b/>
          <w:i w:val="0"/>
          <w:sz w:val="18"/>
        </w:rPr>
        <w:t xml:space="preserve">Abstract. </w:t>
      </w:r>
      <w:r>
        <w:rPr>
          <w:rFonts w:ascii="Times New Roman" w:hAnsi="Times New Roman"/>
          <w:b w:val="0"/>
          <w:i w:val="0"/>
          <w:sz w:val="18"/>
        </w:rPr>
        <w:t>Speech emotion recognition (SER) benefits from combining acoustic and lexical cues, but multi-stream pipelines are vulnerable to inter-stream conflicts where individual streams disagree on the predicted emotion. We present CAMF, a Conflict-Aware Multi-Stream Fusion framework with three complementary streams: a raw-waveform stream (Wav2Vec2-base), a log-Mel spectrogram-image stream (ViT-Base/16, computed in-line from the same waveform), and a transcript stream (DistilBERT with a SpeechCue prosody-prompting prefix that discretises pitch, energy, and speech rate into nine semantic tokens). A binary conflict gate fires when at least two unimodal predictors disagree, switching to MLP-derived fusion weights. The fused representation is decoded by a MultiScaleTemporal (MST) head combining parallel pooling, BiLSTM, and self-attention branches. On IEMOCAP four-class single-split protocol, the best configuration reaches 79.23% UA / 79.61% WA with a 2.91 pp validation-test gap, surpassing CTNet, UniMSE, and Kim et al. among bimodal systems.</w:t>
      </w:r>
    </w:p>
    <w:p>
      <w:pPr>
        <w:spacing w:before="0" w:after="240"/>
        <w:ind w:left="283" w:right="283"/>
        <w:jc w:val="both"/>
      </w:pPr>
      <w:r>
        <w:rPr>
          <w:rFonts w:ascii="Times New Roman" w:hAnsi="Times New Roman"/>
          <w:b/>
          <w:i w:val="0"/>
          <w:sz w:val="18"/>
        </w:rPr>
        <w:t xml:space="preserve">Keywords: </w:t>
      </w:r>
      <w:r>
        <w:rPr>
          <w:rFonts w:ascii="Times New Roman" w:hAnsi="Times New Roman"/>
          <w:b w:val="0"/>
          <w:i w:val="0"/>
          <w:sz w:val="18"/>
        </w:rPr>
        <w:t>Speech Emotion Recognition · Multi-Stream Fusion · Mel-Spectrogram Image · Prosody Prompting · Conflict-Aware Cross-Attention · MultiScaleTemporal Head.</w:t>
      </w:r>
    </w:p>
    <w:p>
      <w:pPr>
        <w:spacing w:before="200" w:after="80"/>
        <w:jc w:val="left"/>
      </w:pPr>
      <w:r>
        <w:rPr>
          <w:rFonts w:ascii="Times New Roman" w:hAnsi="Times New Roman"/>
          <w:b/>
          <w:i w:val="0"/>
          <w:sz w:val="24"/>
        </w:rPr>
        <w:t>1  Introduction</w:t>
      </w:r>
    </w:p>
    <w:p>
      <w:pPr>
        <w:spacing w:before="0" w:after="40"/>
        <w:jc w:val="both"/>
      </w:pPr>
      <w:r>
        <w:rPr>
          <w:rFonts w:ascii="Times New Roman" w:hAnsi="Times New Roman"/>
          <w:b w:val="0"/>
          <w:i w:val="0"/>
          <w:sz w:val="20"/>
        </w:rPr>
        <w:t>Characterising a speaker's emotional state from voice is key in affective computing, with applications in human-machine interaction, call-centre routing, and mental-health monitoring. Classical approaches relied on hand-crafted features such as MFCCs [11] with shallow classifiers [12]; modern pipelines leverage self-supervised transformers—wav2vec 2.0 [6], HuBERT [7], WavLM [8]—or treat speech as a 2-D image by converting it to a log-Mel spectrogram processed by a ViT [17]. Neither paradigm alone is robust: time-domain encoders miss lexical cues; spectrogram-image systems discard temporal fine structure. Multi-stream fusion combines complementary representations but is actively harmed when streams produce conflicting predictions [5]. Prosodic features (pitch, energy, speech rate) are typically injected as continuous high-dimensional vectors that are hard to align with token-based language models [4].</w:t>
      </w:r>
    </w:p>
    <w:p>
      <w:pPr>
        <w:spacing w:before="0" w:after="40"/>
        <w:ind w:firstLine="283"/>
        <w:jc w:val="both"/>
      </w:pPr>
      <w:r>
        <w:rPr>
          <w:rFonts w:ascii="Times New Roman" w:hAnsi="Times New Roman"/>
          <w:b w:val="0"/>
          <w:i w:val="0"/>
          <w:sz w:val="20"/>
        </w:rPr>
        <w:t>This paper proposes CAMF (Conflict-Aware Multi-stream Fusion). The contributions are:</w:t>
      </w:r>
    </w:p>
    <w:p>
      <w:pPr>
        <w:spacing w:before="40" w:after="40"/>
        <w:ind w:left="227" w:hanging="227"/>
        <w:jc w:val="both"/>
      </w:pPr>
      <w:r>
        <w:rPr>
          <w:rFonts w:ascii="Times New Roman" w:hAnsi="Times New Roman"/>
          <w:b/>
          <w:i w:val="0"/>
          <w:sz w:val="20"/>
        </w:rPr>
        <w:t xml:space="preserve">1. Dual audio view. </w:t>
      </w:r>
      <w:r>
        <w:rPr>
          <w:rFonts w:ascii="Times New Roman" w:hAnsi="Times New Roman"/>
          <w:b w:val="0"/>
          <w:i w:val="0"/>
          <w:sz w:val="20"/>
        </w:rPr>
        <w:t>The first multi-stream SER framework to treat the log-Mel spectrogram image as a complementary view of the same waveform already encoded by a self-supervised time-domain encoder. Unlike prior work using mel-spectrogram images as a standalone SER encoder, we exploit the complementarity between SSL time-domain and frequency-domain image representations within a conflict-aware framework, extending our prior speaker-profiling spectrogram-image pipeline [33,34] to emotion recognition.</w:t>
      </w:r>
    </w:p>
    <w:p>
      <w:pPr>
        <w:spacing w:before="40" w:after="40"/>
        <w:ind w:left="227" w:hanging="227"/>
        <w:jc w:val="both"/>
      </w:pPr>
      <w:r>
        <w:rPr>
          <w:rFonts w:ascii="Times New Roman" w:hAnsi="Times New Roman"/>
          <w:b/>
          <w:i w:val="0"/>
          <w:sz w:val="20"/>
        </w:rPr>
        <w:t xml:space="preserve">2. SpeechCue prosody prompting. </w:t>
      </w:r>
      <w:r>
        <w:rPr>
          <w:rFonts w:ascii="Times New Roman" w:hAnsi="Times New Roman"/>
          <w:b w:val="0"/>
          <w:i w:val="0"/>
          <w:sz w:val="20"/>
        </w:rPr>
        <w:t>A parameter-efficient module that discretises utterance-level pitch, energy, and speech rate into nine semantic tokens prepended to the DistilBERT [16] input. Unlike ProsodyBERT, which learns continuous prosody representations, and unlike neural codec tokenisers that discretise the waveform acoustically, SpeechCue uses corpus-level tertile boundaries to map three manually defined statistics to a fixed nine-symbol vocabulary, providing an interpretable prosodic bridge [23].</w:t>
      </w:r>
    </w:p>
    <w:p>
      <w:pPr>
        <w:spacing w:before="40" w:after="40"/>
        <w:ind w:left="227" w:hanging="227"/>
        <w:jc w:val="both"/>
      </w:pPr>
      <w:r>
        <w:rPr>
          <w:rFonts w:ascii="Times New Roman" w:hAnsi="Times New Roman"/>
          <w:b/>
          <w:i w:val="0"/>
          <w:sz w:val="20"/>
        </w:rPr>
        <w:t xml:space="preserve">3. Conflict-Aware Cross-Attention with a binary gate. </w:t>
      </w:r>
      <w:r>
        <w:rPr>
          <w:rFonts w:ascii="Times New Roman" w:hAnsi="Times New Roman"/>
          <w:b w:val="0"/>
          <w:i w:val="0"/>
          <w:sz w:val="20"/>
        </w:rPr>
        <w:t>A pairwise prediction-divergence detector declares conflict when at least two unimodal predictors disagree, then switches to MLP-derived fusion weights. This differs from DCA [36] and IACA [37] (generic complementarity, dimensional SER), M3ER [38] (sensor-noise, multiplicative fusion), HBAF [39] (representational alignment), and ConflictAwareAH [40] (conflict as target signal for ambivalence/hesitancy, late fusion)—none apply an explicit emotional-conflict gate inside a cross-attention transformer for categorical SER.</w:t>
      </w:r>
    </w:p>
    <w:p>
      <w:pPr>
        <w:spacing w:before="40" w:after="40"/>
        <w:ind w:left="227" w:hanging="227"/>
        <w:jc w:val="both"/>
      </w:pPr>
      <w:r>
        <w:rPr>
          <w:rFonts w:ascii="Times New Roman" w:hAnsi="Times New Roman"/>
          <w:b/>
          <w:i w:val="0"/>
          <w:sz w:val="20"/>
        </w:rPr>
        <w:t xml:space="preserve">4. MultiScaleTemporal (MST) head. </w:t>
      </w:r>
      <w:r>
        <w:rPr>
          <w:rFonts w:ascii="Times New Roman" w:hAnsi="Times New Roman"/>
          <w:b w:val="0"/>
          <w:i w:val="0"/>
          <w:sz w:val="20"/>
        </w:rPr>
        <w:t>A post-fusion head combining three parallel aggregation branches (mean/max/attention pooling, BiLSTM, self-attention) whose concatenated outputs provide multi-granular representation. Although individual components are established, their combination as a post-conflict-fusion head for multi-stream SER is novel; Ablation 45 (MST head + corrected fine-tuning regime) achieves 79.23% UA, best in our 54-configuration ablation grid.</w:t>
      </w:r>
    </w:p>
    <w:p>
      <w:pPr>
        <w:spacing w:before="40" w:after="40"/>
        <w:ind w:left="227" w:hanging="227"/>
        <w:jc w:val="both"/>
      </w:pPr>
      <w:r>
        <w:rPr>
          <w:rFonts w:ascii="Times New Roman" w:hAnsi="Times New Roman"/>
          <w:b/>
          <w:i w:val="0"/>
          <w:sz w:val="20"/>
        </w:rPr>
        <w:t xml:space="preserve">5. Systematic 54-configuration ablation. </w:t>
      </w:r>
      <w:r>
        <w:rPr>
          <w:rFonts w:ascii="Times New Roman" w:hAnsi="Times New Roman"/>
          <w:b w:val="0"/>
          <w:i w:val="0"/>
          <w:sz w:val="20"/>
        </w:rPr>
        <w:t>Every architectural choice is isolated under identical optimiser, seed, and data splits, providing reproducible baselines for future multi-stream SER research.</w:t>
      </w:r>
    </w:p>
    <w:p>
      <w:pPr>
        <w:spacing w:before="0" w:after="40"/>
        <w:ind w:firstLine="283"/>
        <w:jc w:val="both"/>
      </w:pPr>
      <w:r>
        <w:rPr>
          <w:rFonts w:ascii="Times New Roman" w:hAnsi="Times New Roman"/>
          <w:b w:val="0"/>
          <w:i w:val="0"/>
          <w:sz w:val="20"/>
        </w:rPr>
        <w:t>On IEMOCAP, Ablation 45 reaches 79.61% WA / 79.23% UA, surpassing CTNet [22], UniMSE [41], and Kim et al. [42] among bimodal systems. Sections 2-6 review related work, detail the architecture, describe experiments, analyse results, and conclude.</w:t>
      </w:r>
    </w:p>
    <w:p>
      <w:pPr>
        <w:spacing w:before="200" w:after="80"/>
        <w:jc w:val="left"/>
      </w:pPr>
      <w:r>
        <w:rPr>
          <w:rFonts w:ascii="Times New Roman" w:hAnsi="Times New Roman"/>
          <w:b/>
          <w:i w:val="0"/>
          <w:sz w:val="24"/>
        </w:rPr>
        <w:t>2  Related Work</w:t>
      </w:r>
    </w:p>
    <w:p>
      <w:pPr>
        <w:spacing w:before="160" w:after="40"/>
        <w:jc w:val="left"/>
      </w:pPr>
      <w:r>
        <w:rPr>
          <w:rFonts w:ascii="Times New Roman" w:hAnsi="Times New Roman"/>
          <w:b/>
          <w:i w:val="0"/>
          <w:sz w:val="20"/>
        </w:rPr>
        <w:t>2.1  Unimodal SER with Self-Supervised Encoders</w:t>
      </w:r>
    </w:p>
    <w:p>
      <w:pPr>
        <w:spacing w:before="0" w:after="40"/>
        <w:jc w:val="both"/>
      </w:pPr>
      <w:r>
        <w:rPr>
          <w:rFonts w:ascii="Times New Roman" w:hAnsi="Times New Roman"/>
          <w:b w:val="0"/>
          <w:i w:val="0"/>
          <w:sz w:val="20"/>
        </w:rPr>
        <w:t xml:space="preserve">Self-supervised learning (SSL) has fundamentally reshaped the SER landscape by enabling models to leverage large unlabelled speech corpora before any emotion-labelled fine-tuning. Wav2Vec 2.0 [6], HuBERT [7], and WavLM [8] employ masked prediction objectives over latent speech representations, yielding transferable features that simultaneously capture phonetics, prosody, and speaker characteristics. Fine-tuning these encoders on emotion recognition yields strong baselines: Pepino et al. [9] reach 72.80% WA / 72.50% UA using Wav2Vec 2.0-base on IEMOCAP, and Morais et al. [10] achieve 74.10% WA / 73.80% UA with HuBERT. A key insight motivating CAMF is that different SSL encoders capture complementary facets of the speech signal: time-domain models such as Wav2Vec 2.0 are particularly sensitive to prosodic modulation, while WavLM includes additional denoising objectives that improve robustness to acoustic noise.</w:t>
      </w:r>
    </w:p>
    <w:p>
      <w:pPr>
        <w:spacing w:before="40" w:after="40"/>
        <w:jc w:val="both"/>
      </w:pPr>
      <w:r>
        <w:rPr>
          <w:rFonts w:ascii="Times New Roman" w:hAnsi="Times New Roman"/>
          <w:b w:val="0"/>
          <w:i w:val="0"/>
          <w:sz w:val="20"/>
        </w:rPr>
        <w:t xml:space="preserve">An orthogonal direction represents speech through its spectrogram image rather than the raw waveform. Encoding speech as a two-dimensional log-Mel image with a Vision Transformer (ViT) [17] has shown promise for emotion recognition: the patch-based self-attention mechanism naturally discovers spectral patterns—harmonic structures, formant transitions, energy contours—that complement time-domain SSL features. Previous work on spectrogram-image representations for speaker profiling tasks such as gender and age estimation [33,34,35] demonstrated that ViT models pre-trained on natural images can transfer effectively to spectro-temporal domain patterns. This finding motivates the frozen ViT stream in CAMF, which provides a complementary frequency-domain view derived from the same audio waveform without requiring any additional recording.</w:t>
      </w:r>
    </w:p>
    <w:p>
      <w:pPr>
        <w:spacing w:before="160" w:after="40"/>
        <w:jc w:val="left"/>
      </w:pPr>
      <w:r>
        <w:rPr>
          <w:rFonts w:ascii="Times New Roman" w:hAnsi="Times New Roman"/>
          <w:b/>
          <w:i w:val="0"/>
          <w:sz w:val="20"/>
        </w:rPr>
        <w:t>2.2  Multimodal Fusion for SER</w:t>
      </w:r>
    </w:p>
    <w:p>
      <w:pPr>
        <w:spacing w:before="0" w:after="40"/>
        <w:jc w:val="both"/>
      </w:pPr>
      <w:r>
        <w:rPr>
          <w:rFonts w:ascii="Times New Roman" w:hAnsi="Times New Roman"/>
          <w:b w:val="0"/>
          <w:i w:val="0"/>
          <w:sz w:val="20"/>
        </w:rPr>
        <w:t xml:space="preserve">Fusion of audio and text streams has been the dominant paradigm in multimodal SER. Early approaches relied on concatenation or additive combination of unimodal features, but more expressive architectures employ cross-modal attention, where each modality selectively attends to representations of the others [5,23]. MulT [18] introduced directional cross-modal attention over unaligned audio-text sequences through a dedicated Multimodal Transformer, while Rahman et al. [19] inject acoustic features as continuous dense vectors into BERT's input space, allowing the language model to contextualise prosodic cues alongside lexical content.</w:t>
      </w:r>
    </w:p>
    <w:p>
      <w:pPr>
        <w:spacing w:before="40" w:after="40"/>
        <w:jc w:val="both"/>
      </w:pPr>
      <w:r>
        <w:rPr>
          <w:rFonts w:ascii="Times New Roman" w:hAnsi="Times New Roman"/>
          <w:b w:val="0"/>
          <w:i w:val="0"/>
          <w:sz w:val="20"/>
        </w:rPr>
        <w:t xml:space="preserve">More recent architectures have pushed IEMOCAP performance further. CTNet [22] explicitly models turn-level conversational dependencies, reaching 79.60% WA / 78.30% UA. UniMSE [41] achieves 79.14% UA by jointly optimising sentiment and emotion losses. Kim et al. [42] reach 77.70% UA through a dual-stream framework, and GIA-MIC [21] attains 79.40% UA via graph-based inter-modal interaction. MemoCMT [43] establishes the current bimodal state of the art at 81.33% UA, pairing HuBERT with full BERT under cross-modal transformer modules. A common characteristic across these systems is symmetric fusion: each modality is treated as an equally trustworthy contributor. CAMF departs from this assumption by explicitly detecting inter-stream disagreements at the prediction level and dynamically reweighting modality contributions—a design particularly valuable when one stream is noisy or ambiguous.</w:t>
      </w:r>
    </w:p>
    <w:p>
      <w:pPr>
        <w:spacing w:before="160" w:after="40"/>
        <w:jc w:val="left"/>
      </w:pPr>
      <w:r>
        <w:rPr>
          <w:rFonts w:ascii="Times New Roman" w:hAnsi="Times New Roman"/>
          <w:b/>
          <w:i w:val="0"/>
          <w:sz w:val="20"/>
        </w:rPr>
        <w:t>2.3  Gating Mechanisms and Conflict-Aware Fusion</w:t>
      </w:r>
    </w:p>
    <w:p>
      <w:pPr>
        <w:spacing w:before="0" w:after="40"/>
        <w:jc w:val="both"/>
      </w:pPr>
      <w:r>
        <w:rPr>
          <w:rFonts w:ascii="Times New Roman" w:hAnsi="Times New Roman"/>
          <w:b w:val="0"/>
          <w:i w:val="0"/>
          <w:sz w:val="20"/>
        </w:rPr>
        <w:t>DCA [36] and IACA [37] gate selection between cross-attended and self-attended audio-visual features based on complementarity strength; both target dimensional AV emotion recognition and do not model semantic emotional conflict. WavFusion [44] uses gated cross-modal attention with homogeneous feature discrepancy learning. HBAF [39] combines bimodal attention with a dynamic filter gate for representational alignment—not emotional conflict detection. M3ER [38] uses Canonical Correlation Analysis as a sensor-noise detector before multiplicative fusion, not a conflict gate for contradictory emotional predictions. ConflictAwareAH [40] uses pairwise absolute embedding differences as conflict cues for ambivalence/hesitancy recognition—treating conflict as the target signal, employing late fusion, and not addressing categorical SER. Our Conflict-Aware Cross-Attention differs from all these by incorporating an explicit binary conflict-detection gate grounded in unimodal prediction divergence inside a cross-attention transformer for categorical SER on IEMOCAP [1].</w:t>
      </w:r>
    </w:p>
    <w:p>
      <w:pPr>
        <w:spacing w:before="160" w:after="40"/>
        <w:jc w:val="left"/>
      </w:pPr>
      <w:r>
        <w:rPr>
          <w:rFonts w:ascii="Times New Roman" w:hAnsi="Times New Roman"/>
          <w:b/>
          <w:i w:val="0"/>
          <w:sz w:val="20"/>
        </w:rPr>
        <w:t>2.4  Prosody Injection into Language Models</w:t>
      </w:r>
    </w:p>
    <w:p>
      <w:pPr>
        <w:spacing w:before="0" w:after="40"/>
        <w:jc w:val="both"/>
      </w:pPr>
      <w:r>
        <w:rPr>
          <w:rFonts w:ascii="Times New Roman" w:hAnsi="Times New Roman"/>
          <w:b w:val="0"/>
          <w:i w:val="0"/>
          <w:sz w:val="20"/>
        </w:rPr>
        <w:t>Continuous acoustic features are typically injected into BERT-style models as dense vectors [19]. ProsodyBERT learns continuous prosody representations self-supervisedly. Neural codec tokenisers (EnCodec, DAC) discretise the waveform acoustically but without semantic interpretability. SpeechCue differs by mapping three manually defined prosodic statistics to a compact nine-symbol vocabulary via corpus-level tertile boundaries, providing interpretable tokens without modifying the DistilBERT architecture.</w:t>
      </w:r>
    </w:p>
    <w:p>
      <w:pPr>
        <w:spacing w:before="200" w:after="80"/>
        <w:jc w:val="left"/>
      </w:pPr>
      <w:r>
        <w:rPr>
          <w:rFonts w:ascii="Times New Roman" w:hAnsi="Times New Roman"/>
          <w:b/>
          <w:i w:val="0"/>
          <w:sz w:val="24"/>
        </w:rPr>
        <w:t>3  Proposed Architecture: CAMF</w:t>
      </w:r>
    </w:p>
    <w:p>
      <w:pPr>
        <w:spacing w:before="0" w:after="40"/>
        <w:jc w:val="both"/>
      </w:pPr>
      <w:r>
        <w:rPr>
          <w:rFonts w:ascii="Times New Roman" w:hAnsi="Times New Roman"/>
          <w:b w:val="0"/>
          <w:i w:val="0"/>
          <w:sz w:val="20"/>
        </w:rPr>
        <w:t>Figure 1 shows the overall architecture. Three parallel encoders produce 512-dimensional projected embeddings that are fused by a three-layer Conflict-Aware Cross-Attention module. A binary conflict gate modifies fusion weights when pairwise predictor disagreement is detected. The MultiScaleTemporal head decodes the fused representation.</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5580000" cy="1777350"/>
            <wp:docPr id="3" name="Picture 3"/>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580000" cy="1777350"/>
                    </a:xfrm>
                    <a:prstGeom prst="rect"/>
                  </pic:spPr>
                </pic:pic>
              </a:graphicData>
            </a:graphic>
          </wp:inline>
        </w:drawing>
      </w:r>
    </w:p>
    <w:p>
      <w:pPr>
        <w:spacing w:before="40" w:after="160"/>
        <w:jc w:val="both"/>
      </w:pPr>
      <w:r>
        <w:rPr>
          <w:rFonts w:ascii="Times New Roman" w:hAnsi="Times New Roman"/>
          <w:b/>
          <w:i w:val="0"/>
          <w:sz w:val="18"/>
        </w:rPr>
        <w:t xml:space="preserve">Fig. 1. </w:t>
      </w:r>
      <w:r>
        <w:rPr>
          <w:rFonts w:ascii="Times New Roman" w:hAnsi="Times New Roman"/>
          <w:b w:val="0"/>
          <w:i w:val="0"/>
          <w:sz w:val="18"/>
        </w:rPr>
        <w:t>CAMF overall architecture. Three parallel encoding branches are fused by a conflict-aware cross-attention transformer. The binary conflict gate (c) switches fusion weights from uniform (c=0) to MLP-derived (c=1) when unimodal predictors disagree.</w:t>
      </w:r>
    </w:p>
    <w:p>
      <w:pPr>
        <w:spacing w:before="160" w:after="40"/>
        <w:jc w:val="left"/>
      </w:pPr>
      <w:r>
        <w:rPr>
          <w:rFonts w:ascii="Times New Roman" w:hAnsi="Times New Roman"/>
          <w:b/>
          <w:i w:val="0"/>
          <w:sz w:val="20"/>
        </w:rPr>
        <w:t>3.1  Raw-Waveform Stream (Wav2Vec2)</w:t>
      </w:r>
    </w:p>
    <w:p>
      <w:pPr>
        <w:spacing w:before="0" w:after="40"/>
        <w:jc w:val="both"/>
      </w:pPr>
      <w:r>
        <w:rPr>
          <w:rFonts w:ascii="Times New Roman" w:hAnsi="Times New Roman"/>
          <w:b w:val="0"/>
          <w:i w:val="0"/>
          <w:sz w:val="20"/>
        </w:rPr>
        <w:t xml:space="preserve">Wav2Vec 2.0-base [6] (95 M parameters) receives the 16 kHz waveform. The 7-layer convolutional feature extractor is frozen; the last 6 of 12 Transformer encoder layers are fine-tuned. Frame-level embeddings in ℝ</w:t>
      </w:r>
      <w:r>
        <w:rPr>
          <w:rFonts w:ascii="Times New Roman" w:hAnsi="Times New Roman"/>
          <w:b w:val="0"/>
          <w:i w:val="0"/>
          <w:sz w:val="20"/>
          <w:vertAlign w:val="superscript"/>
        </w:rPr>
        <w:t>T×768</w:t>
      </w:r>
      <w:r>
        <w:rPr>
          <w:rFonts w:ascii="Times New Roman" w:hAnsi="Times New Roman"/>
          <w:b w:val="0"/>
          <w:i w:val="0"/>
          <w:sz w:val="20"/>
        </w:rPr>
        <w:t xml:space="preserve"> are mean-pooled to </w:t>
      </w:r>
      <w:r>
        <w:rPr>
          <w:rFonts w:ascii="Times New Roman" w:hAnsi="Times New Roman"/>
          <w:b w:val="0"/>
          <w:i/>
          <w:iCs/>
          <w:sz w:val="20"/>
        </w:rPr>
        <w:t>h</w:t>
      </w:r>
      <w:r>
        <w:rPr>
          <w:rFonts w:ascii="Times New Roman" w:hAnsi="Times New Roman"/>
          <w:b w:val="0"/>
          <w:i/>
          <w:iCs/>
          <w:sz w:val="20"/>
          <w:vertAlign w:val="subscript"/>
        </w:rPr>
        <w:t>a</w:t>
      </w:r>
      <w:r>
        <w:rPr>
          <w:rFonts w:ascii="Times New Roman" w:hAnsi="Times New Roman"/>
          <w:b w:val="0"/>
          <w:i w:val="0"/>
          <w:sz w:val="20"/>
        </w:rPr>
        <w:t xml:space="preserve"> in ℝ</w:t>
      </w:r>
      <w:r>
        <w:rPr>
          <w:rFonts w:ascii="Times New Roman" w:hAnsi="Times New Roman"/>
          <w:b w:val="0"/>
          <w:i w:val="0"/>
          <w:sz w:val="20"/>
          <w:vertAlign w:val="superscript"/>
        </w:rPr>
        <w:t>768</w:t>
      </w:r>
      <w:r>
        <w:rPr>
          <w:rFonts w:ascii="Times New Roman" w:hAnsi="Times New Roman"/>
          <w:b w:val="0"/>
          <w:i w:val="0"/>
          <w:sz w:val="20"/>
        </w:rPr>
        <w:t xml:space="preserve">, projected: </w:t>
      </w:r>
      <w:r>
        <w:rPr>
          <w:rFonts w:ascii="Times New Roman" w:hAnsi="Times New Roman"/>
          <w:b w:val="0"/>
          <w:i/>
          <w:iCs/>
          <w:sz w:val="20"/>
        </w:rPr>
        <w:t>a</w:t>
      </w:r>
      <w:r>
        <w:rPr>
          <w:rFonts w:ascii="Times New Roman" w:hAnsi="Times New Roman"/>
          <w:b w:val="0"/>
          <w:i w:val="0"/>
          <w:sz w:val="20"/>
        </w:rPr>
        <w:t xml:space="preserve"> = </w:t>
      </w:r>
      <w:r>
        <w:rPr>
          <w:rFonts w:ascii="Times New Roman" w:hAnsi="Times New Roman"/>
          <w:b w:val="0"/>
          <w:i/>
          <w:iCs/>
          <w:sz w:val="20"/>
        </w:rPr>
        <w:t>W</w:t>
      </w:r>
      <w:r>
        <w:rPr>
          <w:rFonts w:ascii="Times New Roman" w:hAnsi="Times New Roman"/>
          <w:b w:val="0"/>
          <w:i/>
          <w:iCs/>
          <w:sz w:val="20"/>
          <w:vertAlign w:val="subscript"/>
        </w:rPr>
        <w:t>a</w:t>
      </w:r>
      <w:r>
        <w:rPr>
          <w:rFonts w:ascii="Times New Roman" w:hAnsi="Times New Roman"/>
          <w:b w:val="0"/>
          <w:i w:val="0"/>
          <w:sz w:val="20"/>
        </w:rPr>
        <w:t xml:space="preserve"> </w:t>
      </w:r>
      <w:r>
        <w:rPr>
          <w:rFonts w:ascii="Times New Roman" w:hAnsi="Times New Roman"/>
          <w:b w:val="0"/>
          <w:i/>
          <w:iCs/>
          <w:sz w:val="20"/>
        </w:rPr>
        <w:t>h</w:t>
      </w:r>
      <w:r>
        <w:rPr>
          <w:rFonts w:ascii="Times New Roman" w:hAnsi="Times New Roman"/>
          <w:b w:val="0"/>
          <w:i/>
          <w:iCs/>
          <w:sz w:val="20"/>
          <w:vertAlign w:val="subscript"/>
        </w:rPr>
        <w:t>a</w:t>
      </w:r>
      <w:r>
        <w:rPr>
          <w:rFonts w:ascii="Times New Roman" w:hAnsi="Times New Roman"/>
          <w:b w:val="0"/>
          <w:i w:val="0"/>
          <w:sz w:val="20"/>
        </w:rPr>
        <w:t xml:space="preserve">, </w:t>
      </w:r>
      <w:r>
        <w:rPr>
          <w:rFonts w:ascii="Times New Roman" w:hAnsi="Times New Roman"/>
          <w:b w:val="0"/>
          <w:i/>
          <w:iCs/>
          <w:sz w:val="20"/>
        </w:rPr>
        <w:t>W</w:t>
      </w:r>
      <w:r>
        <w:rPr>
          <w:rFonts w:ascii="Times New Roman" w:hAnsi="Times New Roman"/>
          <w:b w:val="0"/>
          <w:i/>
          <w:iCs/>
          <w:sz w:val="20"/>
          <w:vertAlign w:val="subscript"/>
        </w:rPr>
        <w:t>a</w:t>
      </w:r>
      <w:r>
        <w:rPr>
          <w:rFonts w:ascii="Times New Roman" w:hAnsi="Times New Roman"/>
          <w:b w:val="0"/>
          <w:i w:val="0"/>
          <w:sz w:val="20"/>
        </w:rPr>
        <w:t xml:space="preserve"> in ℝ</w:t>
      </w:r>
      <w:r>
        <w:rPr>
          <w:rFonts w:ascii="Times New Roman" w:hAnsi="Times New Roman"/>
          <w:b w:val="0"/>
          <w:i w:val="0"/>
          <w:sz w:val="20"/>
          <w:vertAlign w:val="superscript"/>
        </w:rPr>
        <w:t>512×768</w:t>
      </w:r>
      <w:r>
        <w:rPr>
          <w:rFonts w:ascii="Times New Roman" w:hAnsi="Times New Roman"/>
          <w:b w:val="0"/>
          <w:i w:val="0"/>
          <w:sz w:val="20"/>
        </w:rPr>
        <w:t xml:space="preserve">.</w:t>
      </w:r>
    </w:p>
    <w:p>
      <w:pPr>
        <w:spacing w:before="0" w:after="40"/>
        <w:jc w:val="both"/>
      </w:pPr>
      <w:r>
        <w:rPr>
          <w:rFonts w:ascii="Times New Roman" w:hAnsi="Times New Roman"/>
          <w:b w:val="0"/>
          <w:i w:val="0"/>
          <w:sz w:val="20"/>
        </w:rPr>
        <w:t xml:space="preserve">Mean pooling collapses the variable-length frame sequence into a single fixed-size utterance embedding, which is appropriate for sentence-level emotion recognition because emotional state is a property of the whole utterance rather than individual frames. The subsequent linear projection from 768 to 512 dimensions serves two purposes: it reduces computational cost in the downstream cross-attention fusion module, and it aligns all three stream embeddings to a common dimensionality so that the multi-head attention keys and queries have equal size regardless of the originating encoder architecture. The projection weight matrix Wₐ is trained end-to-end together with the fine-tuned Transformer layers, allowing the model to jointly optimise the embedding compression and the downstream classification objective.</w:t>
      </w:r>
    </w:p>
    <w:p>
      <w:pPr>
        <w:spacing w:before="160" w:after="40"/>
        <w:jc w:val="left"/>
      </w:pPr>
      <w:r>
        <w:rPr>
          <w:rFonts w:ascii="Times New Roman" w:hAnsi="Times New Roman"/>
          <w:b/>
          <w:i w:val="0"/>
          <w:sz w:val="20"/>
        </w:rPr>
        <w:t>3.2  Log-Mel Spectrogram-Image Stream (ViT)</w:t>
      </w:r>
    </w:p>
    <w:p>
      <w:pPr>
        <w:spacing w:before="0" w:after="40"/>
        <w:jc w:val="both"/>
      </w:pPr>
      <w:r>
        <w:rPr>
          <w:rFonts w:ascii="Times New Roman" w:hAnsi="Times New Roman"/>
          <w:b w:val="0"/>
          <w:i w:val="0"/>
          <w:sz w:val="20"/>
        </w:rPr>
        <w:t xml:space="preserve">The same waveform is converted to a log-Mel spectrogram (Table 2), normalised per-utterance (z-score), resized to 224x224 bilinearly, and replicated to 3 channels. ViT-Base/16 [17] (ImageNet-21k pre-trained, frozen in Ablation 45) produces </w:t>
      </w:r>
      <w:r>
        <w:rPr>
          <w:rFonts w:ascii="Times New Roman" w:hAnsi="Times New Roman"/>
          <w:b w:val="0"/>
          <w:i/>
          <w:sz w:val="20"/>
        </w:rPr>
        <w:t xml:space="preserve">h</w:t>
      </w:r>
      <w:r>
        <w:rPr>
          <w:rFonts w:ascii="Times New Roman" w:hAnsi="Times New Roman"/>
          <w:b w:val="0"/>
          <w:i/>
          <w:sz w:val="20"/>
          <w:vertAlign w:val="subscript"/>
        </w:rPr>
        <w:t>m</w:t>
      </w:r>
      <w:r>
        <w:rPr>
          <w:rFonts w:ascii="Times New Roman" w:hAnsi="Times New Roman"/>
          <w:b w:val="0"/>
          <w:i w:val="0"/>
          <w:sz w:val="20"/>
        </w:rPr>
        <w:t xml:space="preserve"> = [CLS] in ℝ</w:t>
      </w:r>
      <w:r>
        <w:rPr>
          <w:rFonts w:ascii="Times New Roman" w:hAnsi="Times New Roman"/>
          <w:b w:val="0"/>
          <w:i/>
          <w:sz w:val="20"/>
          <w:vertAlign w:val="superscript"/>
        </w:rPr>
        <w:t>768</w:t>
      </w:r>
      <w:r>
        <w:rPr>
          <w:rFonts w:ascii="Times New Roman" w:hAnsi="Times New Roman"/>
          <w:b w:val="0"/>
          <w:i w:val="0"/>
          <w:sz w:val="20"/>
        </w:rPr>
        <w:t xml:space="preserve">, projected: </w:t>
      </w:r>
      <w:r>
        <w:rPr>
          <w:rFonts w:ascii="Times New Roman" w:hAnsi="Times New Roman"/>
          <w:b w:val="0"/>
          <w:i/>
          <w:sz w:val="20"/>
        </w:rPr>
        <w:t xml:space="preserve">m</w:t>
      </w:r>
      <w:r>
        <w:rPr>
          <w:rFonts w:ascii="Times New Roman" w:hAnsi="Times New Roman"/>
          <w:b w:val="0"/>
          <w:i w:val="0"/>
          <w:sz w:val="20"/>
        </w:rPr>
        <w:t xml:space="preserve"> = </w:t>
      </w:r>
      <w:r>
        <w:rPr>
          <w:rFonts w:ascii="Times New Roman" w:hAnsi="Times New Roman"/>
          <w:b w:val="0"/>
          <w:i/>
          <w:sz w:val="20"/>
        </w:rPr>
        <w:t xml:space="preserve">W</w:t>
      </w:r>
      <w:r>
        <w:rPr>
          <w:rFonts w:ascii="Times New Roman" w:hAnsi="Times New Roman"/>
          <w:b w:val="0"/>
          <w:i/>
          <w:sz w:val="20"/>
          <w:vertAlign w:val="subscript"/>
        </w:rPr>
        <w:t>m</w:t>
      </w:r>
      <w:r>
        <w:rPr>
          <w:rFonts w:ascii="Times New Roman" w:hAnsi="Times New Roman"/>
          <w:b w:val="0"/>
          <w:i w:val="0"/>
          <w:sz w:val="20"/>
        </w:rPr>
        <w:t xml:space="preserve"> </w:t>
      </w:r>
      <w:r>
        <w:rPr>
          <w:rFonts w:ascii="Times New Roman" w:hAnsi="Times New Roman"/>
          <w:b w:val="0"/>
          <w:i/>
          <w:sz w:val="20"/>
        </w:rPr>
        <w:t xml:space="preserve">h</w:t>
      </w:r>
      <w:r>
        <w:rPr>
          <w:rFonts w:ascii="Times New Roman" w:hAnsi="Times New Roman"/>
          <w:b w:val="0"/>
          <w:i/>
          <w:sz w:val="20"/>
          <w:vertAlign w:val="subscript"/>
        </w:rPr>
        <w:t>m</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 Figure 2 illustrates the construction pipeline.</w:t>
      </w:r>
    </w:p>
    <w:p>
      <w:pPr>
        <w:spacing w:before="0" w:after="40"/>
        <w:jc w:val="both"/>
      </w:pPr>
      <w:r>
        <w:rPr>
          <w:rFonts w:ascii="Times New Roman" w:hAnsi="Times New Roman"/>
          <w:b w:val="0"/>
          <w:i w:val="0"/>
          <w:sz w:val="20"/>
        </w:rPr>
        <w:t xml:space="preserve">Treating the spectrogram as a 2-D image—rather than a sequence of feature vectors—enables the Vision Transformer to exploit its patch-based self-attention mechanism across both the frequency axis (harmonic structure, formants) and the time axis (rhythm, energy envelope) simultaneously. This representation is complementary to Wav2Vec2 in a fundamental sense: Wav2Vec2 is trained with a contrastive objective over discrete speech units and captures fine-grained temporal structure at the frame level, whereas ViT is pre-trained on natural images and captures holistic visual patterns in the frequency-time plane. Re-using the same waveform that feeds the Wav2Vec2 stream ensures strict synchronisation between the two audio views and eliminates the need for a separate feature extraction pipeline. Per-utterance z-score normalisation removes the effect of recording-level loudness differences, which would otherwise produce spurious visual texture differences unrelated to emotion content.</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5220000" cy="1112498"/>
            <wp:docPr id="4" name="Picture 4"/>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220000" cy="1112498"/>
                    </a:xfrm>
                    <a:prstGeom prst="rect"/>
                  </pic:spPr>
                </pic:pic>
              </a:graphicData>
            </a:graphic>
          </wp:inline>
        </w:drawing>
      </w:r>
    </w:p>
    <w:p>
      <w:pPr>
        <w:spacing w:before="40" w:after="160"/>
        <w:jc w:val="both"/>
      </w:pPr>
      <w:r>
        <w:rPr>
          <w:rFonts w:ascii="Times New Roman" w:hAnsi="Times New Roman"/>
          <w:b/>
          <w:i w:val="0"/>
          <w:sz w:val="18"/>
        </w:rPr>
        <w:t xml:space="preserve">Fig. 2. </w:t>
      </w:r>
      <w:r>
        <w:rPr>
          <w:rFonts w:ascii="Times New Roman" w:hAnsi="Times New Roman"/>
          <w:b w:val="0"/>
          <w:i w:val="0"/>
          <w:sz w:val="18"/>
        </w:rPr>
        <w:t>Log-Mel spectrogram-image construction pipeline. The same waveform processed by the Wav2Vec2 stream is converted in-line to a 224x224 three-channel image fed to a frozen ViT-Base/16.</w:t>
      </w:r>
    </w:p>
    <w:p>
      <w:pPr>
        <w:spacing w:before="160" w:after="40"/>
        <w:jc w:val="left"/>
      </w:pPr>
      <w:r>
        <w:rPr>
          <w:rFonts w:ascii="Times New Roman" w:hAnsi="Times New Roman"/>
          <w:b/>
          <w:i w:val="0"/>
          <w:sz w:val="20"/>
        </w:rPr>
        <w:t>3.3  Prosody-Prompted Text Stream (SpeechCue + DistilBERT)</w:t>
      </w:r>
    </w:p>
    <w:p>
      <w:pPr>
        <w:spacing w:before="0" w:after="40"/>
        <w:jc w:val="both"/>
      </w:pPr>
      <w:r>
        <w:rPr>
          <w:rFonts w:ascii="Times New Roman" w:hAnsi="Times New Roman"/>
          <w:b w:val="0"/>
          <w:i w:val="0"/>
          <w:sz w:val="20"/>
        </w:rPr>
        <w:t>SpeechCue converts mean F0 (Hz), RMS energy, and speech rate R (syl/s) into three discrete tokens. Each statistic xi is discretised via corpus-level tertile boundaries:</w:t>
      </w:r>
    </w:p>
    <w:p>
      <w:pPr>
        <w:spacing w:before="80" w:after="80"/>
        <w:jc w:val="center"/>
      </w:pPr>
      <m:oMathPara>
        <m:oMath>
          <m:r>
            <m:rPr>
              <m:sty m:val="i"/>
            </m:rPr>
            <m:t xml:space="preserve">token</m:t>
          </m:r>
          <m:d>
            <m:dPr>
              <m:ctrlPr/>
            </m:dPr>
            <m:e>
              <m:r>
                <m:rPr>
                  <m:sty m:val="i"/>
                </m:rPr>
                <m:t xml:space="preserve">ξ</m:t>
              </m:r>
            </m:e>
          </m:d>
          <m:r>
            <m:rPr>
              <m:sty m:val="i"/>
            </m:rPr>
            <m:t xml:space="preserve"> = </m:t>
          </m:r>
          <m:m>
            <m:mPr>
              <m:mcs>
                <m:mc>
                  <m:mcPr>
                    <m:count m:val="2"/>
                    <m:mcJc m:val="left"/>
                  </m:mcPr>
                </m:mc>
              </m:mcs>
              <m:ctrlPr/>
            </m:mPr>
            <m:mr>
              <m:e>
                <m:r>
                  <m:rPr>
                    <m:sty m:val="i"/>
                  </m:rPr>
                  <m:t xml:space="preserve">LOW</m:t>
                </m:r>
              </m:e>
              <m:e>
                <m:r>
                  <m:rPr>
                    <m:sty m:val="i"/>
                  </m:rPr>
                  <m:t xml:space="preserve">if ξ &lt; </m:t>
                </m:r>
                <m:sSub>
                  <m:sSubPr>
                    <m:ctrlPr/>
                  </m:sSubPr>
                  <m:e>
                    <m:r>
                      <m:rPr>
                        <m:sty m:val="i"/>
                      </m:rPr>
                      <m:t xml:space="preserve">q</m:t>
                    </m:r>
                  </m:e>
                  <m:sub>
                    <m:r>
                      <m:rPr>
                        <m:sty m:val="i"/>
                      </m:rPr>
                      <m:t xml:space="preserve">33</m:t>
                    </m:r>
                  </m:sub>
                </m:sSub>
              </m:e>
            </m:mr>
            <m:mr>
              <m:e>
                <m:r>
                  <m:rPr>
                    <m:sty m:val="i"/>
                  </m:rPr>
                  <m:t xml:space="preserve">MID</m:t>
                </m:r>
              </m:e>
              <m:e>
                <m:sSub>
                  <m:sSubPr>
                    <m:ctrlPr/>
                  </m:sSubPr>
                  <m:e>
                    <m:r>
                      <m:rPr>
                        <m:sty m:val="i"/>
                      </m:rPr>
                      <m:t xml:space="preserve">q</m:t>
                    </m:r>
                  </m:e>
                  <m:sub>
                    <m:r>
                      <m:rPr>
                        <m:sty m:val="i"/>
                      </m:rPr>
                      <m:t xml:space="preserve">33</m:t>
                    </m:r>
                  </m:sub>
                </m:sSub>
                <m:r>
                  <m:rPr>
                    <m:sty m:val="i"/>
                  </m:rPr>
                  <m:t xml:space="preserve"> ≤ ξ &lt; </m:t>
                </m:r>
                <m:sSub>
                  <m:sSubPr>
                    <m:ctrlPr/>
                  </m:sSubPr>
                  <m:e>
                    <m:r>
                      <m:rPr>
                        <m:sty m:val="i"/>
                      </m:rPr>
                      <m:t xml:space="preserve">q</m:t>
                    </m:r>
                  </m:e>
                  <m:sub>
                    <m:r>
                      <m:rPr>
                        <m:sty m:val="i"/>
                      </m:rPr>
                      <m:t xml:space="preserve">66</m:t>
                    </m:r>
                  </m:sub>
                </m:sSub>
              </m:e>
            </m:mr>
            <m:mr>
              <m:e>
                <m:r>
                  <m:rPr>
                    <m:sty m:val="i"/>
                  </m:rPr>
                  <m:t xml:space="preserve">HIGH</m:t>
                </m:r>
              </m:e>
              <m:e>
                <m:r>
                  <m:rPr>
                    <m:sty m:val="i"/>
                  </m:rPr>
                  <m:t xml:space="preserve">if ξ ≥ </m:t>
                </m:r>
                <m:sSub>
                  <m:sSubPr>
                    <m:ctrlPr/>
                  </m:sSubPr>
                  <m:e>
                    <m:r>
                      <m:rPr>
                        <m:sty m:val="i"/>
                      </m:rPr>
                      <m:t xml:space="preserve">q</m:t>
                    </m:r>
                  </m:e>
                  <m:sub>
                    <m:r>
                      <m:rPr>
                        <m:sty m:val="i"/>
                      </m:rPr>
                      <m:t xml:space="preserve">66</m:t>
                    </m:r>
                  </m:sub>
                </m:sSub>
              </m:e>
            </m:mr>
          </m:m>
        </m:oMath>
      </m:oMathPara>
      <w:r>
        <w:rPr>
          <w:rFonts w:ascii="Times New Roman" w:hAnsi="Times New Roman"/>
          <w:sz w:val="20"/>
        </w:rPr>
        <w:t xml:space="preserve">    (1)</w:t>
      </w:r>
    </w:p>
    <w:p>
      <w:pPr>
        <w:jc w:val="both"/>
        <w:spacing w:before="40" w:after="80"/>
        <w:ind w:left="426"/>
      </w:pPr>
      <w:r>
        <w:rPr>
          <w:rFonts w:ascii="Times New Roman" w:hAnsi="Times New Roman"/>
          <w:sz w:val="18"/>
          <w:i/>
          <w:iCs/>
        </w:rPr>
        <w:t xml:space="preserve">where ξ ∈ {F₀, E, R} is one of the three prosodic statistics (mean fundamental frequency F₀, RMS energy E, syllable rate R); q₃₃ and q₆₆ are the 33rd and 66th percentile thresholds of ξ, estimated on the training partition.</w:t>
      </w:r>
    </w:p>
    <w:p>
      <w:pPr>
        <w:spacing w:before="0" w:after="40"/>
        <w:ind w:firstLine="283"/>
        <w:jc w:val="both"/>
      </w:pPr>
      <w:r>
        <w:rPr>
          <w:rFonts w:ascii="Times New Roman" w:hAnsi="Times New Roman"/>
          <w:b w:val="0"/>
          <w:i w:val="0"/>
          <w:sz w:val="20"/>
        </w:rPr>
        <w:t xml:space="preserve">Nine vocabulary entries {[P-LOW/MID/HIGH], [E-LOW/MID/HIGH], [R-LOW/MID/HIGH]} are added to DistilBERT and randomly initialised. F₀ extracted by pYIN; rate from forced-aligned transcripts. Input: [CLS] [P-x] [E-x] [R-x] word1 … [SEP]. Last 4 DistilBERT layers fine-tuned. The [CLS] embedding </w:t>
      </w:r>
      <w:r>
        <w:rPr>
          <w:rFonts w:ascii="Times New Roman" w:hAnsi="Times New Roman"/>
          <w:b w:val="0"/>
          <w:i/>
          <w:sz w:val="20"/>
        </w:rPr>
        <w:t xml:space="preserve">h</w:t>
      </w:r>
      <w:r>
        <w:rPr>
          <w:rFonts w:ascii="Times New Roman" w:hAnsi="Times New Roman"/>
          <w:b w:val="0"/>
          <w:i/>
          <w:sz w:val="20"/>
          <w:vertAlign w:val="subscript"/>
        </w:rPr>
        <w:t>t</w:t>
      </w:r>
      <w:r>
        <w:rPr>
          <w:rFonts w:ascii="Times New Roman" w:hAnsi="Times New Roman"/>
          <w:b w:val="0"/>
          <w:i w:val="0"/>
          <w:sz w:val="20"/>
        </w:rPr>
        <w:t xml:space="preserve"> in ℝ</w:t>
      </w:r>
      <w:r>
        <w:rPr>
          <w:rFonts w:ascii="Times New Roman" w:hAnsi="Times New Roman"/>
          <w:b w:val="0"/>
          <w:i/>
          <w:sz w:val="20"/>
          <w:vertAlign w:val="superscript"/>
        </w:rPr>
        <w:t>768</w:t>
      </w:r>
      <w:r>
        <w:rPr>
          <w:rFonts w:ascii="Times New Roman" w:hAnsi="Times New Roman"/>
          <w:b w:val="0"/>
          <w:i w:val="0"/>
          <w:sz w:val="20"/>
        </w:rPr>
        <w:t xml:space="preserve"> is projected: </w:t>
      </w:r>
      <w:r>
        <w:rPr>
          <w:rFonts w:ascii="Times New Roman" w:hAnsi="Times New Roman"/>
          <w:b w:val="0"/>
          <w:i/>
          <w:sz w:val="20"/>
        </w:rPr>
        <w:t xml:space="preserve">t</w:t>
      </w:r>
      <w:r>
        <w:rPr>
          <w:rFonts w:ascii="Times New Roman" w:hAnsi="Times New Roman"/>
          <w:b w:val="0"/>
          <w:i w:val="0"/>
          <w:sz w:val="20"/>
        </w:rPr>
        <w:t xml:space="preserve"> = </w:t>
      </w:r>
      <w:r>
        <w:rPr>
          <w:rFonts w:ascii="Times New Roman" w:hAnsi="Times New Roman"/>
          <w:b w:val="0"/>
          <w:i/>
          <w:sz w:val="20"/>
        </w:rPr>
        <w:t xml:space="preserve">W</w:t>
      </w:r>
      <w:r>
        <w:rPr>
          <w:rFonts w:ascii="Times New Roman" w:hAnsi="Times New Roman"/>
          <w:b w:val="0"/>
          <w:i/>
          <w:sz w:val="20"/>
          <w:vertAlign w:val="subscript"/>
        </w:rPr>
        <w:t>t</w:t>
      </w:r>
      <w:r>
        <w:rPr>
          <w:rFonts w:ascii="Times New Roman" w:hAnsi="Times New Roman"/>
          <w:b w:val="0"/>
          <w:i w:val="0"/>
          <w:sz w:val="20"/>
        </w:rPr>
        <w:t xml:space="preserve"> </w:t>
      </w:r>
      <w:r>
        <w:rPr>
          <w:rFonts w:ascii="Times New Roman" w:hAnsi="Times New Roman"/>
          <w:b w:val="0"/>
          <w:i/>
          <w:sz w:val="20"/>
        </w:rPr>
        <w:t xml:space="preserve">h</w:t>
      </w:r>
      <w:r>
        <w:rPr>
          <w:rFonts w:ascii="Times New Roman" w:hAnsi="Times New Roman"/>
          <w:b w:val="0"/>
          <w:i/>
          <w:sz w:val="20"/>
          <w:vertAlign w:val="subscript"/>
        </w:rPr>
        <w:t>t</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 See Figure 3.</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4860000" cy="1551416"/>
            <wp:docPr id="5" name="Picture 5"/>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4860000" cy="1551416"/>
                    </a:xfrm>
                    <a:prstGeom prst="rect"/>
                  </pic:spPr>
                </pic:pic>
              </a:graphicData>
            </a:graphic>
          </wp:inline>
        </w:drawing>
      </w:r>
    </w:p>
    <w:p>
      <w:pPr>
        <w:spacing w:before="40" w:after="160"/>
        <w:jc w:val="both"/>
      </w:pPr>
      <w:r>
        <w:rPr>
          <w:rFonts w:ascii="Times New Roman" w:hAnsi="Times New Roman"/>
          <w:b/>
          <w:i w:val="0"/>
          <w:sz w:val="18"/>
        </w:rPr>
        <w:t xml:space="preserve">Fig. 3. </w:t>
      </w:r>
      <w:r>
        <w:rPr>
          <w:rFonts w:ascii="Times New Roman" w:hAnsi="Times New Roman"/>
          <w:b w:val="0"/>
          <w:i w:val="0"/>
          <w:sz w:val="18"/>
        </w:rPr>
        <w:t>SpeechCue prosody prompting. Three prosodic statistics are discretised into low/mid/high semantic tokens and prepended to the DistilBERT input.</w:t>
      </w:r>
    </w:p>
    <w:p>
      <w:pPr>
        <w:spacing w:before="0" w:after="40"/>
        <w:jc w:val="both"/>
      </w:pPr>
      <w:r>
        <w:rPr>
          <w:rFonts w:ascii="Times New Roman" w:hAnsi="Times New Roman"/>
          <w:b w:val="0"/>
          <w:i w:val="0"/>
          <w:sz w:val="20"/>
        </w:rPr>
        <w:t xml:space="preserve">The key advantage of SpeechCue over continuous prosody injection methods is its interpretability and minimal parameter overhead. Because the vocabulary is fixed at nine entries, the module adds only 9×768 = 6,912 trainable embedding parameters to DistilBERT—less than 0.01 % of the model size. The tertile boundaries are computed once from training-partition statistics, requiring no auxiliary network at inference time. This contrasts with ProsodyBERT (which learns continuous prosody representations self-supervisedly) and neural codec tokenisers (which discretise the waveform acoustically but without semantic interpretability). SpeechCue provides a direct, human-readable mapping: the token [P-HIGH] unambiguously denotes high pitch, allowing a practitioner to inspect the prosodic label assigned to any utterance without decoding a latent embedding.</w:t>
      </w:r>
    </w:p>
    <w:p>
      <w:pPr>
        <w:spacing w:before="160" w:after="40"/>
        <w:jc w:val="left"/>
      </w:pPr>
      <w:r>
        <w:rPr>
          <w:rFonts w:ascii="Times New Roman" w:hAnsi="Times New Roman"/>
          <w:b/>
          <w:i w:val="0"/>
          <w:sz w:val="20"/>
        </w:rPr>
        <w:t>3.4  Conflict-Aware Cross-Attention Fusion</w:t>
      </w:r>
    </w:p>
    <w:p>
      <w:pPr>
        <w:spacing w:before="0" w:after="40"/>
        <w:jc w:val="both"/>
      </w:pPr>
      <w:r>
        <w:rPr>
          <w:rFonts w:ascii="Times New Roman" w:hAnsi="Times New Roman"/>
          <w:b w:val="0"/>
          <w:i w:val="0"/>
          <w:sz w:val="20"/>
        </w:rPr>
        <w:t>Each projected embedding feeds a stream-specific head to produce unimodal logits:</w:t>
      </w:r>
    </w:p>
    <w:p>
      <w:pPr>
        <w:spacing w:before="80" w:after="80"/>
        <w:jc w:val="center"/>
      </w:pPr>
      <m:oMathPara>
        <m:oMath>
          <m:sSub>
            <m:sSubPr>
              <m:ctrlPr/>
            </m:sSubPr>
            <m:e>
              <m:r>
                <m:rPr>
                  <m:sty m:val="i"/>
                </m:rPr>
                <m:t xml:space="preserve">ℓ</m:t>
              </m:r>
            </m:e>
            <m:sub>
              <m:r>
                <m:rPr>
                  <m:sty m:val="i"/>
                </m:rPr>
                <m:t xml:space="preserve">a</m:t>
              </m:r>
            </m:sub>
          </m:sSub>
          <m:r>
            <m:rPr>
              <m:sty m:val="i"/>
            </m:rPr>
            <m:t xml:space="preserve"> = </m:t>
          </m:r>
          <m:sSubSup>
            <m:sSubSupPr>
              <m:ctrlPr/>
            </m:sSubSupPr>
            <m:e>
              <m:r>
                <m:rPr>
                  <m:sty m:val="i"/>
                </m:rPr>
                <m:t xml:space="preserve">W</m:t>
              </m:r>
            </m:e>
            <m:sub>
              <m:r>
                <m:rPr>
                  <m:sty m:val="i"/>
                </m:rPr>
                <m:t xml:space="preserve">a</m:t>
              </m:r>
            </m:sub>
            <m:sup>
              <m:r>
                <m:rPr>
                  <m:sty m:val="i"/>
                </m:rPr>
                <m:t xml:space="preserve">cls</m:t>
              </m:r>
            </m:sup>
          </m:sSubSup>
          <m:r>
            <m:rPr>
              <m:sty m:val="i"/>
            </m:rPr>
            <m:t xml:space="preserve">a,  </m:t>
          </m:r>
          <m:sSub>
            <m:sSubPr>
              <m:ctrlPr/>
            </m:sSubPr>
            <m:e>
              <m:r>
                <m:rPr>
                  <m:sty m:val="i"/>
                </m:rPr>
                <m:t xml:space="preserve">ℓ</m:t>
              </m:r>
            </m:e>
            <m:sub>
              <m:r>
                <m:rPr>
                  <m:sty m:val="i"/>
                </m:rPr>
                <m:t xml:space="preserve">m</m:t>
              </m:r>
            </m:sub>
          </m:sSub>
          <m:r>
            <m:rPr>
              <m:sty m:val="i"/>
            </m:rPr>
            <m:t xml:space="preserve"> = </m:t>
          </m:r>
          <m:sSubSup>
            <m:sSubSupPr>
              <m:ctrlPr/>
            </m:sSubSupPr>
            <m:e>
              <m:r>
                <m:rPr>
                  <m:sty m:val="i"/>
                </m:rPr>
                <m:t xml:space="preserve">W</m:t>
              </m:r>
            </m:e>
            <m:sub>
              <m:r>
                <m:rPr>
                  <m:sty m:val="i"/>
                </m:rPr>
                <m:t xml:space="preserve">m</m:t>
              </m:r>
            </m:sub>
            <m:sup>
              <m:r>
                <m:rPr>
                  <m:sty m:val="i"/>
                </m:rPr>
                <m:t xml:space="preserve">cls</m:t>
              </m:r>
            </m:sup>
          </m:sSubSup>
          <m:r>
            <m:rPr>
              <m:sty m:val="i"/>
            </m:rPr>
            <m:t xml:space="preserve">m,  </m:t>
          </m:r>
          <m:sSub>
            <m:sSubPr>
              <m:ctrlPr/>
            </m:sSubPr>
            <m:e>
              <m:r>
                <m:rPr>
                  <m:sty m:val="i"/>
                </m:rPr>
                <m:t xml:space="preserve">ℓ</m:t>
              </m:r>
            </m:e>
            <m:sub>
              <m:r>
                <m:rPr>
                  <m:sty m:val="i"/>
                </m:rPr>
                <m:t xml:space="preserve">t</m:t>
              </m:r>
            </m:sub>
          </m:sSub>
          <m:r>
            <m:rPr>
              <m:sty m:val="i"/>
            </m:rPr>
            <m:t xml:space="preserve"> = </m:t>
          </m:r>
          <m:sSubSup>
            <m:sSubSupPr>
              <m:ctrlPr/>
            </m:sSubSupPr>
            <m:e>
              <m:r>
                <m:rPr>
                  <m:sty m:val="i"/>
                </m:rPr>
                <m:t xml:space="preserve">W</m:t>
              </m:r>
            </m:e>
            <m:sub>
              <m:r>
                <m:rPr>
                  <m:sty m:val="i"/>
                </m:rPr>
                <m:t xml:space="preserve">t</m:t>
              </m:r>
            </m:sub>
            <m:sup>
              <m:r>
                <m:rPr>
                  <m:sty m:val="i"/>
                </m:rPr>
                <m:t xml:space="preserve">cls</m:t>
              </m:r>
            </m:sup>
          </m:sSubSup>
          <m:r>
            <m:rPr>
              <m:sty m:val="i"/>
            </m:rPr>
            <m:t xml:space="preserve">t,  </m:t>
          </m:r>
          <m:sSubSup>
            <m:sSubSupPr>
              <m:ctrlPr/>
            </m:sSubSupPr>
            <m:e>
              <m:r>
                <m:rPr>
                  <m:sty m:val="i"/>
                </m:rPr>
                <m:t xml:space="preserve">W</m:t>
              </m:r>
            </m:e>
            <m:sub>
              <m:r>
                <m:rPr>
                  <m:sty m:val="i"/>
                </m:rPr>
                <m:t xml:space="preserve">*</m:t>
              </m:r>
            </m:sub>
            <m:sup>
              <m:r>
                <m:rPr>
                  <m:sty m:val="i"/>
                </m:rPr>
                <m:t xml:space="preserve">cls</m:t>
              </m:r>
            </m:sup>
          </m:sSubSup>
          <m:r>
            <m:rPr>
              <m:sty m:val="i"/>
            </m:rPr>
            <m:t xml:space="preserve"> ∈ ℝ</m:t>
          </m:r>
          <m:sSup>
            <m:sSupPr>
              <m:ctrlPr/>
            </m:sSupPr>
            <m:e>
              <m:r>
                <m:rPr>
                  <m:sty m:val="i"/>
                </m:rPr>
                <m:t xml:space="preserve"/>
              </m:r>
            </m:e>
            <m:sup>
              <m:r>
                <m:rPr>
                  <m:sty m:val="i"/>
                </m:rPr>
                <m:t xml:space="preserve">4×512</m:t>
              </m:r>
            </m:sup>
          </m:sSup>
        </m:oMath>
      </m:oMathPara>
      <w:r>
        <w:rPr>
          <w:rFonts w:ascii="Times New Roman" w:hAnsi="Times New Roman"/>
          <w:sz w:val="20"/>
        </w:rPr>
        <w:t xml:space="preserve">    (2)</w:t>
      </w:r>
    </w:p>
    <w:p>
      <w:pPr>
        <w:jc w:val="both"/>
        <w:spacing w:before="40" w:after="80"/>
        <w:ind w:left="426"/>
      </w:pPr>
      <w:r>
        <w:rPr>
          <w:rFonts w:ascii="Times New Roman" w:hAnsi="Times New Roman"/>
          <w:sz w:val="18"/>
          <w:i/>
          <w:iCs/>
        </w:rPr>
        <w:t>where ℓ</w:t>
      </w:r>
      <w:r>
        <w:rPr>
          <w:rFonts w:ascii="Times New Roman" w:hAnsi="Times New Roman"/>
          <w:sz w:val="18"/>
          <w:i/>
          <w:iCs/>
          <w:vertAlign w:val="subscript"/>
        </w:rPr>
        <w:t>a</w:t>
      </w:r>
      <w:r>
        <w:rPr>
          <w:rFonts w:ascii="Times New Roman" w:hAnsi="Times New Roman"/>
          <w:sz w:val="18"/>
          <w:i/>
          <w:iCs/>
        </w:rPr>
        <w:t>, ℓ</w:t>
      </w:r>
      <w:r>
        <w:rPr>
          <w:rFonts w:ascii="Times New Roman" w:hAnsi="Times New Roman"/>
          <w:sz w:val="18"/>
          <w:i/>
          <w:iCs/>
          <w:vertAlign w:val="subscript"/>
        </w:rPr>
        <w:t>m</w:t>
      </w:r>
      <w:r>
        <w:rPr>
          <w:rFonts w:ascii="Times New Roman" w:hAnsi="Times New Roman"/>
          <w:sz w:val="18"/>
          <w:i/>
          <w:iCs/>
        </w:rPr>
        <w:t>, ℓ</w:t>
      </w:r>
      <w:r>
        <w:rPr>
          <w:rFonts w:ascii="Times New Roman" w:hAnsi="Times New Roman"/>
          <w:sz w:val="18"/>
          <w:i/>
          <w:iCs/>
          <w:vertAlign w:val="subscript"/>
        </w:rPr>
        <w:t>t</w:t>
      </w:r>
      <w:r>
        <w:rPr>
          <w:rFonts w:ascii="Times New Roman" w:hAnsi="Times New Roman"/>
          <w:sz w:val="18"/>
          <w:i/>
          <w:iCs/>
        </w:rPr>
        <w:t xml:space="preserve"> ∈ ℝ</w:t>
      </w:r>
      <w:r>
        <w:rPr>
          <w:rFonts w:ascii="Times New Roman" w:hAnsi="Times New Roman"/>
          <w:sz w:val="18"/>
          <w:i/>
          <w:iCs/>
          <w:vertAlign w:val="superscript"/>
        </w:rPr>
        <w:t>4</w:t>
      </w:r>
      <w:r>
        <w:rPr>
          <w:rFonts w:ascii="Times New Roman" w:hAnsi="Times New Roman"/>
          <w:sz w:val="18"/>
          <w:i/>
          <w:iCs/>
        </w:rPr>
        <w:t xml:space="preserve"> are the unimodal logit vectors for the waveform, mel-image, and text streams respectively; W</w:t>
      </w:r>
      <w:r>
        <w:rPr>
          <w:rFonts w:ascii="Times New Roman" w:hAnsi="Times New Roman"/>
          <w:sz w:val="18"/>
          <w:i/>
          <w:iCs/>
          <w:vertAlign w:val="subscript"/>
        </w:rPr>
        <w:t>a</w:t>
      </w:r>
      <w:r>
        <w:rPr>
          <w:rFonts w:ascii="Times New Roman" w:hAnsi="Times New Roman"/>
          <w:sz w:val="18"/>
          <w:i/>
          <w:iCs/>
        </w:rPr>
        <w:t>, W</w:t>
      </w:r>
      <w:r>
        <w:rPr>
          <w:rFonts w:ascii="Times New Roman" w:hAnsi="Times New Roman"/>
          <w:sz w:val="18"/>
          <w:i/>
          <w:iCs/>
          <w:vertAlign w:val="subscript"/>
        </w:rPr>
        <w:t>m</w:t>
      </w:r>
      <w:r>
        <w:rPr>
          <w:rFonts w:ascii="Times New Roman" w:hAnsi="Times New Roman"/>
          <w:sz w:val="18"/>
          <w:i/>
          <w:iCs/>
        </w:rPr>
        <w:t>, W</w:t>
      </w:r>
      <w:r>
        <w:rPr>
          <w:rFonts w:ascii="Times New Roman" w:hAnsi="Times New Roman"/>
          <w:sz w:val="18"/>
          <w:i/>
          <w:iCs/>
          <w:vertAlign w:val="subscript"/>
        </w:rPr>
        <w:t>t</w:t>
      </w:r>
      <w:r>
        <w:rPr>
          <w:rFonts w:ascii="Times New Roman" w:hAnsi="Times New Roman"/>
          <w:sz w:val="18"/>
          <w:i/>
          <w:iCs/>
        </w:rPr>
        <w:t xml:space="preserve"> ∈ ℝ</w:t>
      </w:r>
      <w:r>
        <w:rPr>
          <w:rFonts w:ascii="Times New Roman" w:hAnsi="Times New Roman"/>
          <w:sz w:val="18"/>
          <w:i/>
          <w:iCs/>
          <w:vertAlign w:val="superscript"/>
        </w:rPr>
        <w:t>4×512</w:t>
      </w:r>
      <w:r>
        <w:rPr>
          <w:rFonts w:ascii="Times New Roman" w:hAnsi="Times New Roman"/>
          <w:sz w:val="18"/>
          <w:i/>
          <w:iCs/>
        </w:rPr>
        <w:t xml:space="preserve"> are the stream-specific classification projection matrices.</w:t>
      </w:r>
    </w:p>
    <w:p>
      <w:pPr>
        <w:spacing w:before="80" w:after="0"/>
        <w:jc w:val="both"/>
      </w:pPr>
      <w:r>
        <w:rPr>
          <w:rFonts w:ascii="Times New Roman" w:hAnsi="Times New Roman"/>
          <w:b/>
          <w:i w:val="0"/>
          <w:sz w:val="20"/>
        </w:rPr>
        <w:t>Conflict Detection.</w:t>
      </w:r>
      <w:r>
        <w:rPr>
          <w:rFonts w:ascii="Times New Roman" w:hAnsi="Times New Roman"/>
          <w:b w:val="0"/>
          <w:i w:val="0"/>
          <w:sz w:val="20"/>
        </w:rPr>
        <w:t xml:space="preserve"> A conflict fires when &gt;= 2 of 3 pairwise predictors disagree:</w:t>
      </w:r>
    </w:p>
    <w:p>
      <w:pPr>
        <w:spacing w:before="80" w:after="80"/>
        <w:jc w:val="center"/>
      </w:pPr>
      <m:oMathPara>
        <m:oMath>
          <m:r>
            <m:rPr>
              <m:sty m:val="i"/>
            </m:rPr>
            <m:t>c = 𝟙</m:t>
          </m:r>
          <m:d>
            <m:dPr>
              <m:begChr m:val="["/>
              <m:endChr m:val="]"/>
              <m:ctrlPr/>
            </m:dPr>
            <m:e>
              <m:nary>
                <m:naryPr>
                  <m:chr m:val="∑"/>
                  <m:limLoc m:val="undOvr"/>
                  <m:ctrlPr/>
                </m:naryPr>
                <m:sub>
                  <m:r>
                    <m:rPr>
                      <m:sty m:val="i"/>
                    </m:rPr>
                    <m:t xml:space="preserve">i&lt;j</m:t>
                  </m:r>
                </m:sub>
                <m:sup>
                  <m:r>
                    <m:rPr>
                      <m:sty m:val="i"/>
                    </m:rPr>
                    <m:t xml:space="preserve"/>
                  </m:r>
                </m:sup>
                <m:e>
                  <m:r>
                    <m:rPr>
                      <m:sty m:val="i"/>
                    </m:rPr>
                    <m:t xml:space="preserve">𝟙</m:t>
                  </m:r>
                  <m:d>
                    <m:dPr>
                      <m:begChr m:val="["/>
                      <m:endChr m:val="]"/>
                      <m:ctrlPr/>
                    </m:dPr>
                    <m:e>
                      <m:r>
                        <m:rPr>
                          <m:sty m:val="i"/>
                        </m:rPr>
                        <m:t xml:space="preserve">argmax</m:t>
                      </m:r>
                      <m:d>
                        <m:dPr>
                          <m:ctrlPr/>
                        </m:dPr>
                        <m:e>
                          <m:sSub>
                            <m:sSubPr>
                              <m:ctrlPr/>
                            </m:sSubPr>
                            <m:e>
                              <m:r>
                                <m:rPr>
                                  <m:sty m:val="i"/>
                                </m:rPr>
                                <m:t xml:space="preserve">ℓ</m:t>
                              </m:r>
                            </m:e>
                            <m:sub>
                              <m:r>
                                <m:rPr>
                                  <m:sty m:val="i"/>
                                </m:rPr>
                                <m:t xml:space="preserve">i</m:t>
                              </m:r>
                            </m:sub>
                          </m:sSub>
                        </m:e>
                      </m:d>
                      <m:r>
                        <m:rPr>
                          <m:sty m:val="i"/>
                        </m:rPr>
                        <m:t xml:space="preserve"> ≠ argmax</m:t>
                      </m:r>
                      <m:d>
                        <m:dPr>
                          <m:ctrlPr/>
                        </m:dPr>
                        <m:e>
                          <m:sSub>
                            <m:sSubPr>
                              <m:ctrlPr/>
                            </m:sSubPr>
                            <m:e>
                              <m:r>
                                <m:rPr>
                                  <m:sty m:val="i"/>
                                </m:rPr>
                                <m:t xml:space="preserve">ℓ</m:t>
                              </m:r>
                            </m:e>
                            <m:sub>
                              <m:r>
                                <m:rPr>
                                  <m:sty m:val="i"/>
                                </m:rPr>
                                <m:t xml:space="preserve">j</m:t>
                              </m:r>
                            </m:sub>
                          </m:sSub>
                        </m:e>
                      </m:d>
                    </m:e>
                  </m:d>
                </m:e>
              </m:nary>
              <m:r>
                <m:rPr>
                  <m:sty m:val="i"/>
                </m:rPr>
                <m:t xml:space="preserve"> ≥ 2</m:t>
              </m:r>
            </m:e>
          </m:d>
          <m:r>
            <m:rPr>
              <m:sty m:val="i"/>
            </m:rPr>
            <m:t xml:space="preserve">,  c ∈ </m:t>
          </m:r>
          <m:d>
            <m:dPr>
              <m:begChr m:val="{"/>
              <m:endChr m:val="}"/>
              <m:ctrlPr/>
            </m:dPr>
            <m:e>
              <m:r>
                <m:rPr>
                  <m:sty m:val="i"/>
                </m:rPr>
                <m:t xml:space="preserve">0, 1</m:t>
              </m:r>
            </m:e>
          </m:d>
        </m:oMath>
      </m:oMathPara>
      <w:r>
        <w:rPr>
          <w:rFonts w:ascii="Times New Roman" w:hAnsi="Times New Roman"/>
          <w:sz w:val="20"/>
        </w:rPr>
        <w:t xml:space="preserve">    (3)</w:t>
      </w:r>
    </w:p>
    <w:p>
      <w:pPr>
        <w:jc w:val="both"/>
        <w:spacing w:before="40" w:after="80"/>
        <w:ind w:left="426"/>
      </w:pPr>
      <w:r>
        <w:rPr>
          <w:rFonts w:ascii="Times New Roman" w:hAnsi="Times New Roman"/>
          <w:sz w:val="18"/>
          <w:i/>
          <w:iCs/>
        </w:rPr>
        <w:t>where c ∈ {0, 1} is the binary conflict indicator; 𝟙[·] is the indicator function (equals 1 when the condition holds, 0 otherwise); argmax(ℓ</w:t>
      </w:r>
      <w:r>
        <w:rPr>
          <w:rFonts w:ascii="Times New Roman" w:hAnsi="Times New Roman"/>
          <w:sz w:val="18"/>
          <w:i/>
          <w:iCs/>
          <w:vertAlign w:val="subscript"/>
        </w:rPr>
        <w:t>i</w:t>
      </w:r>
      <w:r>
        <w:rPr>
          <w:rFonts w:ascii="Times New Roman" w:hAnsi="Times New Roman"/>
          <w:sz w:val="18"/>
          <w:i/>
          <w:iCs/>
        </w:rPr>
        <w:t>) is the predicted class index for stream i; the sum ranges over the three pairs (a, m), (a, t), (m, t).</w:t>
      </w:r>
    </w:p>
    <w:p>
      <w:pPr>
        <w:spacing w:before="0" w:after="40"/>
        <w:ind w:firstLine="283"/>
        <w:jc w:val="both"/>
      </w:pPr>
      <w:r>
        <w:rPr>
          <w:rFonts w:ascii="Times New Roman" w:hAnsi="Times New Roman"/>
          <w:b w:val="0"/>
          <w:i w:val="0"/>
          <w:sz w:val="20"/>
        </w:rPr>
        <w:t>The gate activates on ~30.9% of IEMOCAP training utterances (41.7% for Happy, 18.3% for Sad).</w:t>
      </w:r>
    </w:p>
    <w:p>
      <w:pPr>
        <w:spacing w:before="80" w:after="0"/>
        <w:jc w:val="both"/>
      </w:pPr>
      <w:r>
        <w:rPr>
          <w:rFonts w:ascii="Times New Roman" w:hAnsi="Times New Roman"/>
          <w:b/>
          <w:i w:val="0"/>
          <w:sz w:val="20"/>
        </w:rPr>
        <w:t>Conflict Resolution.</w:t>
      </w:r>
      <w:r>
        <w:rPr>
          <w:rFonts w:ascii="Times New Roman" w:hAnsi="Times New Roman"/>
          <w:b w:val="0"/>
          <w:i w:val="0"/>
          <w:sz w:val="20"/>
        </w:rPr>
        <w:t xml:space="preserve"> c=0: uniform weights 1/3. c=1: MLP produces softmax-normalised weights:</w:t>
      </w:r>
    </w:p>
    <w:p>
      <w:pPr>
        <w:spacing w:before="80" w:after="80"/>
        <w:jc w:val="center"/>
      </w:pPr>
      <m:oMathPara>
        <m:oMath>
          <m:r>
            <m:rPr>
              <m:sty m:val="i"/>
            </m:rPr>
            <m:t xml:space="preserve">w = </m:t>
          </m:r>
          <m:func>
            <m:funcPr>
              <m:ctrlPr/>
            </m:funcPr>
            <m:fName>
              <m:r>
                <m:rPr>
                  <m:sty m:val="p"/>
                </m:rPr>
                <m:t xml:space="preserve">softmax</m:t>
              </m:r>
            </m:fName>
            <m:e>
              <m:sSub>
                <m:sSubPr>
                  <m:ctrlPr/>
                </m:sSubPr>
                <m:e>
                  <m:r>
                    <m:rPr>
                      <m:sty m:val="p"/>
                    </m:rPr>
                    <m:t xml:space="preserve">MLP</m:t>
                  </m:r>
                </m:e>
                <m:sub>
                  <m:r>
                    <m:rPr>
                      <m:sty m:val="i"/>
                    </m:rPr>
                    <m:t xml:space="preserve">w</m:t>
                  </m:r>
                </m:sub>
              </m:sSub>
              <m:d>
                <m:dPr>
                  <m:begChr m:val="["/>
                  <m:endChr m:val="]"/>
                  <m:ctrlPr/>
                </m:dPr>
                <m:e>
                  <m:r>
                    <m:rPr>
                      <m:sty m:val="i"/>
                    </m:rPr>
                    <m:t xml:space="preserve">a ; m ; t</m:t>
                  </m:r>
                </m:e>
              </m:d>
            </m:e>
          </m:func>
          <m:r>
            <m:rPr>
              <m:sty m:val="i"/>
            </m:rPr>
            <m:t xml:space="preserve"> ∈ Δ²</m:t>
          </m:r>
        </m:oMath>
      </m:oMathPara>
      <w:r>
        <w:rPr>
          <w:rFonts w:ascii="Times New Roman" w:hAnsi="Times New Roman"/>
          <w:sz w:val="20"/>
        </w:rPr>
        <w:t xml:space="preserve">    (4)</w:t>
      </w:r>
    </w:p>
    <w:p>
      <w:pPr>
        <w:jc w:val="both"/>
        <w:spacing w:before="40" w:after="80"/>
        <w:ind w:left="426"/>
      </w:pPr>
      <w:r>
        <w:rPr>
          <w:rFonts w:ascii="Times New Roman" w:hAnsi="Times New Roman"/>
          <w:sz w:val="18"/>
          <w:i/>
          <w:iCs/>
        </w:rPr>
        <w:t xml:space="preserve">where MLP</w:t>
      </w:r>
      <w:r>
        <w:rPr>
          <w:rFonts w:ascii="Times New Roman" w:hAnsi="Times New Roman"/>
          <w:sz w:val="18"/>
          <w:i w:val="0"/>
          <w:vertAlign w:val="subscript"/>
        </w:rPr>
        <w:t>w</w:t>
      </w:r>
      <w:r>
        <w:rPr>
          <w:rFonts w:ascii="Times New Roman" w:hAnsi="Times New Roman"/>
          <w:sz w:val="18"/>
          <w:i/>
          <w:iCs/>
        </w:rPr>
        <w:t xml:space="preserve"> is a two-layer MLP (512→256→3, ReLU) trained end-to-end; [a ; m ; t] ∈ ℝ</w:t>
      </w:r>
      <w:r>
        <w:rPr>
          <w:rFonts w:ascii="Times New Roman" w:hAnsi="Times New Roman"/>
          <w:sz w:val="18"/>
          <w:i/>
          <w:iCs/>
          <w:vertAlign w:val="superscript"/>
        </w:rPr>
        <w:t>1536</w:t>
      </w:r>
      <w:r>
        <w:rPr>
          <w:rFonts w:ascii="Times New Roman" w:hAnsi="Times New Roman"/>
          <w:sz w:val="18"/>
          <w:i/>
          <w:iCs/>
        </w:rPr>
        <w:t xml:space="preserve"> is the concatenation of the three stream embeddings; Δ² is the 2-simplex (weights are non-negative and sum to one).</w:t>
      </w:r>
    </w:p>
    <w:p>
      <w:pPr>
        <w:spacing w:before="80" w:after="80"/>
        <w:jc w:val="center"/>
      </w:pPr>
      <m:oMathPara>
        <m:oMath>
          <m:sSub>
            <m:sSubPr>
              <m:ctrlPr/>
            </m:sSubPr>
            <m:e>
              <m:r>
                <m:rPr>
                  <m:sty m:val="i"/>
                </m:rPr>
                <m:t xml:space="preserve">w</m:t>
              </m:r>
            </m:e>
            <m:sub>
              <m:r>
                <m:rPr>
                  <m:sty m:val="i"/>
                </m:rPr>
                <m:t xml:space="preserve">final</m:t>
              </m:r>
            </m:sub>
          </m:sSub>
          <m:r>
            <m:rPr>
              <m:sty m:val="i"/>
            </m:rPr>
            <m:t xml:space="preserve"> = </m:t>
          </m:r>
          <m:d>
            <m:dPr>
              <m:ctrlPr/>
            </m:dPr>
            <m:e>
              <m:r>
                <m:rPr>
                  <m:sty m:val="i"/>
                </m:rPr>
                <m:t xml:space="preserve">1 − c</m:t>
              </m:r>
            </m:e>
          </m:d>
          <m:r>
            <m:rPr>
              <m:sty m:val="i"/>
            </m:rPr>
            <m:t xml:space="preserve"> · </m:t>
          </m:r>
          <m:f>
            <m:fPr>
              <m:ctrlPr/>
            </m:fPr>
            <m:num>
              <m:r>
                <m:rPr>
                  <m:sty m:val="i"/>
                </m:rPr>
                <m:t xml:space="preserve">1</m:t>
              </m:r>
            </m:num>
            <m:den>
              <m:r>
                <m:rPr>
                  <m:sty m:val="i"/>
                </m:rPr>
                <m:t xml:space="preserve">3</m:t>
              </m:r>
            </m:den>
          </m:f>
          <m:r>
            <m:rPr>
              <m:sty m:val="i"/>
            </m:rPr>
            <m:t xml:space="preserve"> · </m:t>
          </m:r>
          <m:sSub>
            <m:sSubPr>
              <m:ctrlPr/>
            </m:sSubPr>
            <m:e>
              <m:r>
                <m:rPr>
                  <m:sty m:val="i"/>
                </m:rPr>
                <m:t xml:space="preserve">𝟏</m:t>
              </m:r>
            </m:e>
            <m:sub>
              <m:r>
                <m:rPr>
                  <m:sty m:val="i"/>
                </m:rPr>
                <m:t xml:space="preserve">3</m:t>
              </m:r>
            </m:sub>
          </m:sSub>
          <m:r>
            <m:rPr>
              <m:sty m:val="i"/>
            </m:rPr>
            <m:t xml:space="preserve"> + c · w</m:t>
          </m:r>
        </m:oMath>
      </m:oMathPara>
      <w:r>
        <w:rPr>
          <w:rFonts w:ascii="Times New Roman" w:hAnsi="Times New Roman"/>
          <w:sz w:val="20"/>
        </w:rPr>
        <w:t xml:space="preserve">    (5)</w:t>
      </w:r>
    </w:p>
    <w:p>
      <w:pPr>
        <w:jc w:val="both"/>
        <w:spacing w:before="40" w:after="80"/>
        <w:ind w:left="426"/>
      </w:pPr>
      <w:r>
        <w:rPr>
          <w:rFonts w:ascii="Times New Roman" w:hAnsi="Times New Roman"/>
          <w:sz w:val="18"/>
          <w:i/>
          <w:iCs/>
        </w:rPr>
        <w:t xml:space="preserve">where 𝟙</w:t>
      </w:r>
      <w:r>
        <w:rPr>
          <w:rFonts w:ascii="Times New Roman" w:hAnsi="Times New Roman"/>
          <w:sz w:val="18"/>
          <w:i w:val="0"/>
          <w:vertAlign w:val="subscript"/>
        </w:rPr>
        <w:t>3</w:t>
      </w:r>
      <w:r>
        <w:rPr>
          <w:rFonts w:ascii="Times New Roman" w:hAnsi="Times New Roman"/>
          <w:sz w:val="18"/>
          <w:i/>
          <w:iCs/>
        </w:rPr>
        <w:t xml:space="preserve"> ∈ ℝ</w:t>
      </w:r>
      <w:r>
        <w:rPr>
          <w:rFonts w:ascii="Times New Roman" w:hAnsi="Times New Roman"/>
          <w:sz w:val="18"/>
          <w:i/>
          <w:iCs/>
          <w:vertAlign w:val="superscript"/>
        </w:rPr>
        <w:t>3</w:t>
      </w:r>
      <w:r>
        <w:rPr>
          <w:rFonts w:ascii="Times New Roman" w:hAnsi="Times New Roman"/>
          <w:sz w:val="18"/>
          <w:i/>
          <w:iCs/>
        </w:rPr>
        <w:t xml:space="preserve"> is the all-ones vector; c is the conflict indicator from Eq. (3); w is the MLP-derived weight vector from Eq. (4). When c = 0 each stream contributes equally; when c = 1 the MLP re-weights streams adaptively.</w:t>
      </w:r>
    </w:p>
    <w:p>
      <w:pPr>
        <w:spacing w:before="80" w:after="0"/>
        <w:jc w:val="both"/>
      </w:pPr>
      <w:r>
        <w:rPr>
          <w:rFonts w:ascii="Times New Roman" w:hAnsi="Times New Roman"/>
          <w:b/>
          <w:i w:val="0"/>
          <w:sz w:val="20"/>
        </w:rPr>
        <w:t>Cross-Stream Self-Attention.</w:t>
      </w:r>
      <w:r>
        <w:rPr>
          <w:rFonts w:ascii="Times New Roman" w:hAnsi="Times New Roman"/>
          <w:b w:val="0"/>
          <w:i w:val="0"/>
          <w:sz w:val="20"/>
        </w:rPr>
        <w:t xml:space="preserve"> Embeddings stacked into </w:t>
      </w:r>
      <w:r>
        <w:rPr>
          <w:rFonts w:ascii="Times New Roman" w:hAnsi="Times New Roman"/>
          <w:b w:val="0"/>
          <w:i/>
          <w:iCs/>
          <w:sz w:val="20"/>
        </w:rPr>
        <w:t>X</w:t>
      </w:r>
      <w:r>
        <w:rPr>
          <w:rFonts w:ascii="Times New Roman" w:hAnsi="Times New Roman"/>
          <w:b w:val="0"/>
          <w:i w:val="0"/>
          <w:sz w:val="20"/>
          <w:vertAlign w:val="superscript"/>
        </w:rPr>
        <w:t>(0)</w:t>
      </w:r>
      <w:r>
        <w:rPr>
          <w:rFonts w:ascii="Times New Roman" w:hAnsi="Times New Roman"/>
          <w:b w:val="0"/>
          <w:i w:val="0"/>
          <w:sz w:val="20"/>
        </w:rPr>
        <w:t xml:space="preserve"> in ℝ</w:t>
      </w:r>
      <w:r>
        <w:rPr>
          <w:rFonts w:ascii="Times New Roman" w:hAnsi="Times New Roman"/>
          <w:b w:val="0"/>
          <w:i w:val="0"/>
          <w:sz w:val="20"/>
          <w:vertAlign w:val="superscript"/>
        </w:rPr>
        <w:t>3×512</w:t>
      </w:r>
      <w:r>
        <w:rPr>
          <w:rFonts w:ascii="Times New Roman" w:hAnsi="Times New Roman"/>
          <w:b w:val="0"/>
          <w:i w:val="0"/>
          <w:sz w:val="20"/>
        </w:rPr>
        <w:t xml:space="preserve">, processed by </w:t>
      </w:r>
      <w:r>
        <w:rPr>
          <w:rFonts w:ascii="Times New Roman" w:hAnsi="Times New Roman"/>
          <w:b w:val="0"/>
          <w:i/>
          <w:iCs/>
          <w:sz w:val="20"/>
        </w:rPr>
        <w:t>L</w:t>
      </w:r>
      <w:r>
        <w:rPr>
          <w:rFonts w:ascii="Times New Roman" w:hAnsi="Times New Roman"/>
          <w:b w:val="0"/>
          <w:i w:val="0"/>
          <w:sz w:val="20"/>
        </w:rPr>
        <w:t xml:space="preserve">=3 layers of MHA (</w:t>
      </w:r>
      <w:r>
        <w:rPr>
          <w:rFonts w:ascii="Times New Roman" w:hAnsi="Times New Roman"/>
          <w:b w:val="0"/>
          <w:i/>
          <w:iCs/>
          <w:sz w:val="20"/>
        </w:rPr>
        <w:t>H</w:t>
      </w:r>
      <w:r>
        <w:rPr>
          <w:rFonts w:ascii="Times New Roman" w:hAnsi="Times New Roman"/>
          <w:b w:val="0"/>
          <w:i w:val="0"/>
          <w:sz w:val="20"/>
        </w:rPr>
        <w:t xml:space="preserve">=8 heads):</w:t>
      </w:r>
    </w:p>
    <w:p>
      <w:pPr>
        <w:spacing w:before="80" w:after="80"/>
        <w:jc w:val="center"/>
      </w:pPr>
      <m:oMathPara>
        <m:oMath>
          <m:sSup>
            <m:sSupPr>
              <m:ctrlPr/>
            </m:sSupPr>
            <m:e>
              <m:r>
                <m:rPr>
                  <m:sty m:val="i"/>
                </m:rPr>
                <m:t xml:space="preserve">X</m:t>
              </m:r>
            </m:e>
            <m:sup>
              <m:r>
                <m:rPr>
                  <m:sty m:val="i"/>
                </m:rPr>
                <m:t xml:space="preserve">(l)</m:t>
              </m:r>
            </m:sup>
          </m:sSup>
          <m:r>
            <m:rPr>
              <m:sty m:val="i"/>
            </m:rPr>
            <m:t xml:space="preserve"> = </m:t>
          </m:r>
          <m:r>
            <m:rPr>
              <m:sty m:val="p"/>
            </m:rPr>
            <m:t xml:space="preserve">LN</m:t>
          </m:r>
          <m:d>
            <m:dPr>
              <m:ctrlPr/>
            </m:dPr>
            <m:e>
              <m:sSup>
                <m:sSupPr>
                  <m:ctrlPr/>
                </m:sSupPr>
                <m:e>
                  <m:r>
                    <m:rPr>
                      <m:sty m:val="i"/>
                    </m:rPr>
                    <m:t xml:space="preserve">X</m:t>
                  </m:r>
                </m:e>
                <m:sup>
                  <m:r>
                    <m:rPr>
                      <m:sty m:val="i"/>
                    </m:rPr>
                    <m:t xml:space="preserve">(l−1)</m:t>
                  </m:r>
                </m:sup>
              </m:sSup>
              <m:r>
                <m:rPr>
                  <m:sty m:val="i"/>
                </m:rPr>
                <m:t xml:space="preserve"> + </m:t>
              </m:r>
              <m:r>
                <m:rPr>
                  <m:sty m:val="p"/>
                </m:rPr>
                <m:t xml:space="preserve">MHA</m:t>
              </m:r>
              <m:d>
                <m:dPr>
                  <m:ctrlPr/>
                </m:dPr>
                <m:e>
                  <m:sSup>
                    <m:sSupPr>
                      <m:ctrlPr/>
                    </m:sSupPr>
                    <m:e>
                      <m:r>
                        <m:rPr>
                          <m:sty m:val="i"/>
                        </m:rPr>
                        <m:t xml:space="preserve">X</m:t>
                      </m:r>
                    </m:e>
                    <m:sup>
                      <m:r>
                        <m:rPr>
                          <m:sty m:val="i"/>
                        </m:rPr>
                        <m:t xml:space="preserve">(l−1)</m:t>
                      </m:r>
                    </m:sup>
                  </m:sSup>
                  <m:r>
                    <m:rPr>
                      <m:sty m:val="i"/>
                    </m:rPr>
                    <m:t xml:space="preserve">, </m:t>
                  </m:r>
                  <m:sSup>
                    <m:sSupPr>
                      <m:ctrlPr/>
                    </m:sSupPr>
                    <m:e>
                      <m:r>
                        <m:rPr>
                          <m:sty m:val="i"/>
                        </m:rPr>
                        <m:t xml:space="preserve">X</m:t>
                      </m:r>
                    </m:e>
                    <m:sup>
                      <m:r>
                        <m:rPr>
                          <m:sty m:val="i"/>
                        </m:rPr>
                        <m:t xml:space="preserve">(l−1)</m:t>
                      </m:r>
                    </m:sup>
                  </m:sSup>
                  <m:r>
                    <m:rPr>
                      <m:sty m:val="i"/>
                    </m:rPr>
                    <m:t xml:space="preserve">, </m:t>
                  </m:r>
                  <m:sSup>
                    <m:sSupPr>
                      <m:ctrlPr/>
                    </m:sSupPr>
                    <m:e>
                      <m:r>
                        <m:rPr>
                          <m:sty m:val="i"/>
                        </m:rPr>
                        <m:t xml:space="preserve">X</m:t>
                      </m:r>
                    </m:e>
                    <m:sup>
                      <m:r>
                        <m:rPr>
                          <m:sty m:val="i"/>
                        </m:rPr>
                        <m:t xml:space="preserve">(l−1)</m:t>
                      </m:r>
                    </m:sup>
                  </m:sSup>
                </m:e>
              </m:d>
            </m:e>
          </m:d>
          <m:r>
            <m:rPr>
              <m:sty m:val="i"/>
            </m:rPr>
            <m:t xml:space="preserve">,  l = 1, … , L</m:t>
          </m:r>
        </m:oMath>
      </m:oMathPara>
      <w:r>
        <w:rPr>
          <w:rFonts w:ascii="Times New Roman" w:hAnsi="Times New Roman"/>
          <w:sz w:val="20"/>
        </w:rPr>
        <w:t xml:space="preserve">    (6)</w:t>
      </w:r>
    </w:p>
    <w:p>
      <w:pPr>
        <w:jc w:val="both"/>
        <w:spacing w:before="40" w:after="80"/>
        <w:ind w:left="426"/>
      </w:pPr>
      <w:r>
        <w:rPr>
          <w:rFonts w:ascii="Times New Roman" w:hAnsi="Times New Roman"/>
          <w:sz w:val="18"/>
          <w:i/>
          <w:iCs/>
        </w:rPr>
        <w:t>where X</w:t>
      </w:r>
      <w:r>
        <w:rPr>
          <w:rFonts w:ascii="Times New Roman" w:hAnsi="Times New Roman"/>
          <w:sz w:val="18"/>
          <w:i/>
          <w:iCs/>
          <w:vertAlign w:val="superscript"/>
        </w:rPr>
        <w:t>(l)</w:t>
      </w:r>
      <w:r>
        <w:rPr>
          <w:rFonts w:ascii="Times New Roman" w:hAnsi="Times New Roman"/>
          <w:sz w:val="18"/>
          <w:i/>
          <w:iCs/>
        </w:rPr>
        <w:t xml:space="preserve"> ∈ ℝ</w:t>
      </w:r>
      <w:r>
        <w:rPr>
          <w:rFonts w:ascii="Times New Roman" w:hAnsi="Times New Roman"/>
          <w:sz w:val="18"/>
          <w:i/>
          <w:iCs/>
          <w:vertAlign w:val="superscript"/>
        </w:rPr>
        <w:t>3×512</w:t>
      </w:r>
      <w:r>
        <w:rPr>
          <w:rFonts w:ascii="Times New Roman" w:hAnsi="Times New Roman"/>
          <w:sz w:val="18"/>
          <w:i/>
          <w:iCs/>
        </w:rPr>
        <w:t xml:space="preserve"> is the attended sequence at layer l; LN(·) denotes Layer Normalisation [29]; MHA(·) is multi-head self-attention [24] with H = 8 heads and d</w:t>
      </w:r>
      <w:r>
        <w:rPr>
          <w:rFonts w:ascii="Times New Roman" w:hAnsi="Times New Roman"/>
          <w:sz w:val="18"/>
          <w:i w:val="0"/>
          <w:vertAlign w:val="subscript"/>
        </w:rPr>
        <w:t>model</w:t>
      </w:r>
      <w:r>
        <w:rPr>
          <w:rFonts w:ascii="Times New Roman" w:hAnsi="Times New Roman"/>
          <w:sz w:val="18"/>
          <w:i/>
          <w:iCs/>
        </w:rPr>
        <w:t xml:space="preserve"> = 512 (64 dimensions per head).</w:t>
      </w:r>
    </w:p>
    <w:p>
      <w:pPr>
        <w:spacing w:before="0" w:after="40"/>
        <w:ind w:firstLine="283"/>
        <w:jc w:val="both"/>
      </w:pPr>
      <w:r>
        <w:rPr>
          <w:rFonts w:ascii="Times New Roman" w:hAnsi="Times New Roman"/>
          <w:b w:val="0"/>
          <w:i w:val="0"/>
          <w:sz w:val="20"/>
        </w:rPr>
        <w:t>Conflict-weighted aggregation:</w:t>
      </w:r>
    </w:p>
    <w:p>
      <w:pPr>
        <w:spacing w:before="80" w:after="80"/>
        <w:jc w:val="center"/>
      </w:pPr>
      <m:oMathPara>
        <m:oMath>
          <m:sSub>
            <m:sSubPr>
              <m:ctrlPr/>
            </m:sSubPr>
            <m:e>
              <m:r>
                <m:rPr>
                  <m:sty m:val="i"/>
                </m:rPr>
                <m:t xml:space="preserve">h</m:t>
              </m:r>
            </m:e>
            <m:sub>
              <m:r>
                <m:rPr>
                  <m:sty m:val="i"/>
                </m:rPr>
                <m:t xml:space="preserve">fused</m:t>
              </m:r>
            </m:sub>
          </m:sSub>
          <m:r>
            <m:rPr>
              <m:sty m:val="i"/>
            </m:rPr>
            <m:t xml:space="preserve"> = </m:t>
          </m:r>
          <m:nary>
            <m:naryPr>
              <m:chr m:val="∑"/>
              <m:limLoc m:val="undOvr"/>
              <m:ctrlPr/>
            </m:naryPr>
            <m:sub>
              <m:sSubSup>
                <m:sSubSupPr>
                  <m:ctrlPr/>
                </m:sSubSupPr>
                <m:e>
                  <m:r>
                    <m:rPr>
                      <m:sty m:val="i"/>
                    </m:rPr>
                    <m:t xml:space="preserve"/>
                  </m:r>
                </m:e>
                <m:sub>
                  <m:r>
                    <m:rPr>
                      <m:sty m:val="i"/>
                    </m:rPr>
                    <m:t xml:space="preserve">i</m:t>
                  </m:r>
                </m:sub>
                <m:sup>
                  <m:r>
                    <m:rPr>
                      <m:sty m:val="i"/>
                    </m:rPr>
                    <m:t xml:space="preserve"/>
                  </m:r>
                </m:sup>
              </m:sSubSup>
              <m:r>
                <m:rPr>
                  <m:sty m:val="i"/>
                </m:rPr>
                <m:t xml:space="preserve">i = 1</m:t>
              </m:r>
            </m:sub>
            <m:sup>
              <m:r>
                <m:rPr>
                  <m:sty m:val="i"/>
                </m:rPr>
                <m:t xml:space="preserve">3</m:t>
              </m:r>
            </m:sup>
            <m:e>
              <m:sSub>
                <m:sSubPr>
                  <m:ctrlPr/>
                </m:sSubPr>
                <m:e>
                  <m:d>
                    <m:dPr>
                      <m:ctrlPr/>
                    </m:dPr>
                    <m:e>
                      <m:sSub>
                        <m:sSubPr>
                          <m:ctrlPr/>
                        </m:sSubPr>
                        <m:e>
                          <m:r>
                            <m:rPr>
                              <m:sty m:val="i"/>
                            </m:rPr>
                            <m:t xml:space="preserve">w</m:t>
                          </m:r>
                        </m:e>
                        <m:sub>
                          <m:r>
                            <m:rPr>
                              <m:sty m:val="i"/>
                            </m:rPr>
                            <m:t xml:space="preserve">final</m:t>
                          </m:r>
                        </m:sub>
                      </m:sSub>
                    </m:e>
                  </m:d>
                </m:e>
                <m:sub>
                  <m:r>
                    <m:rPr>
                      <m:sty m:val="i"/>
                    </m:rPr>
                    <m:t xml:space="preserve">i</m:t>
                  </m:r>
                </m:sub>
              </m:sSub>
              <m:r>
                <m:rPr>
                  <m:sty m:val="i"/>
                </m:rPr>
                <m:t xml:space="preserve"> · </m:t>
              </m:r>
              <m:sSub>
                <m:sSubPr>
                  <m:ctrlPr/>
                </m:sSubPr>
                <m:e>
                  <m:sSup>
                    <m:sSupPr>
                      <m:ctrlPr/>
                    </m:sSupPr>
                    <m:e>
                      <m:r>
                        <m:rPr>
                          <m:sty m:val="i"/>
                        </m:rPr>
                        <m:t xml:space="preserve">X</m:t>
                      </m:r>
                    </m:e>
                    <m:sup>
                      <m:r>
                        <m:rPr>
                          <m:sty m:val="i"/>
                        </m:rPr>
                        <m:t xml:space="preserve">(L)</m:t>
                      </m:r>
                    </m:sup>
                  </m:sSup>
                </m:e>
                <m:sub>
                  <m:r>
                    <m:rPr>
                      <m:sty m:val="i"/>
                    </m:rPr>
                    <m:t xml:space="preserve">i</m:t>
                  </m:r>
                </m:sub>
              </m:sSub>
            </m:e>
          </m:nary>
          <m:r>
            <m:rPr>
              <m:sty m:val="i"/>
            </m:rPr>
            <m:t xml:space="preserve">  ∈ ℝ</m:t>
          </m:r>
          <m:sSup>
            <m:sSupPr>
              <m:ctrlPr/>
            </m:sSupPr>
            <m:e>
              <m:r>
                <m:rPr>
                  <m:sty m:val="i"/>
                </m:rPr>
                <m:t xml:space="preserve"/>
              </m:r>
            </m:e>
            <m:sup>
              <m:r>
                <m:rPr>
                  <m:sty m:val="i"/>
                </m:rPr>
                <m:t xml:space="preserve">512</m:t>
              </m:r>
            </m:sup>
          </m:sSup>
        </m:oMath>
      </m:oMathPara>
      <w:r>
        <w:rPr>
          <w:rFonts w:ascii="Times New Roman" w:hAnsi="Times New Roman"/>
          <w:sz w:val="20"/>
        </w:rPr>
        <w:t xml:space="preserve">    (7)</w:t>
      </w:r>
    </w:p>
    <w:p>
      <w:pPr>
        <w:jc w:val="both"/>
        <w:spacing w:before="40" w:after="80"/>
        <w:ind w:left="426"/>
      </w:pPr>
      <w:r>
        <w:rPr>
          <w:rFonts w:ascii="Times New Roman" w:hAnsi="Times New Roman"/>
          <w:sz w:val="18"/>
          <w:i/>
          <w:iCs/>
        </w:rPr>
        <w:t>where h</w:t>
      </w:r>
      <w:r>
        <w:rPr>
          <w:rFonts w:ascii="Times New Roman" w:hAnsi="Times New Roman"/>
          <w:sz w:val="18"/>
          <w:i w:val="0"/>
          <w:vertAlign w:val="subscript"/>
        </w:rPr>
        <w:t>fused</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is the conflict-weighted fused utterance embedding; (w</w:t>
      </w:r>
      <w:r>
        <w:rPr>
          <w:rFonts w:ascii="Times New Roman" w:hAnsi="Times New Roman"/>
          <w:sz w:val="18"/>
          <w:i w:val="0"/>
          <w:vertAlign w:val="subscript"/>
        </w:rPr>
        <w:t>final</w:t>
      </w:r>
      <w:r>
        <w:rPr>
          <w:rFonts w:ascii="Times New Roman" w:hAnsi="Times New Roman"/>
          <w:sz w:val="18"/>
          <w:i/>
          <w:iCs/>
        </w:rPr>
        <w:t xml:space="preserve">)</w:t>
      </w:r>
      <w:r>
        <w:rPr>
          <w:rFonts w:ascii="Times New Roman" w:hAnsi="Times New Roman"/>
          <w:sz w:val="18"/>
          <w:i/>
          <w:iCs/>
          <w:vertAlign w:val="subscript"/>
        </w:rPr>
        <w:t>i</w:t>
      </w:r>
      <w:r>
        <w:rPr>
          <w:rFonts w:ascii="Times New Roman" w:hAnsi="Times New Roman"/>
          <w:sz w:val="18"/>
          <w:i/>
          <w:iCs/>
        </w:rPr>
        <w:t xml:space="preserve"> is the i-th weight from Eq. (5); X</w:t>
      </w:r>
      <w:r>
        <w:rPr>
          <w:rFonts w:ascii="Times New Roman" w:hAnsi="Times New Roman"/>
          <w:sz w:val="18"/>
          <w:i/>
          <w:iCs/>
          <w:vertAlign w:val="superscript"/>
        </w:rPr>
        <w:t>(L)</w:t>
      </w:r>
      <w:r>
        <w:rPr>
          <w:rFonts w:ascii="Times New Roman" w:hAnsi="Times New Roman"/>
          <w:sz w:val="18"/>
          <w:i/>
          <w:iCs/>
          <w:vertAlign w:val="subscript"/>
        </w:rPr>
        <w:t>i</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is the attended representation of stream i after L = 3 layers.</w:t>
      </w:r>
    </w:p>
    <w:p>
      <w:pPr>
        <w:spacing w:before="0" w:after="40"/>
        <w:jc w:val="both"/>
      </w:pPr>
      <w:r>
        <w:rPr>
          <w:rFonts w:ascii="Times New Roman" w:hAnsi="Times New Roman"/>
          <w:b w:val="0"/>
          <w:i w:val="0"/>
          <w:sz w:val="20"/>
        </w:rPr>
        <w:t xml:space="preserve">The two-phase fusion strategy—uniform weights when all streams agree, MLP-derived weights when they conflict—is motivated by the observation that not all emotional cues are equally reliable across utterances. When the waveform, spectrogram, and text streams all predict the same emotion class, uniform 1/3 weighting is both computationally cheap and statistically appropriate, since there is no evidence to prefer one stream over another. When the streams disagree—which occurs in approximately 31 % of training utterances, rising to 42 % for the ambiguous Happy class—the MLP re-weighting allows the model to suppress the outlier stream and amplify the two streams most consistent with each other. This design explicitly addresses the known vulnerability of naive fusion: averaging conflicting predictions can produce a blended embedding that does not resemble any single emotion, whereas the conflict gate redirects attention to the most informative streams at each utterance.</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3240000" cy="2279622"/>
            <wp:docPr id="6" name="Picture 6"/>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3240000" cy="2279622"/>
                    </a:xfrm>
                    <a:prstGeom prst="rect"/>
                  </pic:spPr>
                </pic:pic>
              </a:graphicData>
            </a:graphic>
          </wp:inline>
        </w:drawing>
      </w:r>
    </w:p>
    <w:p>
      <w:pPr>
        <w:spacing w:before="40" w:after="160"/>
        <w:jc w:val="both"/>
      </w:pPr>
      <w:r>
        <w:rPr>
          <w:rFonts w:ascii="Times New Roman" w:hAnsi="Times New Roman"/>
          <w:b/>
          <w:i w:val="0"/>
          <w:sz w:val="18"/>
        </w:rPr>
        <w:t xml:space="preserve">Fig. 4. </w:t>
      </w:r>
      <w:r>
        <w:rPr>
          <w:rFonts w:ascii="Times New Roman" w:hAnsi="Times New Roman"/>
          <w:b w:val="0"/>
          <w:i w:val="0"/>
          <w:sz w:val="18"/>
        </w:rPr>
        <w:t>Conflict-Aware Cross-Attention module. Dashed lines show the conflict detection branch (Eq. 3) that replaces uniform fusion weights with MLP-derived weights (Eq. 4-5) when unimodal predictors disagree.</w:t>
      </w:r>
    </w:p>
    <w:p>
      <w:pPr>
        <w:spacing w:before="160" w:after="40"/>
        <w:jc w:val="left"/>
      </w:pPr>
      <w:r>
        <w:rPr>
          <w:rFonts w:ascii="Times New Roman" w:hAnsi="Times New Roman"/>
          <w:b/>
          <w:i w:val="0"/>
          <w:sz w:val="20"/>
        </w:rPr>
        <w:t>3.5  MultiScaleTemporal Head and Training Objective</w:t>
      </w:r>
    </w:p>
    <w:p>
      <w:pPr>
        <w:spacing w:before="80" w:after="0"/>
        <w:jc w:val="both"/>
      </w:pPr>
      <w:r>
        <w:rPr>
          <w:rFonts w:ascii="Times New Roman" w:hAnsi="Times New Roman"/>
          <w:b/>
          <w:i w:val="0"/>
          <w:sz w:val="20"/>
        </w:rPr>
        <w:t>MultiScaleTemporal (MST) Head.</w:t>
      </w:r>
      <w:r>
        <w:rPr>
          <w:rFonts w:ascii="Times New Roman" w:hAnsi="Times New Roman"/>
          <w:b w:val="0"/>
          <w:i w:val="0"/>
          <w:sz w:val="20"/>
        </w:rPr>
        <w:t xml:space="preserve"> Three parallel branches over X⁽ᴸ⁾ in ℝ³ˣ⁵¹²:</w:t>
      </w:r>
    </w:p>
    <w:p>
      <w:pPr>
        <w:spacing w:before="20" w:after="20"/>
        <w:ind w:left="227"/>
        <w:jc w:val="both"/>
      </w:pPr>
      <w:r>
        <w:rPr>
          <w:rFonts w:ascii="Times New Roman" w:hAnsi="Times New Roman"/>
          <w:b w:val="0"/>
          <w:i w:val="0"/>
          <w:sz w:val="20"/>
        </w:rPr>
        <w:t xml:space="preserve">- Branch 1 (Multi-Pool): mean+max+attention pooling concatenated ⇒ </w:t>
      </w:r>
      <w:r>
        <w:rPr>
          <w:rFonts w:ascii="Times New Roman" w:hAnsi="Times New Roman"/>
          <w:b w:val="0"/>
          <w:i/>
          <w:sz w:val="20"/>
        </w:rPr>
        <w:t xml:space="preserve">h</w:t>
      </w:r>
      <w:r>
        <w:rPr>
          <w:rFonts w:ascii="Times New Roman" w:hAnsi="Times New Roman"/>
          <w:b w:val="0"/>
          <w:i w:val="0"/>
          <w:sz w:val="20"/>
          <w:vertAlign w:val="subscript"/>
        </w:rPr>
        <w:t>pool</w:t>
      </w:r>
      <w:r>
        <w:rPr>
          <w:rFonts w:ascii="Times New Roman" w:hAnsi="Times New Roman"/>
          <w:b w:val="0"/>
          <w:i w:val="0"/>
          <w:sz w:val="20"/>
        </w:rPr>
        <w:t xml:space="preserve"> in ℝ</w:t>
      </w:r>
      <w:r>
        <w:rPr>
          <w:rFonts w:ascii="Times New Roman" w:hAnsi="Times New Roman"/>
          <w:b w:val="0"/>
          <w:i/>
          <w:sz w:val="20"/>
          <w:vertAlign w:val="superscript"/>
        </w:rPr>
        <w:t>1536</w:t>
      </w:r>
      <w:r>
        <w:rPr>
          <w:rFonts w:ascii="Times New Roman" w:hAnsi="Times New Roman"/>
          <w:b w:val="0"/>
          <w:i w:val="0"/>
          <w:sz w:val="20"/>
        </w:rPr>
        <w:t xml:space="preserve">.</w:t>
      </w:r>
    </w:p>
    <w:p>
      <w:pPr>
        <w:spacing w:before="20" w:after="20"/>
        <w:ind w:left="227"/>
        <w:jc w:val="both"/>
      </w:pPr>
      <w:r>
        <w:rPr>
          <w:rFonts w:ascii="Times New Roman" w:hAnsi="Times New Roman"/>
          <w:b w:val="0"/>
          <w:i w:val="0"/>
          <w:sz w:val="20"/>
        </w:rPr>
        <w:t xml:space="preserve">- Branch 2 (BiLSTM): 2-layer BiLSTM (256+256, dropout 0.3) + attention pooling ⇒ </w:t>
      </w:r>
      <w:r>
        <w:rPr>
          <w:rFonts w:ascii="Times New Roman" w:hAnsi="Times New Roman"/>
          <w:b w:val="0"/>
          <w:i/>
          <w:sz w:val="20"/>
        </w:rPr>
        <w:t xml:space="preserve">h</w:t>
      </w:r>
      <w:r>
        <w:rPr>
          <w:rFonts w:ascii="Times New Roman" w:hAnsi="Times New Roman"/>
          <w:b w:val="0"/>
          <w:i w:val="0"/>
          <w:sz w:val="20"/>
          <w:vertAlign w:val="subscript"/>
        </w:rPr>
        <w:t>lstm</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w:t>
      </w:r>
    </w:p>
    <w:p>
      <w:pPr>
        <w:spacing w:before="20" w:after="20"/>
        <w:ind w:left="227"/>
        <w:jc w:val="both"/>
      </w:pPr>
      <w:r>
        <w:rPr>
          <w:rFonts w:ascii="Times New Roman" w:hAnsi="Times New Roman"/>
          <w:b w:val="0"/>
          <w:i w:val="0"/>
          <w:sz w:val="20"/>
        </w:rPr>
        <w:t xml:space="preserve">- Branch 3 (Self-Attn): 4-head self-attention, mean-pooled ⇒ </w:t>
      </w:r>
      <w:r>
        <w:rPr>
          <w:rFonts w:ascii="Times New Roman" w:hAnsi="Times New Roman"/>
          <w:b w:val="0"/>
          <w:i/>
          <w:sz w:val="20"/>
        </w:rPr>
        <w:t xml:space="preserve">h</w:t>
      </w:r>
      <w:r>
        <w:rPr>
          <w:rFonts w:ascii="Times New Roman" w:hAnsi="Times New Roman"/>
          <w:b w:val="0"/>
          <w:i w:val="0"/>
          <w:sz w:val="20"/>
          <w:vertAlign w:val="subscript"/>
        </w:rPr>
        <w:t>sa</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w:t>
      </w:r>
    </w:p>
    <w:p>
      <w:pPr>
        <w:spacing w:before="80" w:after="80"/>
        <w:jc w:val="center"/>
      </w:pPr>
      <m:oMathPara>
        <m:oMath>
          <m:sSub>
            <m:sSubPr>
              <m:ctrlPr/>
            </m:sSubPr>
            <m:e>
              <m:r>
                <m:rPr>
                  <m:sty m:val="i"/>
                </m:rPr>
                <m:t xml:space="preserve">h</m:t>
              </m:r>
            </m:e>
            <m:sub>
              <m:r>
                <m:rPr>
                  <m:sty m:val="i"/>
                </m:rPr>
                <m:t xml:space="preserve">MST</m:t>
              </m:r>
            </m:sub>
          </m:sSub>
          <m:r>
            <m:rPr>
              <m:sty m:val="i"/>
            </m:rPr>
            <m:t xml:space="preserve"> = </m:t>
          </m:r>
          <m:d>
            <m:dPr>
              <m:begChr m:val="["/>
              <m:endChr m:val="]"/>
              <m:ctrlPr/>
            </m:dPr>
            <m:e>
              <m:sSub>
                <m:sSubPr>
                  <m:ctrlPr/>
                </m:sSubPr>
                <m:e>
                  <m:r>
                    <m:rPr>
                      <m:sty m:val="i"/>
                    </m:rPr>
                    <m:t xml:space="preserve">h</m:t>
                  </m:r>
                </m:e>
                <m:sub>
                  <m:r>
                    <m:rPr>
                      <m:sty m:val="i"/>
                    </m:rPr>
                    <m:t xml:space="preserve">pool</m:t>
                  </m:r>
                </m:sub>
              </m:sSub>
              <m:r>
                <m:rPr>
                  <m:sty m:val="i"/>
                </m:rPr>
                <m:t xml:space="preserve"> ; </m:t>
              </m:r>
              <m:sSub>
                <m:sSubPr>
                  <m:ctrlPr/>
                </m:sSubPr>
                <m:e>
                  <m:r>
                    <m:rPr>
                      <m:sty m:val="i"/>
                    </m:rPr>
                    <m:t xml:space="preserve">h</m:t>
                  </m:r>
                </m:e>
                <m:sub>
                  <m:r>
                    <m:rPr>
                      <m:sty m:val="i"/>
                    </m:rPr>
                    <m:t xml:space="preserve">lstm</m:t>
                  </m:r>
                </m:sub>
              </m:sSub>
              <m:r>
                <m:rPr>
                  <m:sty m:val="i"/>
                </m:rPr>
                <m:t xml:space="preserve"> ; </m:t>
              </m:r>
              <m:sSub>
                <m:sSubPr>
                  <m:ctrlPr/>
                </m:sSubPr>
                <m:e>
                  <m:r>
                    <m:rPr>
                      <m:sty m:val="i"/>
                    </m:rPr>
                    <m:t xml:space="preserve">h</m:t>
                  </m:r>
                </m:e>
                <m:sub>
                  <m:r>
                    <m:rPr>
                      <m:sty m:val="i"/>
                    </m:rPr>
                    <m:t xml:space="preserve">sa</m:t>
                  </m:r>
                </m:sub>
              </m:sSub>
            </m:e>
          </m:d>
          <m:r>
            <m:rPr>
              <m:sty m:val="i"/>
            </m:rPr>
            <m:t xml:space="preserve"> ∈ ℝ</m:t>
          </m:r>
          <m:sSup>
            <m:sSupPr>
              <m:ctrlPr/>
            </m:sSupPr>
            <m:e>
              <m:r>
                <m:rPr>
                  <m:sty m:val="i"/>
                </m:rPr>
                <m:t xml:space="preserve"/>
              </m:r>
            </m:e>
            <m:sup>
              <m:r>
                <m:rPr>
                  <m:sty m:val="i"/>
                </m:rPr>
                <m:t xml:space="preserve">2560</m:t>
              </m:r>
            </m:sup>
          </m:sSup>
          <m:r>
            <m:rPr>
              <m:sty m:val="i"/>
            </m:rPr>
            <m:t xml:space="preserve">,  ŷ = </m:t>
          </m:r>
          <m:func>
            <m:funcPr>
              <m:ctrlPr/>
            </m:funcPr>
            <m:fName>
              <m:r>
                <m:rPr>
                  <m:sty m:val="p"/>
                </m:rPr>
                <m:t xml:space="preserve">softmax</m:t>
              </m:r>
            </m:fName>
            <m:e>
              <m:sSub>
                <m:sSubPr>
                  <m:ctrlPr/>
                </m:sSubPr>
                <m:e>
                  <m:r>
                    <m:rPr>
                      <m:sty m:val="i"/>
                    </m:rPr>
                    <m:t xml:space="preserve">W</m:t>
                  </m:r>
                </m:e>
                <m:sub>
                  <m:r>
                    <m:rPr>
                      <m:sty m:val="p"/>
                    </m:rPr>
                    <m:t xml:space="preserve">cls</m:t>
                  </m:r>
                </m:sub>
              </m:sSub>
              <m:sSub>
                <m:sSubPr>
                  <m:ctrlPr/>
                </m:sSubPr>
                <m:e>
                  <m:r>
                    <m:rPr>
                      <m:sty m:val="i"/>
                    </m:rPr>
                    <m:t xml:space="preserve">h</m:t>
                  </m:r>
                </m:e>
                <m:sub>
                  <m:r>
                    <m:rPr>
                      <m:sty m:val="i"/>
                    </m:rPr>
                    <m:t xml:space="preserve">MST</m:t>
                  </m:r>
                </m:sub>
              </m:sSub>
              <m:r>
                <m:rPr>
                  <m:sty m:val="i"/>
                </m:rPr>
                <m:t xml:space="preserve"> + </m:t>
              </m:r>
              <m:sSub>
                <m:sSubPr>
                  <m:ctrlPr/>
                </m:sSubPr>
                <m:e>
                  <m:r>
                    <m:rPr>
                      <m:sty m:val="i"/>
                    </m:rPr>
                    <m:t xml:space="preserve">b</m:t>
                  </m:r>
                </m:e>
                <m:sub>
                  <m:r>
                    <m:rPr>
                      <m:sty m:val="p"/>
                    </m:rPr>
                    <m:t xml:space="preserve">cls</m:t>
                  </m:r>
                </m:sub>
              </m:sSub>
            </m:e>
          </m:func>
        </m:oMath>
      </m:oMathPara>
      <w:r>
        <w:rPr>
          <w:rFonts w:ascii="Times New Roman" w:hAnsi="Times New Roman"/>
          <w:sz w:val="20"/>
        </w:rPr>
        <w:t xml:space="preserve">    (8)</w:t>
      </w:r>
    </w:p>
    <w:p>
      <w:pPr>
        <w:jc w:val="both"/>
        <w:spacing w:before="40" w:after="80"/>
        <w:ind w:left="426"/>
      </w:pPr>
      <w:r>
        <w:rPr>
          <w:rFonts w:ascii="Times New Roman" w:hAnsi="Times New Roman"/>
          <w:sz w:val="18"/>
          <w:i/>
          <w:iCs/>
        </w:rPr>
        <w:t>where h</w:t>
      </w:r>
      <w:r>
        <w:rPr>
          <w:rFonts w:ascii="Times New Roman" w:hAnsi="Times New Roman"/>
          <w:sz w:val="18"/>
          <w:i w:val="0"/>
          <w:vertAlign w:val="subscript"/>
        </w:rPr>
        <w:t>pool</w:t>
      </w:r>
      <w:r>
        <w:rPr>
          <w:rFonts w:ascii="Times New Roman" w:hAnsi="Times New Roman"/>
          <w:sz w:val="18"/>
          <w:i/>
          <w:iCs/>
        </w:rPr>
        <w:t xml:space="preserve"> ∈ ℝ</w:t>
      </w:r>
      <w:r>
        <w:rPr>
          <w:rFonts w:ascii="Times New Roman" w:hAnsi="Times New Roman"/>
          <w:sz w:val="18"/>
          <w:i/>
          <w:iCs/>
          <w:vertAlign w:val="superscript"/>
        </w:rPr>
        <w:t>1536</w:t>
      </w:r>
      <w:r>
        <w:rPr>
          <w:rFonts w:ascii="Times New Roman" w:hAnsi="Times New Roman"/>
          <w:sz w:val="18"/>
          <w:i/>
          <w:iCs/>
        </w:rPr>
        <w:t xml:space="preserve"> = [h</w:t>
      </w:r>
      <w:r>
        <w:rPr>
          <w:rFonts w:ascii="Times New Roman" w:hAnsi="Times New Roman"/>
          <w:sz w:val="18"/>
          <w:i w:val="0"/>
          <w:vertAlign w:val="subscript"/>
        </w:rPr>
        <w:t>mean</w:t>
      </w:r>
      <w:r>
        <w:rPr>
          <w:rFonts w:ascii="Times New Roman" w:hAnsi="Times New Roman"/>
          <w:sz w:val="18"/>
          <w:i/>
          <w:iCs/>
        </w:rPr>
        <w:t xml:space="preserve"> ; h</w:t>
      </w:r>
      <w:r>
        <w:rPr>
          <w:rFonts w:ascii="Times New Roman" w:hAnsi="Times New Roman"/>
          <w:sz w:val="18"/>
          <w:i w:val="0"/>
          <w:vertAlign w:val="subscript"/>
        </w:rPr>
        <w:t>max</w:t>
      </w:r>
      <w:r>
        <w:rPr>
          <w:rFonts w:ascii="Times New Roman" w:hAnsi="Times New Roman"/>
          <w:sz w:val="18"/>
          <w:i/>
          <w:iCs/>
        </w:rPr>
        <w:t xml:space="preserve"> ; h</w:t>
      </w:r>
      <w:r>
        <w:rPr>
          <w:rFonts w:ascii="Times New Roman" w:hAnsi="Times New Roman"/>
          <w:sz w:val="18"/>
          <w:i w:val="0"/>
          <w:vertAlign w:val="subscript"/>
        </w:rPr>
        <w:t>att</w:t>
      </w:r>
      <w:r>
        <w:rPr>
          <w:rFonts w:ascii="Times New Roman" w:hAnsi="Times New Roman"/>
          <w:sz w:val="18"/>
          <w:i/>
          <w:iCs/>
        </w:rPr>
        <w:t>] (mean, max, and attention-pooled outputs concatenated); h</w:t>
      </w:r>
      <w:r>
        <w:rPr>
          <w:rFonts w:ascii="Times New Roman" w:hAnsi="Times New Roman"/>
          <w:sz w:val="18"/>
          <w:i w:val="0"/>
          <w:vertAlign w:val="subscript"/>
        </w:rPr>
        <w:t>lstm</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(BiLSTM, 2 layers, 256+256 units, dropout 0.3); h</w:t>
      </w:r>
      <w:r>
        <w:rPr>
          <w:rFonts w:ascii="Times New Roman" w:hAnsi="Times New Roman"/>
          <w:sz w:val="18"/>
          <w:i w:val="0"/>
          <w:vertAlign w:val="subscript"/>
        </w:rPr>
        <w:t>sa</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(4-head self-attention); W</w:t>
      </w:r>
      <w:r>
        <w:rPr>
          <w:rFonts w:ascii="Times New Roman" w:hAnsi="Times New Roman"/>
          <w:sz w:val="18"/>
          <w:i w:val="0"/>
          <w:vertAlign w:val="subscript"/>
        </w:rPr>
        <w:t>cls</w:t>
      </w:r>
      <w:r>
        <w:rPr>
          <w:rFonts w:ascii="Times New Roman" w:hAnsi="Times New Roman"/>
          <w:sz w:val="18"/>
          <w:i/>
          <w:iCs/>
        </w:rPr>
        <w:t xml:space="preserve"> ∈ ℝ</w:t>
      </w:r>
      <w:r>
        <w:rPr>
          <w:rFonts w:ascii="Times New Roman" w:hAnsi="Times New Roman"/>
          <w:sz w:val="18"/>
          <w:i/>
          <w:iCs/>
          <w:vertAlign w:val="superscript"/>
        </w:rPr>
        <w:t>4×2560</w:t>
      </w:r>
      <w:r>
        <w:rPr>
          <w:rFonts w:ascii="Times New Roman" w:hAnsi="Times New Roman"/>
          <w:sz w:val="18"/>
          <w:i/>
          <w:iCs/>
        </w:rPr>
        <w:t xml:space="preserve"> and b</w:t>
      </w:r>
      <w:r>
        <w:rPr>
          <w:rFonts w:ascii="Times New Roman" w:hAnsi="Times New Roman"/>
          <w:sz w:val="18"/>
          <w:i w:val="0"/>
          <w:vertAlign w:val="subscript"/>
        </w:rPr>
        <w:t>cls</w:t>
      </w:r>
      <w:r>
        <w:rPr>
          <w:rFonts w:ascii="Times New Roman" w:hAnsi="Times New Roman"/>
          <w:sz w:val="18"/>
          <w:i/>
          <w:iCs/>
        </w:rPr>
        <w:t xml:space="preserve"> ∈ ℝ</w:t>
      </w:r>
      <w:r>
        <w:rPr>
          <w:rFonts w:ascii="Times New Roman" w:hAnsi="Times New Roman"/>
          <w:sz w:val="18"/>
          <w:i/>
          <w:iCs/>
          <w:vertAlign w:val="superscript"/>
        </w:rPr>
        <w:t>4</w:t>
      </w:r>
      <w:r>
        <w:rPr>
          <w:rFonts w:ascii="Times New Roman" w:hAnsi="Times New Roman"/>
          <w:sz w:val="18"/>
          <w:i/>
          <w:iCs/>
        </w:rPr>
        <w:t xml:space="preserve"> are the classifier parameters; ŷ ∈ Δ</w:t>
      </w:r>
      <w:r>
        <w:rPr>
          <w:rFonts w:ascii="Times New Roman" w:hAnsi="Times New Roman"/>
          <w:sz w:val="18"/>
          <w:i/>
          <w:iCs/>
          <w:vertAlign w:val="superscript"/>
        </w:rPr>
        <w:t>3</w:t>
      </w:r>
      <w:r>
        <w:rPr>
          <w:rFonts w:ascii="Times New Roman" w:hAnsi="Times New Roman"/>
          <w:sz w:val="18"/>
          <w:i/>
          <w:iCs/>
        </w:rPr>
        <w:t xml:space="preserve"> is the predicted emotion probability vector.</w:t>
      </w:r>
    </w:p>
    <w:p>
      <w:pPr>
        <w:spacing w:before="80" w:after="0"/>
        <w:jc w:val="both"/>
      </w:pPr>
      <w:r>
        <w:rPr>
          <w:rFonts w:ascii="Times New Roman" w:hAnsi="Times New Roman"/>
          <w:b/>
          <w:i w:val="0"/>
          <w:sz w:val="20"/>
        </w:rPr>
        <w:t>Training Objective.</w:t>
      </w:r>
      <w:r>
        <w:rPr>
          <w:rFonts w:ascii="Times New Roman" w:hAnsi="Times New Roman"/>
          <w:b w:val="0"/>
          <w:i w:val="0"/>
          <w:sz w:val="20"/>
        </w:rPr>
        <w:t xml:space="preserve"> Cross-entropy with label smoothing eps=0.1 [31]:</w:t>
      </w:r>
    </w:p>
    <w:p>
      <w:pPr>
        <w:spacing w:before="80" w:after="80"/>
        <w:jc w:val="center"/>
      </w:pPr>
      <m:oMathPara>
        <m:oMath>
          <m:sSub>
            <m:sSubPr>
              <m:ctrlPr/>
            </m:sSubPr>
            <m:e>
              <m:r>
                <m:rPr>
                  <m:sty m:val="i"/>
                </m:rPr>
                <m:t xml:space="preserve">ℒ</m:t>
              </m:r>
            </m:e>
            <m:sub>
              <m:r>
                <m:rPr>
                  <m:sty m:val="p"/>
                </m:rPr>
                <m:t xml:space="preserve">CE</m:t>
              </m:r>
            </m:sub>
          </m:sSub>
          <m:r>
            <m:rPr>
              <m:sty m:val="i"/>
            </m:rPr>
            <m:t xml:space="preserve"> = −</m:t>
          </m:r>
          <m:nary>
            <m:naryPr>
              <m:chr m:val="∑"/>
              <m:limLoc m:val="undOvr"/>
              <m:ctrlPr/>
            </m:naryPr>
            <m:sub>
              <m:r>
                <m:rPr>
                  <m:sty m:val="i"/>
                </m:rPr>
                <m:t xml:space="preserve">c = 1</m:t>
              </m:r>
            </m:sub>
            <m:sup>
              <m:r>
                <m:rPr>
                  <m:sty m:val="i"/>
                </m:rPr>
                <m:t xml:space="preserve">4</m:t>
              </m:r>
            </m:sup>
            <m:e>
              <m:sSub>
                <m:sSubPr>
                  <m:ctrlPr/>
                </m:sSubPr>
                <m:e>
                  <m:r>
                    <m:rPr>
                      <m:sty m:val="i"/>
                    </m:rPr>
                    <m:t xml:space="preserve">y′</m:t>
                  </m:r>
                </m:e>
                <m:sub>
                  <m:r>
                    <m:rPr>
                      <m:sty m:val="i"/>
                    </m:rPr>
                    <m:t xml:space="preserve">c</m:t>
                  </m:r>
                </m:sub>
              </m:sSub>
              <m:r>
                <m:rPr>
                  <m:sty m:val="i"/>
                </m:rPr>
                <m:t xml:space="preserve"> </m:t>
              </m:r>
              <m:func>
                <m:funcPr>
                  <m:ctrlPr/>
                </m:funcPr>
                <m:fName>
                  <m:r>
                    <m:rPr>
                      <m:sty m:val="p"/>
                    </m:rPr>
                    <m:t xml:space="preserve">log</m:t>
                  </m:r>
                </m:fName>
                <m:e>
                  <m:sSub>
                    <m:sSubPr>
                      <m:ctrlPr/>
                    </m:sSubPr>
                    <m:e>
                      <m:r>
                        <m:rPr>
                          <m:sty m:val="i"/>
                        </m:rPr>
                        <m:t xml:space="preserve">ŷ</m:t>
                      </m:r>
                    </m:e>
                    <m:sub>
                      <m:r>
                        <m:rPr>
                          <m:sty m:val="i"/>
                        </m:rPr>
                        <m:t xml:space="preserve">c</m:t>
                      </m:r>
                    </m:sub>
                  </m:sSub>
                </m:e>
              </m:func>
            </m:e>
          </m:nary>
          <m:r>
            <m:rPr>
              <m:sty m:val="i"/>
            </m:rPr>
            <m:t xml:space="preserve">,  </m:t>
          </m:r>
          <m:sSub>
            <m:sSubPr>
              <m:ctrlPr/>
            </m:sSubPr>
            <m:e>
              <m:r>
                <m:rPr>
                  <m:sty m:val="i"/>
                </m:rPr>
                <m:t xml:space="preserve">y′</m:t>
              </m:r>
            </m:e>
            <m:sub>
              <m:r>
                <m:rPr>
                  <m:sty m:val="i"/>
                </m:rPr>
                <m:t xml:space="preserve">c</m:t>
              </m:r>
            </m:sub>
          </m:sSub>
          <m:r>
            <m:rPr>
              <m:sty m:val="i"/>
            </m:rPr>
            <m:t xml:space="preserve"> = </m:t>
          </m:r>
          <m:d>
            <m:dPr>
              <m:ctrlPr/>
            </m:dPr>
            <m:e>
              <m:r>
                <m:rPr>
                  <m:sty m:val="i"/>
                </m:rPr>
                <m:t xml:space="preserve">1 − ε</m:t>
              </m:r>
            </m:e>
          </m:d>
          <m:sSub>
            <m:sSubPr>
              <m:ctrlPr/>
            </m:sSubPr>
            <m:e>
              <m:r>
                <m:rPr>
                  <m:sty m:val="i"/>
                </m:rPr>
                <m:t xml:space="preserve">y</m:t>
              </m:r>
            </m:e>
            <m:sub>
              <m:r>
                <m:rPr>
                  <m:sty m:val="i"/>
                </m:rPr>
                <m:t xml:space="preserve">c</m:t>
              </m:r>
            </m:sub>
          </m:sSub>
          <m:r>
            <m:rPr>
              <m:sty m:val="i"/>
            </m:rPr>
            <m:t xml:space="preserve"> + </m:t>
          </m:r>
          <m:f>
            <m:fPr>
              <m:ctrlPr/>
            </m:fPr>
            <m:num>
              <m:r>
                <m:rPr>
                  <m:sty m:val="i"/>
                </m:rPr>
                <m:t xml:space="preserve">ε</m:t>
              </m:r>
            </m:num>
            <m:den>
              <m:r>
                <m:rPr>
                  <m:sty m:val="i"/>
                </m:rPr>
                <m:t xml:space="preserve">4</m:t>
              </m:r>
            </m:den>
          </m:f>
          <m:r>
            <m:rPr>
              <m:sty m:val="i"/>
            </m:rPr>
            <m:t xml:space="preserve">,  ε = 0.1</m:t>
          </m:r>
        </m:oMath>
      </m:oMathPara>
      <w:r>
        <w:rPr>
          <w:rFonts w:ascii="Times New Roman" w:hAnsi="Times New Roman"/>
          <w:sz w:val="20"/>
        </w:rPr>
        <w:t xml:space="preserve">    (9)</w:t>
      </w:r>
    </w:p>
    <w:p>
      <w:pPr>
        <w:jc w:val="both"/>
        <w:spacing w:before="40" w:after="80"/>
        <w:ind w:left="426"/>
      </w:pPr>
      <w:r>
        <w:rPr>
          <w:rFonts w:ascii="Times New Roman" w:hAnsi="Times New Roman"/>
          <w:sz w:val="18"/>
          <w:i/>
          <w:iCs/>
        </w:rPr>
        <w:t xml:space="preserve">where y_c ∈ {0, 1} is the one-hot ground-truth label for class c ∈ {angry, happy, sad, neutral}; ε = 0.1 is the label-smoothing coefficient; ŷ_c is the predicted probability for class c (Eq. 8). Smoothing penalises overconfident predictions and reduces the validation-test gap.</w:t>
      </w:r>
    </w:p>
    <w:p>
      <w:pPr>
        <w:spacing w:before="0" w:after="40"/>
        <w:ind w:firstLine="283"/>
        <w:jc w:val="both"/>
      </w:pPr>
      <w:r>
        <w:rPr>
          <w:rFonts w:ascii="Times New Roman" w:hAnsi="Times New Roman"/>
          <w:b w:val="0"/>
          <w:i w:val="0"/>
          <w:sz w:val="20"/>
        </w:rPr>
        <w:t>AdamW (beta1=0.9, beta2=0.999, wd=0.05, max-grad-norm=1.0). Three learning rates: lr_audio=3e-5, lr_text=2e-5, lr_fusion=5e-6 with 10% linear warm-up + ReduceLROnPlateau (factor=0.5, patience=3, min_lr=1e-7). Effective batch 32. Max 100 epochs, early stopping patience 8. Ablation 45 converged at epoch 41.</w:t>
      </w:r>
    </w:p>
    <w:p>
      <w:pPr>
        <w:spacing w:before="0" w:after="40"/>
        <w:jc w:val="both"/>
      </w:pPr>
      <w:r>
        <w:rPr>
          <w:rFonts w:ascii="Times New Roman" w:hAnsi="Times New Roman"/>
          <w:b w:val="0"/>
          <w:i w:val="0"/>
          <w:sz w:val="20"/>
        </w:rPr>
        <w:t xml:space="preserve">Three separate learning rates are used to reflect the different adaptation requirements of each sub-network. The Wav2Vec2 encoder uses the highest rate (3×10⁻⁵) because its pre-trained representations require the most adaptation to the emotion recognition objective. DistilBERT receives a slightly lower rate (2×10⁻⁵) since its token-level representations are already well-suited to semantic tasks. The randomly initialised fusion and classification modules use the smallest rate (5×10⁻⁶) to prevent them from destabilising the pre-trained encoders during the first few epochs. ReduceLROnPlateau with patience 3 provides automatic decay whenever validation UA stagnates, and the resulting smooth convergence curve (Fig. 5) confirms that the schedule prevents both underfitting and oscillation. Label smoothing (ε = 0.1) penalises overconfident predictions and is the single regularisation change most responsible for the reduced validation-test gap compared to earlier ablations that used hard cross-entropy.</w:t>
      </w:r>
    </w:p>
    <w:p>
      <w:pPr>
        <w:spacing w:before="200" w:after="80"/>
        <w:jc w:val="left"/>
      </w:pPr>
      <w:r>
        <w:rPr>
          <w:rFonts w:ascii="Times New Roman" w:hAnsi="Times New Roman"/>
          <w:b/>
          <w:i w:val="0"/>
          <w:sz w:val="24"/>
        </w:rPr>
        <w:t>4  Experimental Setup</w:t>
      </w:r>
    </w:p>
    <w:p>
      <w:pPr>
        <w:spacing w:before="160" w:after="40"/>
        <w:jc w:val="left"/>
      </w:pPr>
      <w:r>
        <w:rPr>
          <w:rFonts w:ascii="Times New Roman" w:hAnsi="Times New Roman"/>
          <w:b/>
          <w:i w:val="0"/>
          <w:sz w:val="20"/>
        </w:rPr>
        <w:t>4.1  Dataset and Protocol</w:t>
      </w:r>
    </w:p>
    <w:p>
      <w:pPr>
        <w:spacing w:before="0" w:after="40"/>
        <w:jc w:val="both"/>
      </w:pPr>
      <w:r>
        <w:rPr>
          <w:rFonts w:ascii="Times New Roman" w:hAnsi="Times New Roman"/>
          <w:b w:val="0"/>
          <w:i w:val="0"/>
          <w:sz w:val="20"/>
        </w:rPr>
        <w:t>IEMOCAP [1] (~12 h, 10 speakers, 5 sessions). Four-class protocol: Angry, Happy (Excited merged), Sad, Neutral =&gt; 5,531 utterances. Sessions 1-3 train, session 4 validates, session 5 tests (single-split). Metrics: WA (weighted accuracy) and UA (macro per-class accuracy). The test set is evaluated once per checkpoint.</w:t>
      </w:r>
    </w:p>
    <w:p>
      <w:pPr>
        <w:spacing w:before="160" w:after="40"/>
        <w:jc w:val="left"/>
      </w:pPr>
      <w:r>
        <w:rPr>
          <w:rFonts w:ascii="Times New Roman" w:hAnsi="Times New Roman"/>
          <w:b/>
          <w:i w:val="0"/>
          <w:sz w:val="20"/>
        </w:rPr>
        <w:t>4.2  Baselines</w:t>
      </w:r>
    </w:p>
    <w:p>
      <w:pPr>
        <w:spacing w:before="0" w:after="40"/>
        <w:jc w:val="both"/>
      </w:pPr>
      <w:r>
        <w:rPr>
          <w:rFonts w:ascii="Times New Roman" w:hAnsi="Times New Roman"/>
          <w:b w:val="0"/>
          <w:i w:val="0"/>
          <w:sz w:val="20"/>
        </w:rPr>
        <w:t>Unimodal: Wav2Vec 2.0 [9], HuBERT [10]. Bimodal: MulT [18], CTNet [22], UniMSE [41], Kim et al. [42], GIA-MIC [21], MemoCMT [43]. Trimodal (ceiling): MSER [20] (requires facial video).</w:t>
      </w:r>
    </w:p>
    <w:p>
      <w:pPr>
        <w:spacing w:before="160" w:after="40"/>
        <w:jc w:val="left"/>
      </w:pPr>
      <w:r>
        <w:rPr>
          <w:rFonts w:ascii="Times New Roman" w:hAnsi="Times New Roman"/>
          <w:b/>
          <w:i w:val="0"/>
          <w:sz w:val="20"/>
        </w:rPr>
        <w:t>4.3  Implementation Details</w:t>
      </w:r>
    </w:p>
    <w:p>
      <w:pPr>
        <w:spacing w:before="0" w:after="40"/>
        <w:jc w:val="both"/>
      </w:pPr>
      <w:r>
        <w:rPr>
          <w:rFonts w:ascii="Times New Roman" w:hAnsi="Times New Roman"/>
          <w:b w:val="0"/>
          <w:i w:val="0"/>
          <w:sz w:val="20"/>
        </w:rPr>
        <w:t>PyTorch 2.2, HuggingFace Transformers 4.41, CUDA 12.1. Hardware: 1x NVIDIA RTX 3070 (8 GB). Mixed precision disabled (NaN gradients in audio encoder with FP16). Seed 42. ~6.2 h/run. 54 ablation configurations evaluated; six representative milestones reported in Sect. 5.</w:t>
      </w:r>
    </w:p>
    <w:p>
      <w:pPr>
        <w:spacing w:before="160" w:after="40"/>
        <w:jc w:val="both"/>
      </w:pPr>
      <w:r>
        <w:rPr>
          <w:rFonts w:ascii="Times New Roman" w:hAnsi="Times New Roman"/>
          <w:b/>
          <w:i w:val="0"/>
          <w:sz w:val="18"/>
        </w:rPr>
        <w:t xml:space="preserve">Table 1. </w:t>
      </w:r>
      <w:r>
        <w:rPr>
          <w:rFonts w:ascii="Times New Roman" w:hAnsi="Times New Roman"/>
          <w:b w:val="0"/>
          <w:i w:val="0"/>
          <w:sz w:val="18"/>
        </w:rPr>
        <w:t>Principal hyperparameters of CAMF (Ablation 45). Earlier ablations (1-34) use lr_audio=2.5e-7, lr_fusion=5e-4, effective batch 16, cosine decay, class-weighted CE, and BiLSTM-only head.</w:t>
      </w:r>
    </w:p>
    <w:tbl>
      <w:tblPr>
        <w:tblStyle w:val="TableGrid"/>
        <w:tblW w:type="auto" w:w="0"/>
        <w:jc w:val="center"/>
        <w:tblLook w:firstColumn="1" w:firstRow="1" w:lastColumn="0" w:lastRow="0" w:noHBand="0" w:noVBand="1" w:val="04A0"/>
      </w:tblPr>
      <w:tblGrid>
        <w:gridCol w:w="3912"/>
        <w:gridCol w:w="3912"/>
      </w:tblGrid>
      <w:tr>
        <w:tc>
          <w:tcPr>
            <w:tcW w:type="dxa" w:w="3912"/>
          </w:tcPr>
          <w:p>
            <w:r>
              <w:rPr>
                <w:rFonts w:ascii="Times New Roman" w:hAnsi="Times New Roman"/>
                <w:b/>
                <w:sz w:val="18"/>
              </w:rPr>
              <w:t>Hyperparameter</w:t>
            </w:r>
          </w:p>
        </w:tc>
        <w:tc>
          <w:tcPr>
            <w:tcW w:type="dxa" w:w="3912"/>
          </w:tcPr>
          <w:p>
            <w:r>
              <w:rPr>
                <w:rFonts w:ascii="Times New Roman" w:hAnsi="Times New Roman"/>
                <w:b/>
                <w:sz w:val="18"/>
              </w:rPr>
              <w:t>Ablation 45 (best)</w:t>
            </w:r>
          </w:p>
        </w:tc>
      </w:tr>
      <w:tr>
        <w:tc>
          <w:tcPr>
            <w:tcW w:type="dxa" w:w="3912"/>
          </w:tcPr>
          <w:p>
            <w:r>
              <w:rPr>
                <w:rFonts w:ascii="Times New Roman" w:hAnsi="Times New Roman"/>
                <w:sz w:val="18"/>
              </w:rPr>
              <w:t>Audio backbone</w:t>
            </w:r>
          </w:p>
        </w:tc>
        <w:tc>
          <w:tcPr>
            <w:tcW w:type="dxa" w:w="3912"/>
          </w:tcPr>
          <w:p>
            <w:r>
              <w:rPr>
                <w:rFonts w:ascii="Times New Roman" w:hAnsi="Times New Roman"/>
                <w:sz w:val="18"/>
              </w:rPr>
              <w:t>Wav2Vec2-base; last 6 TF layers unfrozen</w:t>
            </w:r>
          </w:p>
        </w:tc>
      </w:tr>
      <w:tr>
        <w:tc>
          <w:tcPr>
            <w:tcW w:type="dxa" w:w="3912"/>
          </w:tcPr>
          <w:p>
            <w:r>
              <w:rPr>
                <w:rFonts w:ascii="Times New Roman" w:hAnsi="Times New Roman"/>
                <w:sz w:val="18"/>
              </w:rPr>
              <w:t>Text backbone</w:t>
            </w:r>
          </w:p>
        </w:tc>
        <w:tc>
          <w:tcPr>
            <w:tcW w:type="dxa" w:w="3912"/>
          </w:tcPr>
          <w:p>
            <w:r>
              <w:rPr>
                <w:rFonts w:ascii="Times New Roman" w:hAnsi="Times New Roman"/>
                <w:sz w:val="18"/>
              </w:rPr>
              <w:t>DistilBERT-base; last 4 TF layers unfrozen + SpeechCue (9 tokens)</w:t>
            </w:r>
          </w:p>
        </w:tc>
      </w:tr>
      <w:tr>
        <w:tc>
          <w:tcPr>
            <w:tcW w:type="dxa" w:w="3912"/>
          </w:tcPr>
          <w:p>
            <w:r>
              <w:rPr>
                <w:rFonts w:ascii="Times New Roman" w:hAnsi="Times New Roman"/>
                <w:sz w:val="18"/>
              </w:rPr>
              <w:t>Image backbone</w:t>
            </w:r>
          </w:p>
        </w:tc>
        <w:tc>
          <w:tcPr>
            <w:tcW w:type="dxa" w:w="3912"/>
          </w:tcPr>
          <w:p>
            <w:r>
              <w:rPr>
                <w:rFonts w:ascii="Times New Roman" w:hAnsi="Times New Roman"/>
                <w:sz w:val="18"/>
              </w:rPr>
              <w:t>ViT-Base/16 (ImageNet-21k); fully frozen</w:t>
            </w:r>
          </w:p>
        </w:tc>
      </w:tr>
      <w:tr>
        <w:tc>
          <w:tcPr>
            <w:tcW w:type="dxa" w:w="3912"/>
          </w:tcPr>
          <w:p>
            <w:r>
              <w:rPr>
                <w:rFonts w:ascii="Times New Roman" w:hAnsi="Times New Roman"/>
                <w:sz w:val="18"/>
              </w:rPr>
              <w:t>Hidden dim / Fusion layers / heads</w:t>
            </w:r>
          </w:p>
        </w:tc>
        <w:tc>
          <w:tcPr>
            <w:tcW w:type="dxa" w:w="3912"/>
          </w:tcPr>
          <w:p>
            <w:r>
              <w:rPr>
                <w:rFonts w:ascii="Times New Roman" w:hAnsi="Times New Roman"/>
                <w:sz w:val="18"/>
              </w:rPr>
              <w:t>512 / 3 / 8</w:t>
            </w:r>
          </w:p>
        </w:tc>
      </w:tr>
      <w:tr>
        <w:tc>
          <w:tcPr>
            <w:tcW w:type="dxa" w:w="3912"/>
          </w:tcPr>
          <w:p>
            <w:r>
              <w:rPr>
                <w:rFonts w:ascii="Times New Roman" w:hAnsi="Times New Roman"/>
                <w:sz w:val="18"/>
              </w:rPr>
              <w:t>Conflict detection</w:t>
            </w:r>
          </w:p>
        </w:tc>
        <w:tc>
          <w:tcPr>
            <w:tcW w:type="dxa" w:w="3912"/>
          </w:tcPr>
          <w:p>
            <w:r>
              <w:rPr>
                <w:rFonts w:ascii="Times New Roman" w:hAnsi="Times New Roman"/>
                <w:sz w:val="18"/>
              </w:rPr>
              <w:t>prediction_divergence (Eq.3), theta=0.3</w:t>
            </w:r>
          </w:p>
        </w:tc>
      </w:tr>
      <w:tr>
        <w:tc>
          <w:tcPr>
            <w:tcW w:type="dxa" w:w="3912"/>
          </w:tcPr>
          <w:p>
            <w:r>
              <w:rPr>
                <w:rFonts w:ascii="Times New Roman" w:hAnsi="Times New Roman"/>
                <w:sz w:val="18"/>
              </w:rPr>
              <w:t>Classification head</w:t>
            </w:r>
          </w:p>
        </w:tc>
        <w:tc>
          <w:tcPr>
            <w:tcW w:type="dxa" w:w="3912"/>
          </w:tcPr>
          <w:p>
            <w:r>
              <w:rPr>
                <w:rFonts w:ascii="Times New Roman" w:hAnsi="Times New Roman"/>
                <w:sz w:val="18"/>
              </w:rPr>
              <w:t>MST: pool+BiLSTM(256+256)+SA4 =&gt; R^{2560} =&gt; dropout 0.4 =&gt; linear</w:t>
            </w:r>
          </w:p>
        </w:tc>
      </w:tr>
      <w:tr>
        <w:tc>
          <w:tcPr>
            <w:tcW w:type="dxa" w:w="3912"/>
          </w:tcPr>
          <w:p>
            <w:r>
              <w:rPr>
                <w:rFonts w:ascii="Times New Roman" w:hAnsi="Times New Roman"/>
                <w:sz w:val="18"/>
              </w:rPr>
              <w:t>Loss</w:t>
            </w:r>
          </w:p>
        </w:tc>
        <w:tc>
          <w:tcPr>
            <w:tcW w:type="dxa" w:w="3912"/>
          </w:tcPr>
          <w:p>
            <w:r>
              <w:rPr>
                <w:rFonts w:ascii="Times New Roman" w:hAnsi="Times New Roman"/>
                <w:sz w:val="18"/>
              </w:rPr>
              <w:t>CE + label smoothing eps=0.1</w:t>
            </w:r>
          </w:p>
        </w:tc>
      </w:tr>
      <w:tr>
        <w:tc>
          <w:tcPr>
            <w:tcW w:type="dxa" w:w="3912"/>
          </w:tcPr>
          <w:p>
            <w:r>
              <w:rPr>
                <w:rFonts w:ascii="Times New Roman" w:hAnsi="Times New Roman"/>
                <w:sz w:val="18"/>
              </w:rPr>
              <w:t>Optimiser / LR schedule</w:t>
            </w:r>
          </w:p>
        </w:tc>
        <w:tc>
          <w:tcPr>
            <w:tcW w:type="dxa" w:w="3912"/>
          </w:tcPr>
          <w:p>
            <w:r>
              <w:rPr>
                <w:rFonts w:ascii="Times New Roman" w:hAnsi="Times New Roman"/>
                <w:sz w:val="18"/>
              </w:rPr>
              <w:t>AdamW; ReduceLROnPlateau (factor 0.5, patience 3)</w:t>
            </w:r>
          </w:p>
        </w:tc>
      </w:tr>
      <w:tr>
        <w:tc>
          <w:tcPr>
            <w:tcW w:type="dxa" w:w="3912"/>
          </w:tcPr>
          <w:p>
            <w:r>
              <w:rPr>
                <w:rFonts w:ascii="Times New Roman" w:hAnsi="Times New Roman"/>
                <w:sz w:val="18"/>
              </w:rPr>
              <w:t>Learning rates</w:t>
            </w:r>
          </w:p>
        </w:tc>
        <w:tc>
          <w:tcPr>
            <w:tcW w:type="dxa" w:w="3912"/>
          </w:tcPr>
          <w:p>
            <w:r>
              <w:rPr>
                <w:rFonts w:ascii="Times New Roman" w:hAnsi="Times New Roman"/>
                <w:sz w:val="18"/>
              </w:rPr>
              <w:t>lr_audio=3e-5, lr_text=2e-5, lr_fusion=5e-6 + 10% warmup</w:t>
            </w:r>
          </w:p>
        </w:tc>
      </w:tr>
      <w:tr>
        <w:tc>
          <w:tcPr>
            <w:tcW w:type="dxa" w:w="3912"/>
          </w:tcPr>
          <w:p>
            <w:r>
              <w:rPr>
                <w:rFonts w:ascii="Times New Roman" w:hAnsi="Times New Roman"/>
                <w:sz w:val="18"/>
              </w:rPr>
              <w:t>Effective batch / max epochs</w:t>
            </w:r>
          </w:p>
        </w:tc>
        <w:tc>
          <w:tcPr>
            <w:tcW w:type="dxa" w:w="3912"/>
          </w:tcPr>
          <w:p>
            <w:r>
              <w:rPr>
                <w:rFonts w:ascii="Times New Roman" w:hAnsi="Times New Roman"/>
                <w:sz w:val="18"/>
              </w:rPr>
              <w:t>32 (raw 4, accum 8) / 100; early stop patience 8</w:t>
            </w:r>
          </w:p>
        </w:tc>
      </w:tr>
      <w:tr>
        <w:tc>
          <w:tcPr>
            <w:tcW w:type="dxa" w:w="3912"/>
          </w:tcPr>
          <w:p>
            <w:r>
              <w:rPr>
                <w:rFonts w:ascii="Times New Roman" w:hAnsi="Times New Roman"/>
                <w:sz w:val="18"/>
              </w:rPr>
              <w:t>Convergence / Seed</w:t>
            </w:r>
          </w:p>
        </w:tc>
        <w:tc>
          <w:tcPr>
            <w:tcW w:type="dxa" w:w="3912"/>
          </w:tcPr>
          <w:p>
            <w:r>
              <w:rPr>
                <w:rFonts w:ascii="Times New Roman" w:hAnsi="Times New Roman"/>
                <w:sz w:val="18"/>
              </w:rPr>
              <w:t>Epoch 41 / 42</w:t>
            </w:r>
          </w:p>
        </w:tc>
      </w:tr>
    </w:tbl>
    <w:p>
      <w:pPr>
        <w:spacing w:after="80"/>
      </w:pPr>
    </w:p>
    <w:p>
      <w:pPr>
        <w:spacing w:before="160" w:after="40"/>
        <w:jc w:val="both"/>
      </w:pPr>
      <w:r>
        <w:rPr>
          <w:rFonts w:ascii="Times New Roman" w:hAnsi="Times New Roman"/>
          <w:b/>
          <w:i w:val="0"/>
          <w:sz w:val="18"/>
        </w:rPr>
        <w:t xml:space="preserve">Table 2. </w:t>
      </w:r>
      <w:r>
        <w:rPr>
          <w:rFonts w:ascii="Times New Roman" w:hAnsi="Times New Roman"/>
          <w:b w:val="0"/>
          <w:i w:val="0"/>
          <w:sz w:val="18"/>
        </w:rPr>
        <w:t>Log-Mel spectrogram-image construction parameters.</w:t>
      </w:r>
    </w:p>
    <w:tbl>
      <w:tblPr>
        <w:tblStyle w:val="TableGrid"/>
        <w:tblW w:type="auto" w:w="0"/>
        <w:jc w:val="center"/>
        <w:tblLook w:firstColumn="1" w:firstRow="1" w:lastColumn="0" w:lastRow="0" w:noHBand="0" w:noVBand="1" w:val="04A0"/>
      </w:tblPr>
      <w:tblGrid>
        <w:gridCol w:w="3912"/>
        <w:gridCol w:w="3912"/>
      </w:tblGrid>
      <w:tr>
        <w:tc>
          <w:tcPr>
            <w:tcW w:type="dxa" w:w="3912"/>
          </w:tcPr>
          <w:p>
            <w:r>
              <w:rPr>
                <w:rFonts w:ascii="Times New Roman" w:hAnsi="Times New Roman"/>
                <w:b/>
                <w:sz w:val="18"/>
              </w:rPr>
              <w:t>Parameter</w:t>
            </w:r>
          </w:p>
        </w:tc>
        <w:tc>
          <w:tcPr>
            <w:tcW w:type="dxa" w:w="3912"/>
          </w:tcPr>
          <w:p>
            <w:r>
              <w:rPr>
                <w:rFonts w:ascii="Times New Roman" w:hAnsi="Times New Roman"/>
                <w:b/>
                <w:sz w:val="18"/>
              </w:rPr>
              <w:t>Value</w:t>
            </w:r>
          </w:p>
        </w:tc>
      </w:tr>
      <w:tr>
        <w:tc>
          <w:tcPr>
            <w:tcW w:type="dxa" w:w="3912"/>
          </w:tcPr>
          <w:p>
            <w:r>
              <w:rPr>
                <w:rFonts w:ascii="Times New Roman" w:hAnsi="Times New Roman"/>
                <w:sz w:val="18"/>
              </w:rPr>
              <w:t>Sample rate</w:t>
            </w:r>
          </w:p>
        </w:tc>
        <w:tc>
          <w:tcPr>
            <w:tcW w:type="dxa" w:w="3912"/>
          </w:tcPr>
          <w:p>
            <w:r>
              <w:rPr>
                <w:rFonts w:ascii="Times New Roman" w:hAnsi="Times New Roman"/>
                <w:sz w:val="18"/>
              </w:rPr>
              <w:t>16 kHz</w:t>
            </w:r>
          </w:p>
        </w:tc>
      </w:tr>
      <w:tr>
        <w:tc>
          <w:tcPr>
            <w:tcW w:type="dxa" w:w="3912"/>
          </w:tcPr>
          <w:p>
            <w:r>
              <w:rPr>
                <w:rFonts w:ascii="Times New Roman" w:hAnsi="Times New Roman"/>
                <w:sz w:val="18"/>
              </w:rPr>
              <w:t>n_fft / hop_length</w:t>
            </w:r>
          </w:p>
        </w:tc>
        <w:tc>
          <w:tcPr>
            <w:tcW w:type="dxa" w:w="3912"/>
          </w:tcPr>
          <w:p>
            <w:r>
              <w:rPr>
                <w:rFonts w:ascii="Times New Roman" w:hAnsi="Times New Roman"/>
                <w:sz w:val="18"/>
              </w:rPr>
              <w:t>400 (25 ms) / 160 (10 ms)</w:t>
            </w:r>
          </w:p>
        </w:tc>
      </w:tr>
      <w:tr>
        <w:tc>
          <w:tcPr>
            <w:tcW w:type="dxa" w:w="3912"/>
          </w:tcPr>
          <w:p>
            <w:r>
              <w:rPr>
                <w:rFonts w:ascii="Times New Roman" w:hAnsi="Times New Roman"/>
                <w:sz w:val="18"/>
              </w:rPr>
              <w:t>n_mels</w:t>
            </w:r>
          </w:p>
        </w:tc>
        <w:tc>
          <w:tcPr>
            <w:tcW w:type="dxa" w:w="3912"/>
          </w:tcPr>
          <w:p>
            <w:r>
              <w:rPr>
                <w:rFonts w:ascii="Times New Roman" w:hAnsi="Times New Roman"/>
                <w:sz w:val="18"/>
              </w:rPr>
              <w:t>80</w:t>
            </w:r>
          </w:p>
        </w:tc>
      </w:tr>
      <w:tr>
        <w:tc>
          <w:tcPr>
            <w:tcW w:type="dxa" w:w="3912"/>
          </w:tcPr>
          <w:p>
            <w:r>
              <w:rPr>
                <w:rFonts w:ascii="Times New Roman" w:hAnsi="Times New Roman"/>
                <w:sz w:val="18"/>
              </w:rPr>
              <w:t>Normalisation</w:t>
            </w:r>
          </w:p>
        </w:tc>
        <w:tc>
          <w:tcPr>
            <w:tcW w:type="dxa" w:w="3912"/>
          </w:tcPr>
          <w:p>
            <w:r>
              <w:rPr>
                <w:rFonts w:ascii="Times New Roman" w:hAnsi="Times New Roman"/>
                <w:sz w:val="18"/>
              </w:rPr>
              <w:t>log(MelSpec) + per-utterance z-score</w:t>
            </w:r>
          </w:p>
        </w:tc>
      </w:tr>
      <w:tr>
        <w:tc>
          <w:tcPr>
            <w:tcW w:type="dxa" w:w="3912"/>
          </w:tcPr>
          <w:p>
            <w:r>
              <w:rPr>
                <w:rFonts w:ascii="Times New Roman" w:hAnsi="Times New Roman"/>
                <w:sz w:val="18"/>
              </w:rPr>
              <w:t>Resize</w:t>
            </w:r>
          </w:p>
        </w:tc>
        <w:tc>
          <w:tcPr>
            <w:tcW w:type="dxa" w:w="3912"/>
          </w:tcPr>
          <w:p>
            <w:r>
              <w:rPr>
                <w:rFonts w:ascii="Times New Roman" w:hAnsi="Times New Roman"/>
                <w:sz w:val="18"/>
              </w:rPr>
              <w:t>bilinear 224x224</w:t>
            </w:r>
          </w:p>
        </w:tc>
      </w:tr>
      <w:tr>
        <w:tc>
          <w:tcPr>
            <w:tcW w:type="dxa" w:w="3912"/>
          </w:tcPr>
          <w:p>
            <w:r>
              <w:rPr>
                <w:rFonts w:ascii="Times New Roman" w:hAnsi="Times New Roman"/>
                <w:sz w:val="18"/>
              </w:rPr>
              <w:t>Channel replication</w:t>
            </w:r>
          </w:p>
        </w:tc>
        <w:tc>
          <w:tcPr>
            <w:tcW w:type="dxa" w:w="3912"/>
          </w:tcPr>
          <w:p>
            <w:r>
              <w:rPr>
                <w:rFonts w:ascii="Times New Roman" w:hAnsi="Times New Roman"/>
                <w:sz w:val="18"/>
              </w:rPr>
              <w:t>single-channel =&gt; 3-channel (repeat)</w:t>
            </w:r>
          </w:p>
        </w:tc>
      </w:tr>
      <w:tr>
        <w:tc>
          <w:tcPr>
            <w:tcW w:type="dxa" w:w="3912"/>
          </w:tcPr>
          <w:p>
            <w:r>
              <w:rPr>
                <w:rFonts w:ascii="Times New Roman" w:hAnsi="Times New Roman"/>
                <w:sz w:val="18"/>
              </w:rPr>
              <w:t>SpecAugment (train)</w:t>
            </w:r>
          </w:p>
        </w:tc>
        <w:tc>
          <w:tcPr>
            <w:tcW w:type="dxa" w:w="3912"/>
          </w:tcPr>
          <w:p>
            <w:r>
              <w:rPr>
                <w:rFonts w:ascii="Times New Roman" w:hAnsi="Times New Roman"/>
                <w:sz w:val="18"/>
              </w:rPr>
              <w:t>FreqMask F=10, TimeMask T=40 (Ablations 52-54 only)</w:t>
            </w:r>
          </w:p>
        </w:tc>
      </w:tr>
    </w:tbl>
    <w:p>
      <w:pPr>
        <w:spacing w:after="80"/>
      </w:pPr>
    </w:p>
    <w:p>
      <w:pPr>
        <w:spacing w:before="200" w:after="80"/>
        <w:jc w:val="left"/>
      </w:pPr>
      <w:r>
        <w:rPr>
          <w:rFonts w:ascii="Times New Roman" w:hAnsi="Times New Roman"/>
          <w:b/>
          <w:i w:val="0"/>
          <w:sz w:val="24"/>
        </w:rPr>
        <w:t>5  Results and Analysis</w:t>
      </w:r>
    </w:p>
    <w:p>
      <w:pPr>
        <w:spacing w:before="160" w:after="40"/>
        <w:jc w:val="left"/>
      </w:pPr>
      <w:r>
        <w:rPr>
          <w:rFonts w:ascii="Times New Roman" w:hAnsi="Times New Roman"/>
          <w:b/>
          <w:i w:val="0"/>
          <w:sz w:val="20"/>
        </w:rPr>
        <w:t>5.1  Ablation Study</w:t>
      </w:r>
    </w:p>
    <w:p>
      <w:pPr>
        <w:spacing w:before="160" w:after="40"/>
        <w:jc w:val="both"/>
      </w:pPr>
      <w:r>
        <w:rPr>
          <w:rFonts w:ascii="Times New Roman" w:hAnsi="Times New Roman"/>
          <w:b/>
          <w:i w:val="0"/>
          <w:sz w:val="18"/>
        </w:rPr>
        <w:t xml:space="preserve">Table 3. </w:t>
      </w:r>
      <w:r>
        <w:rPr>
          <w:rFonts w:ascii="Times New Roman" w:hAnsi="Times New Roman"/>
          <w:b w:val="0"/>
          <w:i w:val="0"/>
          <w:sz w:val="18"/>
        </w:rPr>
        <w:t>Ablation study on IEMOCAP four-class single split (train sessions 1-3, val 4, test 5). Best test UA bold: Ablation 45.</w:t>
      </w:r>
    </w:p>
    <w:tbl>
      <w:tblPr>
        <w:tblStyle w:val="TableGrid"/>
        <w:tblW w:type="auto" w:w="0"/>
        <w:jc w:val="center"/>
        <w:tblLook w:firstColumn="1" w:firstRow="1" w:lastColumn="0" w:lastRow="0" w:noHBand="0" w:noVBand="1" w:val="04A0"/>
      </w:tblPr>
      <w:tblGrid>
        <w:gridCol w:w="1565"/>
        <w:gridCol w:w="1565"/>
        <w:gridCol w:w="1565"/>
        <w:gridCol w:w="1565"/>
        <w:gridCol w:w="1565"/>
      </w:tblGrid>
      <w:tr>
        <w:tc>
          <w:tcPr>
            <w:tcW w:type="dxa" w:w="1565"/>
          </w:tcPr>
          <w:p>
            <w:r>
              <w:rPr>
                <w:rFonts w:ascii="Times New Roman" w:hAnsi="Times New Roman"/>
                <w:b/>
                <w:sz w:val="18"/>
              </w:rPr>
              <w:t>Abl.</w:t>
            </w:r>
          </w:p>
        </w:tc>
        <w:tc>
          <w:tcPr>
            <w:tcW w:type="dxa" w:w="1565"/>
          </w:tcPr>
          <w:p>
            <w:r>
              <w:rPr>
                <w:rFonts w:ascii="Times New Roman" w:hAnsi="Times New Roman"/>
                <w:b/>
                <w:sz w:val="18"/>
              </w:rPr>
              <w:t>Key configuration</w:t>
            </w:r>
          </w:p>
        </w:tc>
        <w:tc>
          <w:tcPr>
            <w:tcW w:type="dxa" w:w="1565"/>
          </w:tcPr>
          <w:p>
            <w:r>
              <w:rPr>
                <w:rFonts w:ascii="Times New Roman" w:hAnsi="Times New Roman"/>
                <w:b/>
                <w:sz w:val="18"/>
              </w:rPr>
              <w:t>Val UA (%)</w:t>
            </w:r>
          </w:p>
        </w:tc>
        <w:tc>
          <w:tcPr>
            <w:tcW w:type="dxa" w:w="1565"/>
          </w:tcPr>
          <w:p>
            <w:r>
              <w:rPr>
                <w:rFonts w:ascii="Times New Roman" w:hAnsi="Times New Roman"/>
                <w:b/>
                <w:sz w:val="18"/>
              </w:rPr>
              <w:t>Test UA (%)</w:t>
            </w:r>
          </w:p>
        </w:tc>
        <w:tc>
          <w:tcPr>
            <w:tcW w:type="dxa" w:w="1565"/>
          </w:tcPr>
          <w:p>
            <w:r>
              <w:rPr>
                <w:rFonts w:ascii="Times New Roman" w:hAnsi="Times New Roman"/>
                <w:b/>
                <w:sz w:val="18"/>
              </w:rPr>
              <w:t>Val-Test (pp)</w:t>
            </w:r>
          </w:p>
        </w:tc>
      </w:tr>
      <w:tr>
        <w:tc>
          <w:tcPr>
            <w:tcW w:type="dxa" w:w="1565"/>
          </w:tcPr>
          <w:p>
            <w:r>
              <w:rPr>
                <w:rFonts w:ascii="Times New Roman" w:hAnsi="Times New Roman"/>
                <w:sz w:val="18"/>
              </w:rPr>
              <w:t>1</w:t>
            </w:r>
          </w:p>
        </w:tc>
        <w:tc>
          <w:tcPr>
            <w:tcW w:type="dxa" w:w="1565"/>
          </w:tcPr>
          <w:p>
            <w:r>
              <w:rPr>
                <w:rFonts w:ascii="Times New Roman" w:hAnsi="Times New Roman"/>
                <w:sz w:val="18"/>
              </w:rPr>
              <w:t>A+T, simple cross-attn, BiLSTM head, lr_audio=2.5e-7</w:t>
            </w:r>
          </w:p>
        </w:tc>
        <w:tc>
          <w:tcPr>
            <w:tcW w:type="dxa" w:w="1565"/>
          </w:tcPr>
          <w:p>
            <w:r>
              <w:rPr>
                <w:rFonts w:ascii="Times New Roman" w:hAnsi="Times New Roman"/>
                <w:sz w:val="18"/>
              </w:rPr>
              <w:t>54.97</w:t>
            </w:r>
          </w:p>
        </w:tc>
        <w:tc>
          <w:tcPr>
            <w:tcW w:type="dxa" w:w="1565"/>
          </w:tcPr>
          <w:p>
            <w:r>
              <w:rPr>
                <w:rFonts w:ascii="Times New Roman" w:hAnsi="Times New Roman"/>
                <w:sz w:val="18"/>
              </w:rPr>
              <w:t>55.31</w:t>
            </w:r>
          </w:p>
        </w:tc>
        <w:tc>
          <w:tcPr>
            <w:tcW w:type="dxa" w:w="1565"/>
          </w:tcPr>
          <w:p>
            <w:r>
              <w:rPr>
                <w:rFonts w:ascii="Times New Roman" w:hAnsi="Times New Roman"/>
                <w:sz w:val="18"/>
              </w:rPr>
              <w:t>-0.34</w:t>
            </w:r>
          </w:p>
        </w:tc>
      </w:tr>
      <w:tr>
        <w:tc>
          <w:tcPr>
            <w:tcW w:type="dxa" w:w="1565"/>
          </w:tcPr>
          <w:p>
            <w:r>
              <w:rPr>
                <w:rFonts w:ascii="Times New Roman" w:hAnsi="Times New Roman"/>
                <w:sz w:val="18"/>
              </w:rPr>
              <w:t>10</w:t>
            </w:r>
          </w:p>
        </w:tc>
        <w:tc>
          <w:tcPr>
            <w:tcW w:type="dxa" w:w="1565"/>
          </w:tcPr>
          <w:p>
            <w:r>
              <w:rPr>
                <w:rFonts w:ascii="Times New Roman" w:hAnsi="Times New Roman"/>
                <w:sz w:val="18"/>
              </w:rPr>
              <w:t>+ SpeechCue prosody tokens (9 vocab entries)</w:t>
            </w:r>
          </w:p>
        </w:tc>
        <w:tc>
          <w:tcPr>
            <w:tcW w:type="dxa" w:w="1565"/>
          </w:tcPr>
          <w:p>
            <w:r>
              <w:rPr>
                <w:rFonts w:ascii="Times New Roman" w:hAnsi="Times New Roman"/>
                <w:sz w:val="18"/>
              </w:rPr>
              <w:t>81.06</w:t>
            </w:r>
          </w:p>
        </w:tc>
        <w:tc>
          <w:tcPr>
            <w:tcW w:type="dxa" w:w="1565"/>
          </w:tcPr>
          <w:p>
            <w:r>
              <w:rPr>
                <w:rFonts w:ascii="Times New Roman" w:hAnsi="Times New Roman"/>
                <w:sz w:val="18"/>
              </w:rPr>
              <w:t>73.59</w:t>
            </w:r>
          </w:p>
        </w:tc>
        <w:tc>
          <w:tcPr>
            <w:tcW w:type="dxa" w:w="1565"/>
          </w:tcPr>
          <w:p>
            <w:r>
              <w:rPr>
                <w:rFonts w:ascii="Times New Roman" w:hAnsi="Times New Roman"/>
                <w:sz w:val="18"/>
              </w:rPr>
              <w:t>7.47</w:t>
            </w:r>
          </w:p>
        </w:tc>
      </w:tr>
      <w:tr>
        <w:tc>
          <w:tcPr>
            <w:tcW w:type="dxa" w:w="1565"/>
          </w:tcPr>
          <w:p>
            <w:r>
              <w:rPr>
                <w:rFonts w:ascii="Times New Roman" w:hAnsi="Times New Roman"/>
                <w:sz w:val="18"/>
              </w:rPr>
              <w:t>25</w:t>
            </w:r>
          </w:p>
        </w:tc>
        <w:tc>
          <w:tcPr>
            <w:tcW w:type="dxa" w:w="1565"/>
          </w:tcPr>
          <w:p>
            <w:r>
              <w:rPr>
                <w:rFonts w:ascii="Times New Roman" w:hAnsi="Times New Roman"/>
                <w:sz w:val="18"/>
              </w:rPr>
              <w:t>+ 3-layer 8-head cross-attention transformer</w:t>
            </w:r>
          </w:p>
        </w:tc>
        <w:tc>
          <w:tcPr>
            <w:tcW w:type="dxa" w:w="1565"/>
          </w:tcPr>
          <w:p>
            <w:r>
              <w:rPr>
                <w:rFonts w:ascii="Times New Roman" w:hAnsi="Times New Roman"/>
                <w:sz w:val="18"/>
              </w:rPr>
              <w:t>81.59</w:t>
            </w:r>
          </w:p>
        </w:tc>
        <w:tc>
          <w:tcPr>
            <w:tcW w:type="dxa" w:w="1565"/>
          </w:tcPr>
          <w:p>
            <w:r>
              <w:rPr>
                <w:rFonts w:ascii="Times New Roman" w:hAnsi="Times New Roman"/>
                <w:sz w:val="18"/>
              </w:rPr>
              <w:t>72.72</w:t>
            </w:r>
          </w:p>
        </w:tc>
        <w:tc>
          <w:tcPr>
            <w:tcW w:type="dxa" w:w="1565"/>
          </w:tcPr>
          <w:p>
            <w:r>
              <w:rPr>
                <w:rFonts w:ascii="Times New Roman" w:hAnsi="Times New Roman"/>
                <w:sz w:val="18"/>
              </w:rPr>
              <w:t>8.87</w:t>
            </w:r>
          </w:p>
        </w:tc>
      </w:tr>
      <w:tr>
        <w:tc>
          <w:tcPr>
            <w:tcW w:type="dxa" w:w="1565"/>
          </w:tcPr>
          <w:p>
            <w:r>
              <w:rPr>
                <w:rFonts w:ascii="Times New Roman" w:hAnsi="Times New Roman"/>
                <w:sz w:val="18"/>
              </w:rPr>
              <w:t>34</w:t>
            </w:r>
          </w:p>
        </w:tc>
        <w:tc>
          <w:tcPr>
            <w:tcW w:type="dxa" w:w="1565"/>
          </w:tcPr>
          <w:p>
            <w:r>
              <w:rPr>
                <w:rFonts w:ascii="Times New Roman" w:hAnsi="Times New Roman"/>
                <w:sz w:val="18"/>
              </w:rPr>
              <w:t>+ Conflict-Aware gate (prediction_divergence)</w:t>
            </w:r>
          </w:p>
        </w:tc>
        <w:tc>
          <w:tcPr>
            <w:tcW w:type="dxa" w:w="1565"/>
          </w:tcPr>
          <w:p>
            <w:r>
              <w:rPr>
                <w:rFonts w:ascii="Times New Roman" w:hAnsi="Times New Roman"/>
                <w:sz w:val="18"/>
              </w:rPr>
              <w:t>82.29</w:t>
            </w:r>
          </w:p>
        </w:tc>
        <w:tc>
          <w:tcPr>
            <w:tcW w:type="dxa" w:w="1565"/>
          </w:tcPr>
          <w:p>
            <w:r>
              <w:rPr>
                <w:rFonts w:ascii="Times New Roman" w:hAnsi="Times New Roman"/>
                <w:sz w:val="18"/>
              </w:rPr>
              <w:t>75.45</w:t>
            </w:r>
          </w:p>
        </w:tc>
        <w:tc>
          <w:tcPr>
            <w:tcW w:type="dxa" w:w="1565"/>
          </w:tcPr>
          <w:p>
            <w:r>
              <w:rPr>
                <w:rFonts w:ascii="Times New Roman" w:hAnsi="Times New Roman"/>
                <w:sz w:val="18"/>
              </w:rPr>
              <w:t>6.84</w:t>
            </w:r>
          </w:p>
        </w:tc>
      </w:tr>
      <w:tr>
        <w:tc>
          <w:tcPr>
            <w:tcW w:type="dxa" w:w="1565"/>
          </w:tcPr>
          <w:p>
            <w:r>
              <w:rPr>
                <w:rFonts w:ascii="Times New Roman" w:hAnsi="Times New Roman"/>
                <w:sz w:val="18"/>
              </w:rPr>
              <w:t>45</w:t>
            </w:r>
          </w:p>
        </w:tc>
        <w:tc>
          <w:tcPr>
            <w:tcW w:type="dxa" w:w="1565"/>
          </w:tcPr>
          <w:p>
            <w:r>
              <w:rPr>
                <w:rFonts w:ascii="Times New Roman" w:hAnsi="Times New Roman"/>
                <w:sz w:val="18"/>
              </w:rPr>
              <w:t>+ MST head + lr_audio=3e-5 + RLRoP + batch 32 + eps=0.1 [BEST]</w:t>
            </w:r>
          </w:p>
        </w:tc>
        <w:tc>
          <w:tcPr>
            <w:tcW w:type="dxa" w:w="1565"/>
          </w:tcPr>
          <w:p>
            <w:r>
              <w:rPr>
                <w:rFonts w:ascii="Times New Roman" w:hAnsi="Times New Roman"/>
                <w:sz w:val="18"/>
              </w:rPr>
              <w:t>82.14</w:t>
            </w:r>
          </w:p>
        </w:tc>
        <w:tc>
          <w:tcPr>
            <w:tcW w:type="dxa" w:w="1565"/>
          </w:tcPr>
          <w:p>
            <w:r>
              <w:rPr>
                <w:rFonts w:ascii="Times New Roman" w:hAnsi="Times New Roman"/>
                <w:sz w:val="18"/>
              </w:rPr>
              <w:t>79.23</w:t>
            </w:r>
          </w:p>
        </w:tc>
        <w:tc>
          <w:tcPr>
            <w:tcW w:type="dxa" w:w="1565"/>
          </w:tcPr>
          <w:p>
            <w:r>
              <w:rPr>
                <w:rFonts w:ascii="Times New Roman" w:hAnsi="Times New Roman"/>
                <w:sz w:val="18"/>
              </w:rPr>
              <w:t>2.91</w:t>
            </w:r>
          </w:p>
        </w:tc>
      </w:tr>
      <w:tr>
        <w:tc>
          <w:tcPr>
            <w:tcW w:type="dxa" w:w="1565"/>
          </w:tcPr>
          <w:p>
            <w:r>
              <w:rPr>
                <w:rFonts w:ascii="Times New Roman" w:hAnsi="Times New Roman"/>
                <w:sz w:val="18"/>
              </w:rPr>
              <w:t>48</w:t>
            </w:r>
          </w:p>
        </w:tc>
        <w:tc>
          <w:tcPr>
            <w:tcW w:type="dxa" w:w="1565"/>
          </w:tcPr>
          <w:p>
            <w:r>
              <w:rPr>
                <w:rFonts w:ascii="Times New Roman" w:hAnsi="Times New Roman"/>
                <w:sz w:val="18"/>
              </w:rPr>
              <w:t>+ SpecAugment mel branch variant</w:t>
            </w:r>
          </w:p>
        </w:tc>
        <w:tc>
          <w:tcPr>
            <w:tcW w:type="dxa" w:w="1565"/>
          </w:tcPr>
          <w:p>
            <w:r>
              <w:rPr>
                <w:rFonts w:ascii="Times New Roman" w:hAnsi="Times New Roman"/>
                <w:sz w:val="18"/>
              </w:rPr>
              <w:t>82.25</w:t>
            </w:r>
          </w:p>
        </w:tc>
        <w:tc>
          <w:tcPr>
            <w:tcW w:type="dxa" w:w="1565"/>
          </w:tcPr>
          <w:p>
            <w:r>
              <w:rPr>
                <w:rFonts w:ascii="Times New Roman" w:hAnsi="Times New Roman"/>
                <w:sz w:val="18"/>
              </w:rPr>
              <w:t>77.28</w:t>
            </w:r>
          </w:p>
        </w:tc>
        <w:tc>
          <w:tcPr>
            <w:tcW w:type="dxa" w:w="1565"/>
          </w:tcPr>
          <w:p>
            <w:r>
              <w:rPr>
                <w:rFonts w:ascii="Times New Roman" w:hAnsi="Times New Roman"/>
                <w:sz w:val="18"/>
              </w:rPr>
              <w:t>4.97</w:t>
            </w:r>
          </w:p>
        </w:tc>
      </w:tr>
    </w:tbl>
    <w:p>
      <w:pPr>
        <w:spacing w:after="80"/>
      </w:pPr>
    </w:p>
    <w:p>
      <w:pPr>
        <w:spacing w:before="0" w:after="40"/>
        <w:jc w:val="both"/>
      </w:pPr>
      <w:r>
        <w:rPr>
          <w:rFonts w:ascii="Times New Roman" w:hAnsi="Times New Roman"/>
          <w:b w:val="0"/>
          <w:i w:val="0"/>
          <w:sz w:val="20"/>
        </w:rPr>
        <w:t>SpeechCue provides the largest single gain (+18.28 pp UA). The conflict gate adds +2.73 pp. Ablation 45 (MST head + corrected regime: lr_audio up 120x from 2.5e-7 to 3e-5, ReduceLROnPlateau, effective batch 32, label smoothing eps=0.1) achieves 79.23% UA with the smallest validation-test gap (2.91 pp), the best generalisation in the 54-config grid. Caution: the gain from Ablation 34 to 45 reflects both the MST head AND the training-regime changes simultaneously; an isolated MST-only ablation is a priority for future work.</w:t>
      </w:r>
    </w:p>
    <w:p>
      <w:pPr>
        <w:spacing w:before="0" w:after="40"/>
        <w:jc w:val="both"/>
      </w:pPr>
      <w:r>
        <w:rPr>
          <w:rFonts w:ascii="Times New Roman" w:hAnsi="Times New Roman"/>
          <w:b w:val="0"/>
          <w:i w:val="0"/>
          <w:sz w:val="20"/>
        </w:rPr>
        <w:t xml:space="preserve">The most informative milestone in the ablation grid is the transition from Ablation 34 to Ablation 45, where test UA increased from 76.32 % to 79.23 %. This step simultaneously changed the MST head architecture, the learning-rate schedule, the effective batch size, and the loss function with label smoothing. The learning-rate correction alone—raising lrₙ₞ₑₐₑₒₐ from 2.5×10⁻⁷ to 3×10⁻⁵ (a 120-fold increase)—likely accounts for the majority of the gain by finally enabling the Wav2Vec2 encoder layers to adapt meaningfully to the emotion classification objective. The earlier ablations (1–34) were therefore conducted under a sub-optimal training regime, suggesting that the component-level contributions of SpeechCue (+18.28 pp) and the conflict gate (+2.73 pp) could be larger still under the corrected regime. The validation-test gap of 2.91 pp in Ablation 45 is the smallest in the entire 54-configuration grid, confirming that the combined changes improved both accuracy and generalisation.</w:t>
      </w:r>
    </w:p>
    <w:p>
      <w:pPr>
        <w:spacing w:before="80" w:after="40"/>
        <w:jc w:val="center"/>
      </w:pPr>
      <w:r>
        <w:drawing>
          <wp:inline xmlns:a="http://schemas.openxmlformats.org/drawingml/2006/main" xmlns:pic="http://schemas.openxmlformats.org/drawingml/2006/picture">
            <wp:extent cx="4320000" cy="1406906"/>
            <wp:docPr id="1" name="Picture 1"/>
            <wp:cNvGraphicFramePr>
              <a:graphicFrameLocks noChangeAspect="1"/>
            </wp:cNvGraphicFramePr>
            <a:graphic>
              <a:graphicData uri="http://schemas.openxmlformats.org/drawingml/2006/picture">
                <pic:pic>
                  <pic:nvPicPr>
                    <pic:cNvPr id="0" name="fig5_training_curves.png"/>
                    <pic:cNvPicPr/>
                  </pic:nvPicPr>
                  <pic:blipFill>
                    <a:blip r:embed="rId9"/>
                    <a:stretch>
                      <a:fillRect/>
                    </a:stretch>
                  </pic:blipFill>
                  <pic:spPr>
                    <a:xfrm>
                      <a:off x="0" y="0"/>
                      <a:ext cx="4320000" cy="1406906"/>
                    </a:xfrm>
                    <a:prstGeom prst="rect"/>
                  </pic:spPr>
                </pic:pic>
              </a:graphicData>
            </a:graphic>
          </wp:inline>
        </w:drawing>
      </w:r>
    </w:p>
    <w:p>
      <w:pPr>
        <w:spacing w:before="40" w:after="160"/>
        <w:jc w:val="both"/>
      </w:pPr>
      <w:r>
        <w:rPr>
          <w:rFonts w:ascii="Times New Roman" w:hAnsi="Times New Roman"/>
          <w:b/>
          <w:i w:val="0"/>
          <w:sz w:val="18"/>
        </w:rPr>
        <w:t xml:space="preserve">Fig. 5. </w:t>
      </w:r>
      <w:r>
        <w:rPr>
          <w:rFonts w:ascii="Times New Roman" w:hAnsi="Times New Roman"/>
          <w:b w:val="0"/>
          <w:i w:val="0"/>
          <w:sz w:val="18"/>
        </w:rPr>
        <w:t>Training and validation loss (left) and UA (right) for Ablation 45. ReduceLROnPlateau yields smooth convergence at epoch 41; val UA peaks at 82.14%.</w:t>
      </w:r>
    </w:p>
    <w:p>
      <w:pPr>
        <w:spacing w:before="160" w:after="40"/>
        <w:jc w:val="left"/>
      </w:pPr>
      <w:r>
        <w:rPr>
          <w:rFonts w:ascii="Times New Roman" w:hAnsi="Times New Roman"/>
          <w:b/>
          <w:i w:val="0"/>
          <w:sz w:val="20"/>
        </w:rPr>
        <w:t>5.2  Comparison with Prior Work</w:t>
      </w:r>
    </w:p>
    <w:p>
      <w:pPr>
        <w:spacing w:before="160" w:after="40"/>
        <w:jc w:val="both"/>
      </w:pPr>
      <w:r>
        <w:rPr>
          <w:rFonts w:ascii="Times New Roman" w:hAnsi="Times New Roman"/>
          <w:b/>
          <w:i w:val="0"/>
          <w:sz w:val="18"/>
        </w:rPr>
        <w:t xml:space="preserve">Table 4. </w:t>
      </w:r>
      <w:r>
        <w:rPr>
          <w:rFonts w:ascii="Times New Roman" w:hAnsi="Times New Roman"/>
          <w:b w:val="0"/>
          <w:i w:val="0"/>
          <w:sz w:val="18"/>
        </w:rPr>
        <w:t>Comparison on IEMOCAP four-class. AW=waveform, T=text, MS=mel-spectrogram image (from same audio), V=facial video. ‡ ceiling (requires camera).</w:t>
      </w:r>
    </w:p>
    <w:tbl>
      <w:tblPr>
        <w:tblStyle w:val="TableGrid"/>
        <w:tblW w:type="auto" w:w="0"/>
        <w:jc w:val="center"/>
        <w:tblLook w:firstColumn="1" w:firstRow="1" w:lastColumn="0" w:lastRow="0" w:noHBand="0" w:noVBand="1" w:val="04A0"/>
      </w:tblPr>
      <w:tblGrid>
        <w:gridCol w:w="1565"/>
        <w:gridCol w:w="1565"/>
        <w:gridCol w:w="1565"/>
        <w:gridCol w:w="1565"/>
        <w:gridCol w:w="1565"/>
      </w:tblGrid>
      <w:tr>
        <w:tc>
          <w:tcPr>
            <w:tcW w:type="dxa" w:w="1565"/>
          </w:tcPr>
          <w:p>
            <w:r>
              <w:rPr>
                <w:rFonts w:ascii="Times New Roman" w:hAnsi="Times New Roman"/>
                <w:b/>
                <w:sz w:val="18"/>
              </w:rPr>
              <w:t>System</w:t>
            </w:r>
          </w:p>
        </w:tc>
        <w:tc>
          <w:tcPr>
            <w:tcW w:type="dxa" w:w="1565"/>
          </w:tcPr>
          <w:p>
            <w:r>
              <w:rPr>
                <w:rFonts w:ascii="Times New Roman" w:hAnsi="Times New Roman"/>
                <w:b/>
                <w:sz w:val="18"/>
              </w:rPr>
              <w:t>Year</w:t>
            </w:r>
          </w:p>
        </w:tc>
        <w:tc>
          <w:tcPr>
            <w:tcW w:type="dxa" w:w="1565"/>
          </w:tcPr>
          <w:p>
            <w:r>
              <w:rPr>
                <w:rFonts w:ascii="Times New Roman" w:hAnsi="Times New Roman"/>
                <w:b/>
                <w:sz w:val="18"/>
              </w:rPr>
              <w:t>Streams</w:t>
            </w:r>
          </w:p>
        </w:tc>
        <w:tc>
          <w:tcPr>
            <w:tcW w:type="dxa" w:w="1565"/>
          </w:tcPr>
          <w:p>
            <w:r>
              <w:rPr>
                <w:rFonts w:ascii="Times New Roman" w:hAnsi="Times New Roman"/>
                <w:b/>
                <w:sz w:val="18"/>
              </w:rPr>
              <w:t>WA (%)</w:t>
            </w:r>
          </w:p>
        </w:tc>
        <w:tc>
          <w:tcPr>
            <w:tcW w:type="dxa" w:w="1565"/>
          </w:tcPr>
          <w:p>
            <w:r>
              <w:rPr>
                <w:rFonts w:ascii="Times New Roman" w:hAnsi="Times New Roman"/>
                <w:b/>
                <w:sz w:val="18"/>
              </w:rPr>
              <w:t>UA (%)</w:t>
            </w:r>
          </w:p>
        </w:tc>
      </w:tr>
      <w:tr>
        <w:tc>
          <w:tcPr>
            <w:tcW w:type="dxa" w:w="1565"/>
          </w:tcPr>
          <w:p>
            <w:r>
              <w:rPr>
                <w:rFonts w:ascii="Times New Roman" w:hAnsi="Times New Roman"/>
                <w:sz w:val="18"/>
              </w:rPr>
              <w:t>Pepino et al. [9]</w:t>
            </w:r>
          </w:p>
        </w:tc>
        <w:tc>
          <w:tcPr>
            <w:tcW w:type="dxa" w:w="1565"/>
          </w:tcPr>
          <w:p>
            <w:r>
              <w:rPr>
                <w:rFonts w:ascii="Times New Roman" w:hAnsi="Times New Roman"/>
                <w:sz w:val="18"/>
              </w:rPr>
              <w:t>2021</w:t>
            </w:r>
          </w:p>
        </w:tc>
        <w:tc>
          <w:tcPr>
            <w:tcW w:type="dxa" w:w="1565"/>
          </w:tcPr>
          <w:p>
            <w:r>
              <w:rPr>
                <w:rFonts w:ascii="Times New Roman" w:hAnsi="Times New Roman"/>
                <w:sz w:val="18"/>
              </w:rPr>
              <w:t>AW</w:t>
            </w:r>
          </w:p>
        </w:tc>
        <w:tc>
          <w:tcPr>
            <w:tcW w:type="dxa" w:w="1565"/>
          </w:tcPr>
          <w:p>
            <w:r>
              <w:rPr>
                <w:rFonts w:ascii="Times New Roman" w:hAnsi="Times New Roman"/>
                <w:sz w:val="18"/>
              </w:rPr>
              <w:t>72.80</w:t>
            </w:r>
          </w:p>
        </w:tc>
        <w:tc>
          <w:tcPr>
            <w:tcW w:type="dxa" w:w="1565"/>
          </w:tcPr>
          <w:p>
            <w:r>
              <w:rPr>
                <w:rFonts w:ascii="Times New Roman" w:hAnsi="Times New Roman"/>
                <w:sz w:val="18"/>
              </w:rPr>
              <w:t>72.50</w:t>
            </w:r>
          </w:p>
        </w:tc>
      </w:tr>
      <w:tr>
        <w:tc>
          <w:tcPr>
            <w:tcW w:type="dxa" w:w="1565"/>
          </w:tcPr>
          <w:p>
            <w:r>
              <w:rPr>
                <w:rFonts w:ascii="Times New Roman" w:hAnsi="Times New Roman"/>
                <w:sz w:val="18"/>
              </w:rPr>
              <w:t>Morais et al. [10]</w:t>
            </w:r>
          </w:p>
        </w:tc>
        <w:tc>
          <w:tcPr>
            <w:tcW w:type="dxa" w:w="1565"/>
          </w:tcPr>
          <w:p>
            <w:r>
              <w:rPr>
                <w:rFonts w:ascii="Times New Roman" w:hAnsi="Times New Roman"/>
                <w:sz w:val="18"/>
              </w:rPr>
              <w:t>2022</w:t>
            </w:r>
          </w:p>
        </w:tc>
        <w:tc>
          <w:tcPr>
            <w:tcW w:type="dxa" w:w="1565"/>
          </w:tcPr>
          <w:p>
            <w:r>
              <w:rPr>
                <w:rFonts w:ascii="Times New Roman" w:hAnsi="Times New Roman"/>
                <w:sz w:val="18"/>
              </w:rPr>
              <w:t>AW</w:t>
            </w:r>
          </w:p>
        </w:tc>
        <w:tc>
          <w:tcPr>
            <w:tcW w:type="dxa" w:w="1565"/>
          </w:tcPr>
          <w:p>
            <w:r>
              <w:rPr>
                <w:rFonts w:ascii="Times New Roman" w:hAnsi="Times New Roman"/>
                <w:sz w:val="18"/>
              </w:rPr>
              <w:t>74.10</w:t>
            </w:r>
          </w:p>
        </w:tc>
        <w:tc>
          <w:tcPr>
            <w:tcW w:type="dxa" w:w="1565"/>
          </w:tcPr>
          <w:p>
            <w:r>
              <w:rPr>
                <w:rFonts w:ascii="Times New Roman" w:hAnsi="Times New Roman"/>
                <w:sz w:val="18"/>
              </w:rPr>
              <w:t>73.80</w:t>
            </w:r>
          </w:p>
        </w:tc>
      </w:tr>
      <w:tr>
        <w:tc>
          <w:tcPr>
            <w:tcW w:type="dxa" w:w="1565"/>
          </w:tcPr>
          <w:p>
            <w:r>
              <w:rPr>
                <w:rFonts w:ascii="Times New Roman" w:hAnsi="Times New Roman"/>
                <w:sz w:val="18"/>
              </w:rPr>
              <w:t>MulT [18]</w:t>
            </w:r>
          </w:p>
        </w:tc>
        <w:tc>
          <w:tcPr>
            <w:tcW w:type="dxa" w:w="1565"/>
          </w:tcPr>
          <w:p>
            <w:r>
              <w:rPr>
                <w:rFonts w:ascii="Times New Roman" w:hAnsi="Times New Roman"/>
                <w:sz w:val="18"/>
              </w:rPr>
              <w:t>2019</w:t>
            </w:r>
          </w:p>
        </w:tc>
        <w:tc>
          <w:tcPr>
            <w:tcW w:type="dxa" w:w="1565"/>
          </w:tcPr>
          <w:p>
            <w:r>
              <w:rPr>
                <w:rFonts w:ascii="Times New Roman" w:hAnsi="Times New Roman"/>
                <w:sz w:val="18"/>
              </w:rPr>
              <w:t>AW+T</w:t>
            </w:r>
          </w:p>
        </w:tc>
        <w:tc>
          <w:tcPr>
            <w:tcW w:type="dxa" w:w="1565"/>
          </w:tcPr>
          <w:p>
            <w:r>
              <w:rPr>
                <w:rFonts w:ascii="Times New Roman" w:hAnsi="Times New Roman"/>
                <w:sz w:val="18"/>
              </w:rPr>
              <w:t>—</w:t>
            </w:r>
          </w:p>
        </w:tc>
        <w:tc>
          <w:tcPr>
            <w:tcW w:type="dxa" w:w="1565"/>
          </w:tcPr>
          <w:p>
            <w:r>
              <w:rPr>
                <w:rFonts w:ascii="Times New Roman" w:hAnsi="Times New Roman"/>
                <w:sz w:val="18"/>
              </w:rPr>
              <w:t>76.10</w:t>
            </w:r>
          </w:p>
        </w:tc>
      </w:tr>
      <w:tr>
        <w:tc>
          <w:tcPr>
            <w:tcW w:type="dxa" w:w="1565"/>
          </w:tcPr>
          <w:p>
            <w:r>
              <w:rPr>
                <w:rFonts w:ascii="Times New Roman" w:hAnsi="Times New Roman"/>
                <w:sz w:val="18"/>
              </w:rPr>
              <w:t>CTNet [22]</w:t>
            </w:r>
          </w:p>
        </w:tc>
        <w:tc>
          <w:tcPr>
            <w:tcW w:type="dxa" w:w="1565"/>
          </w:tcPr>
          <w:p>
            <w:r>
              <w:rPr>
                <w:rFonts w:ascii="Times New Roman" w:hAnsi="Times New Roman"/>
                <w:sz w:val="18"/>
              </w:rPr>
              <w:t>2021</w:t>
            </w:r>
          </w:p>
        </w:tc>
        <w:tc>
          <w:tcPr>
            <w:tcW w:type="dxa" w:w="1565"/>
          </w:tcPr>
          <w:p>
            <w:r>
              <w:rPr>
                <w:rFonts w:ascii="Times New Roman" w:hAnsi="Times New Roman"/>
                <w:sz w:val="18"/>
              </w:rPr>
              <w:t>AW+T</w:t>
            </w:r>
          </w:p>
        </w:tc>
        <w:tc>
          <w:tcPr>
            <w:tcW w:type="dxa" w:w="1565"/>
          </w:tcPr>
          <w:p>
            <w:r>
              <w:rPr>
                <w:rFonts w:ascii="Times New Roman" w:hAnsi="Times New Roman"/>
                <w:sz w:val="18"/>
              </w:rPr>
              <w:t>79.60</w:t>
            </w:r>
          </w:p>
        </w:tc>
        <w:tc>
          <w:tcPr>
            <w:tcW w:type="dxa" w:w="1565"/>
          </w:tcPr>
          <w:p>
            <w:r>
              <w:rPr>
                <w:rFonts w:ascii="Times New Roman" w:hAnsi="Times New Roman"/>
                <w:sz w:val="18"/>
              </w:rPr>
              <w:t>78.30</w:t>
            </w:r>
          </w:p>
        </w:tc>
      </w:tr>
      <w:tr>
        <w:tc>
          <w:tcPr>
            <w:tcW w:type="dxa" w:w="1565"/>
          </w:tcPr>
          <w:p>
            <w:r>
              <w:rPr>
                <w:rFonts w:ascii="Times New Roman" w:hAnsi="Times New Roman"/>
                <w:sz w:val="18"/>
              </w:rPr>
              <w:t>UniMSE [41]</w:t>
            </w:r>
          </w:p>
        </w:tc>
        <w:tc>
          <w:tcPr>
            <w:tcW w:type="dxa" w:w="1565"/>
          </w:tcPr>
          <w:p>
            <w:r>
              <w:rPr>
                <w:rFonts w:ascii="Times New Roman" w:hAnsi="Times New Roman"/>
                <w:sz w:val="18"/>
              </w:rPr>
              <w:t>2022</w:t>
            </w:r>
          </w:p>
        </w:tc>
        <w:tc>
          <w:tcPr>
            <w:tcW w:type="dxa" w:w="1565"/>
          </w:tcPr>
          <w:p>
            <w:r>
              <w:rPr>
                <w:rFonts w:ascii="Times New Roman" w:hAnsi="Times New Roman"/>
                <w:sz w:val="18"/>
              </w:rPr>
              <w:t>AW+T</w:t>
            </w:r>
          </w:p>
        </w:tc>
        <w:tc>
          <w:tcPr>
            <w:tcW w:type="dxa" w:w="1565"/>
          </w:tcPr>
          <w:p>
            <w:r>
              <w:rPr>
                <w:rFonts w:ascii="Times New Roman" w:hAnsi="Times New Roman"/>
                <w:sz w:val="18"/>
              </w:rPr>
              <w:t>—</w:t>
            </w:r>
          </w:p>
        </w:tc>
        <w:tc>
          <w:tcPr>
            <w:tcW w:type="dxa" w:w="1565"/>
          </w:tcPr>
          <w:p>
            <w:r>
              <w:rPr>
                <w:rFonts w:ascii="Times New Roman" w:hAnsi="Times New Roman"/>
                <w:sz w:val="18"/>
              </w:rPr>
              <w:t>79.14</w:t>
            </w:r>
          </w:p>
        </w:tc>
      </w:tr>
      <w:tr>
        <w:tc>
          <w:tcPr>
            <w:tcW w:type="dxa" w:w="1565"/>
          </w:tcPr>
          <w:p>
            <w:r>
              <w:rPr>
                <w:rFonts w:ascii="Times New Roman" w:hAnsi="Times New Roman"/>
                <w:sz w:val="18"/>
              </w:rPr>
              <w:t>Kim et al. [42]</w:t>
            </w:r>
          </w:p>
        </w:tc>
        <w:tc>
          <w:tcPr>
            <w:tcW w:type="dxa" w:w="1565"/>
          </w:tcPr>
          <w:p>
            <w:r>
              <w:rPr>
                <w:rFonts w:ascii="Times New Roman" w:hAnsi="Times New Roman"/>
                <w:sz w:val="18"/>
              </w:rPr>
              <w:t>2023</w:t>
            </w:r>
          </w:p>
        </w:tc>
        <w:tc>
          <w:tcPr>
            <w:tcW w:type="dxa" w:w="1565"/>
          </w:tcPr>
          <w:p>
            <w:r>
              <w:rPr>
                <w:rFonts w:ascii="Times New Roman" w:hAnsi="Times New Roman"/>
                <w:sz w:val="18"/>
              </w:rPr>
              <w:t>AW+T</w:t>
            </w:r>
          </w:p>
        </w:tc>
        <w:tc>
          <w:tcPr>
            <w:tcW w:type="dxa" w:w="1565"/>
          </w:tcPr>
          <w:p>
            <w:r>
              <w:rPr>
                <w:rFonts w:ascii="Times New Roman" w:hAnsi="Times New Roman"/>
                <w:sz w:val="18"/>
              </w:rPr>
              <w:t>77.40</w:t>
            </w:r>
          </w:p>
        </w:tc>
        <w:tc>
          <w:tcPr>
            <w:tcW w:type="dxa" w:w="1565"/>
          </w:tcPr>
          <w:p>
            <w:r>
              <w:rPr>
                <w:rFonts w:ascii="Times New Roman" w:hAnsi="Times New Roman"/>
                <w:sz w:val="18"/>
              </w:rPr>
              <w:t>77.70</w:t>
            </w:r>
          </w:p>
        </w:tc>
      </w:tr>
      <w:tr>
        <w:tc>
          <w:tcPr>
            <w:tcW w:type="dxa" w:w="1565"/>
          </w:tcPr>
          <w:p>
            <w:r>
              <w:rPr>
                <w:rFonts w:ascii="Times New Roman" w:hAnsi="Times New Roman"/>
                <w:sz w:val="18"/>
              </w:rPr>
              <w:t>GIA-MIC [21]</w:t>
            </w:r>
          </w:p>
        </w:tc>
        <w:tc>
          <w:tcPr>
            <w:tcW w:type="dxa" w:w="1565"/>
          </w:tcPr>
          <w:p>
            <w:r>
              <w:rPr>
                <w:rFonts w:ascii="Times New Roman" w:hAnsi="Times New Roman"/>
                <w:sz w:val="18"/>
              </w:rPr>
              <w:t>2024</w:t>
            </w:r>
          </w:p>
        </w:tc>
        <w:tc>
          <w:tcPr>
            <w:tcW w:type="dxa" w:w="1565"/>
          </w:tcPr>
          <w:p>
            <w:r>
              <w:rPr>
                <w:rFonts w:ascii="Times New Roman" w:hAnsi="Times New Roman"/>
                <w:sz w:val="18"/>
              </w:rPr>
              <w:t>AW+T</w:t>
            </w:r>
          </w:p>
        </w:tc>
        <w:tc>
          <w:tcPr>
            <w:tcW w:type="dxa" w:w="1565"/>
          </w:tcPr>
          <w:p>
            <w:r>
              <w:rPr>
                <w:rFonts w:ascii="Times New Roman" w:hAnsi="Times New Roman"/>
                <w:sz w:val="18"/>
              </w:rPr>
              <w:t>80.70</w:t>
            </w:r>
          </w:p>
        </w:tc>
        <w:tc>
          <w:tcPr>
            <w:tcW w:type="dxa" w:w="1565"/>
          </w:tcPr>
          <w:p>
            <w:r>
              <w:rPr>
                <w:rFonts w:ascii="Times New Roman" w:hAnsi="Times New Roman"/>
                <w:sz w:val="18"/>
              </w:rPr>
              <w:t>79.40</w:t>
            </w:r>
          </w:p>
        </w:tc>
      </w:tr>
      <w:tr>
        <w:tc>
          <w:tcPr>
            <w:tcW w:type="dxa" w:w="1565"/>
          </w:tcPr>
          <w:p>
            <w:r>
              <w:rPr>
                <w:rFonts w:ascii="Times New Roman" w:hAnsi="Times New Roman"/>
                <w:sz w:val="18"/>
              </w:rPr>
              <w:t>MemoCMT [43]</w:t>
            </w:r>
          </w:p>
        </w:tc>
        <w:tc>
          <w:tcPr>
            <w:tcW w:type="dxa" w:w="1565"/>
          </w:tcPr>
          <w:p>
            <w:r>
              <w:rPr>
                <w:rFonts w:ascii="Times New Roman" w:hAnsi="Times New Roman"/>
                <w:sz w:val="18"/>
              </w:rPr>
              <w:t>2025</w:t>
            </w:r>
          </w:p>
        </w:tc>
        <w:tc>
          <w:tcPr>
            <w:tcW w:type="dxa" w:w="1565"/>
          </w:tcPr>
          <w:p>
            <w:r>
              <w:rPr>
                <w:rFonts w:ascii="Times New Roman" w:hAnsi="Times New Roman"/>
                <w:sz w:val="18"/>
              </w:rPr>
              <w:t>AW+T</w:t>
            </w:r>
          </w:p>
        </w:tc>
        <w:tc>
          <w:tcPr>
            <w:tcW w:type="dxa" w:w="1565"/>
          </w:tcPr>
          <w:p>
            <w:r>
              <w:rPr>
                <w:rFonts w:ascii="Times New Roman" w:hAnsi="Times New Roman"/>
                <w:sz w:val="18"/>
              </w:rPr>
              <w:t>81.85</w:t>
            </w:r>
          </w:p>
        </w:tc>
        <w:tc>
          <w:tcPr>
            <w:tcW w:type="dxa" w:w="1565"/>
          </w:tcPr>
          <w:p>
            <w:r>
              <w:rPr>
                <w:rFonts w:ascii="Times New Roman" w:hAnsi="Times New Roman"/>
                <w:sz w:val="18"/>
              </w:rPr>
              <w:t>81.33</w:t>
            </w:r>
          </w:p>
        </w:tc>
      </w:tr>
      <w:tr>
        <w:tc>
          <w:tcPr>
            <w:tcW w:type="dxa" w:w="1565"/>
          </w:tcPr>
          <w:p>
            <w:r>
              <w:rPr>
                <w:rFonts w:ascii="Times New Roman" w:hAnsi="Times New Roman"/>
                <w:sz w:val="18"/>
              </w:rPr>
              <w:t>MSER [20] ‡</w:t>
            </w:r>
          </w:p>
        </w:tc>
        <w:tc>
          <w:tcPr>
            <w:tcW w:type="dxa" w:w="1565"/>
          </w:tcPr>
          <w:p>
            <w:r>
              <w:rPr>
                <w:rFonts w:ascii="Times New Roman" w:hAnsi="Times New Roman"/>
                <w:sz w:val="18"/>
              </w:rPr>
              <w:t>2023</w:t>
            </w:r>
          </w:p>
        </w:tc>
        <w:tc>
          <w:tcPr>
            <w:tcW w:type="dxa" w:w="1565"/>
          </w:tcPr>
          <w:p>
            <w:r>
              <w:rPr>
                <w:rFonts w:ascii="Times New Roman" w:hAnsi="Times New Roman"/>
                <w:sz w:val="18"/>
              </w:rPr>
              <w:t>AW+T+V</w:t>
            </w:r>
          </w:p>
        </w:tc>
        <w:tc>
          <w:tcPr>
            <w:tcW w:type="dxa" w:w="1565"/>
          </w:tcPr>
          <w:p>
            <w:r>
              <w:rPr>
                <w:rFonts w:ascii="Times New Roman" w:hAnsi="Times New Roman"/>
                <w:sz w:val="18"/>
              </w:rPr>
              <w:t>81.20</w:t>
            </w:r>
          </w:p>
        </w:tc>
        <w:tc>
          <w:tcPr>
            <w:tcW w:type="dxa" w:w="1565"/>
          </w:tcPr>
          <w:p>
            <w:r>
              <w:rPr>
                <w:rFonts w:ascii="Times New Roman" w:hAnsi="Times New Roman"/>
                <w:sz w:val="18"/>
              </w:rPr>
              <w:t>80.90</w:t>
            </w:r>
          </w:p>
        </w:tc>
      </w:tr>
      <w:tr>
        <w:tc>
          <w:tcPr>
            <w:tcW w:type="dxa" w:w="1565"/>
          </w:tcPr>
          <w:p>
            <w:r>
              <w:rPr>
                <w:rFonts w:ascii="Times New Roman" w:hAnsi="Times New Roman"/>
                <w:sz w:val="18"/>
              </w:rPr>
              <w:t>CAMF Abl.34 (ours)</w:t>
            </w:r>
          </w:p>
        </w:tc>
        <w:tc>
          <w:tcPr>
            <w:tcW w:type="dxa" w:w="1565"/>
          </w:tcPr>
          <w:p>
            <w:r>
              <w:rPr>
                <w:rFonts w:ascii="Times New Roman" w:hAnsi="Times New Roman"/>
                <w:sz w:val="18"/>
              </w:rPr>
              <w:t>2026</w:t>
            </w:r>
          </w:p>
        </w:tc>
        <w:tc>
          <w:tcPr>
            <w:tcW w:type="dxa" w:w="1565"/>
          </w:tcPr>
          <w:p>
            <w:r>
              <w:rPr>
                <w:rFonts w:ascii="Times New Roman" w:hAnsi="Times New Roman"/>
                <w:sz w:val="18"/>
              </w:rPr>
              <w:t>AW+MS+T</w:t>
            </w:r>
          </w:p>
        </w:tc>
        <w:tc>
          <w:tcPr>
            <w:tcW w:type="dxa" w:w="1565"/>
          </w:tcPr>
          <w:p>
            <w:r>
              <w:rPr>
                <w:rFonts w:ascii="Times New Roman" w:hAnsi="Times New Roman"/>
                <w:sz w:val="18"/>
              </w:rPr>
              <w:t>76.08</w:t>
            </w:r>
          </w:p>
        </w:tc>
        <w:tc>
          <w:tcPr>
            <w:tcW w:type="dxa" w:w="1565"/>
          </w:tcPr>
          <w:p>
            <w:r>
              <w:rPr>
                <w:rFonts w:ascii="Times New Roman" w:hAnsi="Times New Roman"/>
                <w:sz w:val="18"/>
              </w:rPr>
              <w:t>75.45</w:t>
            </w:r>
          </w:p>
        </w:tc>
      </w:tr>
      <w:tr>
        <w:tc>
          <w:tcPr>
            <w:tcW w:type="dxa" w:w="1565"/>
          </w:tcPr>
          <w:p>
            <w:r>
              <w:rPr>
                <w:rFonts w:ascii="Times New Roman" w:hAnsi="Times New Roman"/>
                <w:sz w:val="18"/>
              </w:rPr>
              <w:t>CAMF Abl.45 [BEST] (ours)</w:t>
            </w:r>
          </w:p>
        </w:tc>
        <w:tc>
          <w:tcPr>
            <w:tcW w:type="dxa" w:w="1565"/>
          </w:tcPr>
          <w:p>
            <w:r>
              <w:rPr>
                <w:rFonts w:ascii="Times New Roman" w:hAnsi="Times New Roman"/>
                <w:sz w:val="18"/>
              </w:rPr>
              <w:t>2026</w:t>
            </w:r>
          </w:p>
        </w:tc>
        <w:tc>
          <w:tcPr>
            <w:tcW w:type="dxa" w:w="1565"/>
          </w:tcPr>
          <w:p>
            <w:r>
              <w:rPr>
                <w:rFonts w:ascii="Times New Roman" w:hAnsi="Times New Roman"/>
                <w:sz w:val="18"/>
              </w:rPr>
              <w:t>AW+MS+T</w:t>
            </w:r>
          </w:p>
        </w:tc>
        <w:tc>
          <w:tcPr>
            <w:tcW w:type="dxa" w:w="1565"/>
          </w:tcPr>
          <w:p>
            <w:r>
              <w:rPr>
                <w:rFonts w:ascii="Times New Roman" w:hAnsi="Times New Roman"/>
                <w:sz w:val="18"/>
              </w:rPr>
              <w:t>79.61</w:t>
            </w:r>
          </w:p>
        </w:tc>
        <w:tc>
          <w:tcPr>
            <w:tcW w:type="dxa" w:w="1565"/>
          </w:tcPr>
          <w:p>
            <w:r>
              <w:rPr>
                <w:rFonts w:ascii="Times New Roman" w:hAnsi="Times New Roman"/>
                <w:sz w:val="18"/>
              </w:rPr>
              <w:t>79.23</w:t>
            </w:r>
          </w:p>
        </w:tc>
      </w:tr>
    </w:tbl>
    <w:p>
      <w:pPr>
        <w:spacing w:after="80"/>
      </w:pPr>
    </w:p>
    <w:p>
      <w:pPr>
        <w:spacing w:before="0" w:after="40"/>
        <w:jc w:val="both"/>
      </w:pPr>
      <w:r>
        <w:rPr>
          <w:rFonts w:ascii="Times New Roman" w:hAnsi="Times New Roman"/>
          <w:b w:val="0"/>
          <w:i w:val="0"/>
          <w:sz w:val="20"/>
        </w:rPr>
        <w:t>CAMF Abl.45 surpasses CTNet (+0.93 pp UA), UniMSE (+0.09 pp), and Kim et al. (+1.53 pp). It trails GIA-MIC by 0.17 pp and MemoCMT by 2.1 pp. The gap to MemoCMT is explained by: (i) DistilBERT vs. full BERT (40% fewer parameters); (ii) single-split vs. 5-fold cross-validation protocol; (iii) CAMF introduces three architectural novelties absent from MemoCMT. CAMF achieves 79.61% WA without any camera stream, vs. 81.20% WA for trimodal MSER.</w:t>
      </w:r>
    </w:p>
    <w:p>
      <w:pPr>
        <w:spacing w:before="0" w:after="40"/>
        <w:jc w:val="both"/>
      </w:pPr>
      <w:r>
        <w:rPr>
          <w:rFonts w:ascii="Times New Roman" w:hAnsi="Times New Roman"/>
          <w:b w:val="0"/>
          <w:i w:val="0"/>
          <w:sz w:val="20"/>
        </w:rPr>
        <w:t xml:space="preserve">The 2.10 pp gap behind MemoCMT is expected given the architectural asymmetry: MemoCMT employs full BERT (110 M parameters vs. DistilBERT at 66 M) and was evaluated under 5-fold cross-validation, which produces more optimistic estimates than the single-split protocol used here. The comparisons against CTNet, UniMSE, and Kim et al. are directly meaningful because they all use the same single-split protocol. Critically, CAMF achieves competitive performance without facial video—required by trimodal MSER—making it practical for deployments where camera access is unavailable, such as telephone-based mental-health screening, voice-assistant interfaces, or call-centre monitoring. The +18.28 pp UA improvement attributable to SpeechCue (Abl. 1→10) further demonstrates that compact, interpretable prosody injection can close a large fraction of the gap between unimodal and competitive multimodal systems without any increase in model depth.</w:t>
      </w:r>
    </w:p>
    <w:p>
      <w:pPr>
        <w:spacing w:before="160" w:after="40"/>
        <w:jc w:val="left"/>
      </w:pPr>
      <w:r>
        <w:rPr>
          <w:rFonts w:ascii="Times New Roman" w:hAnsi="Times New Roman"/>
          <w:b/>
          <w:i w:val="0"/>
          <w:sz w:val="20"/>
        </w:rPr>
        <w:t>5.3  Per-Class Error Analysis</w:t>
      </w:r>
    </w:p>
    <w:p>
      <w:pPr>
        <w:spacing w:before="80" w:after="40"/>
        <w:jc w:val="center"/>
      </w:pPr>
      <w:r>
        <w:drawing>
          <wp:inline xmlns:a="http://schemas.openxmlformats.org/drawingml/2006/main" xmlns:pic="http://schemas.openxmlformats.org/drawingml/2006/picture">
            <wp:extent cx="2880000" cy="2332833"/>
            <wp:docPr id="2" name="Picture 2"/>
            <wp:cNvGraphicFramePr>
              <a:graphicFrameLocks noChangeAspect="1"/>
            </wp:cNvGraphicFramePr>
            <a:graphic>
              <a:graphicData uri="http://schemas.openxmlformats.org/drawingml/2006/picture">
                <pic:pic>
                  <pic:nvPicPr>
                    <pic:cNvPr id="0" name="fig6_confusion_matrix.png"/>
                    <pic:cNvPicPr/>
                  </pic:nvPicPr>
                  <pic:blipFill>
                    <a:blip r:embed="rId10"/>
                    <a:stretch>
                      <a:fillRect/>
                    </a:stretch>
                  </pic:blipFill>
                  <pic:spPr>
                    <a:xfrm>
                      <a:off x="0" y="0"/>
                      <a:ext cx="2880000" cy="2332833"/>
                    </a:xfrm>
                    <a:prstGeom prst="rect"/>
                  </pic:spPr>
                </pic:pic>
              </a:graphicData>
            </a:graphic>
          </wp:inline>
        </w:drawing>
      </w:r>
    </w:p>
    <w:p>
      <w:pPr>
        <w:spacing w:before="40" w:after="160"/>
        <w:jc w:val="both"/>
      </w:pPr>
      <w:r>
        <w:rPr>
          <w:rFonts w:ascii="Times New Roman" w:hAnsi="Times New Roman"/>
          <w:b/>
          <w:i w:val="0"/>
          <w:sz w:val="18"/>
        </w:rPr>
        <w:t xml:space="preserve">Fig. 6. </w:t>
      </w:r>
      <w:r>
        <w:rPr>
          <w:rFonts w:ascii="Times New Roman" w:hAnsi="Times New Roman"/>
          <w:b w:val="0"/>
          <w:i w:val="0"/>
          <w:sz w:val="18"/>
        </w:rPr>
        <w:t>Row-normalised confusion matrix, Ablation 45, IEMOCAP test session 5. Per-class accuracy: Angry 88.49%, Sad 83.04%, Happy 75.31%, Neutral 70.10%. Largest confusion: Happy&lt;-&gt;Neutral and Sad-&gt;Neutral (~14 pp each).</w:t>
      </w:r>
    </w:p>
    <w:p>
      <w:pPr>
        <w:spacing w:before="0" w:after="40"/>
        <w:jc w:val="both"/>
      </w:pPr>
      <w:r>
        <w:rPr>
          <w:rFonts w:ascii="Times New Roman" w:hAnsi="Times New Roman"/>
          <w:b w:val="0"/>
          <w:i w:val="0"/>
          <w:sz w:val="20"/>
        </w:rPr>
        <w:t>Angry is best recognized (88.49%, F1=87.54%) due to distinctive prosodic signatures. Sad follows (83.04%, F1=80.52%). Happy reaches 75.31% (F1=81.88%); the higher F1 than accuracy reflects good precision with some Neutral false positives. Neutral is hardest (70.10%, F1=64.76%). The conflict gate gain is largest on Happy (+3.2 pp), consistent with its 41.7% gate-activation rate vs. 18.3% for Sad.</w:t>
      </w:r>
    </w:p>
    <w:p>
      <w:pPr>
        <w:spacing w:before="0" w:after="40"/>
        <w:jc w:val="both"/>
      </w:pPr>
      <w:r>
        <w:rPr>
          <w:rFonts w:ascii="Times New Roman" w:hAnsi="Times New Roman"/>
          <w:b w:val="0"/>
          <w:i w:val="0"/>
          <w:sz w:val="20"/>
        </w:rPr>
        <w:t xml:space="preserve">The Happy↔Neutral confusion (approximately 14 pp in each direction) is a well-documented challenge in the IEMOCAP four-class protocol and has been reported consistently in prior work. It arises because the merged Happy+Excited category spans calm positive affect and high-arousal states simultaneously, creating a heterogeneous label with broad intra-class variability. The conflict gate delivers its largest gain precisely on Happy (+3.2 pp), indicating that the three streams provide complementary and individually uncertain signals for this class: the waveform captures arousal level, the spectrogram reflects spectral brightness and energy distribution, and the transcript captures sentiment polarity. The MLP re-weighting mechanism can therefore boost the most informative stream on a per-utterance basis. Improving Neutral accuracy above 75 % remains the highest-impact target for future work, given that Neutral is the most frequent class in IEMOCAP and its misclassification as Happy or Sad dominates overall UA.</w:t>
      </w:r>
    </w:p>
    <w:p>
      <w:pPr>
        <w:spacing w:before="160" w:after="40"/>
        <w:jc w:val="left"/>
      </w:pPr>
      <w:r>
        <w:rPr>
          <w:rFonts w:ascii="Times New Roman" w:hAnsi="Times New Roman"/>
          <w:b/>
          <w:i w:val="0"/>
          <w:sz w:val="20"/>
        </w:rPr>
        <w:t>5.4  Limitations</w:t>
      </w:r>
    </w:p>
    <w:p>
      <w:pPr>
        <w:spacing w:before="0" w:after="40"/>
        <w:jc w:val="both"/>
      </w:pPr>
      <w:r>
        <w:rPr>
          <w:rFonts w:ascii="Times New Roman" w:hAnsi="Times New Roman"/>
          <w:b w:val="0"/>
          <w:i w:val="0"/>
          <w:sz w:val="20"/>
        </w:rPr>
        <w:t>(i) Evaluation confined to IEMOCAP; (ii) SpeechCue uses global tertile boundaries—per-speaker normalisation and learnable bins are future work; (iii) the isolated MST head contribution cannot be disentangled from training-regime changes without Ablation 46; (iv) training requires ~6.2 h/run on an RTX 3070, limiting rapid iteration.</w:t>
      </w:r>
    </w:p>
    <w:p>
      <w:pPr>
        <w:spacing w:before="0" w:after="40"/>
        <w:jc w:val="both"/>
      </w:pPr>
      <w:r>
        <w:rPr>
          <w:rFonts w:ascii="Times New Roman" w:hAnsi="Times New Roman"/>
          <w:b w:val="0"/>
          <w:i w:val="0"/>
          <w:sz w:val="20"/>
        </w:rPr>
        <w:t xml:space="preserve">These limitations point to several concrete next steps. Replacing global tertile thresholds in SpeechCue with per-speaker normalised boundaries could improve robustness for speakers with atypical vocal ranges. Extending CAMF to the 5-fold cross-validation protocol used by MemoCMT would enable a more direct comparison and better estimate of generalisation variance. The conflict gate threshold—majority disagreement among three streams—was fixed by design; a learnable soft gate or probabilistic weighting could yield additional flexibility. Finally, replacing DistilBERT with a larger language model fine-tuned on speech data (e.g., RoBERTa or BERT-large) represents the lowest-effort path to closing the remaining 2.10 pp gap behind MemoCMT.</w:t>
      </w:r>
    </w:p>
    <w:p>
      <w:pPr>
        <w:spacing w:before="200" w:after="80"/>
        <w:jc w:val="left"/>
      </w:pPr>
      <w:r>
        <w:rPr>
          <w:rFonts w:ascii="Times New Roman" w:hAnsi="Times New Roman"/>
          <w:b/>
          <w:i w:val="0"/>
          <w:sz w:val="24"/>
        </w:rPr>
        <w:t>6  Conclusion</w:t>
      </w:r>
    </w:p>
    <w:p>
      <w:pPr>
        <w:spacing w:before="0" w:after="40"/>
        <w:jc w:val="both"/>
      </w:pPr>
      <w:r>
        <w:rPr>
          <w:rFonts w:ascii="Times New Roman" w:hAnsi="Times New Roman"/>
          <w:b w:val="0"/>
          <w:i w:val="0"/>
          <w:sz w:val="20"/>
        </w:rPr>
        <w:t>We presented CAMF, a Conflict-Aware Multi-stream Fusion framework that unifies three complementary SER streams—Wav2Vec2-base over raw waveforms, ViT-Base/16 over log-Mel spectrogram images derived from the same audio, and DistilBERT with SpeechCue prosody tokens—inside a single end-to-end pipeline. The SpeechCue module provides the largest single gain (+18.28 pp UA) by bridging acoustic prosody and lexical processing. The Conflict-Aware Cross-Attention gate (+2.73 pp UA) adds robustness against inter-stream disagreement. The best configuration (Ablation 45) achieves 79.23% UA / 79.61% WA on IEMOCAP with the best generalisation in the 54-configuration grid (2.91 pp gap), surpassing CTNet [22], UniMSE [41], and Kim et al. [42] among bimodal systems while using only the audio waveform and its transcript as input.</w:t>
      </w:r>
    </w:p>
    <w:p>
      <w:pPr>
        <w:spacing w:before="0" w:after="40"/>
        <w:ind w:firstLine="283"/>
        <w:jc w:val="both"/>
      </w:pPr>
      <w:r>
        <w:rPr>
          <w:rFonts w:ascii="Times New Roman" w:hAnsi="Times New Roman"/>
          <w:b w:val="0"/>
          <w:i w:val="0"/>
          <w:sz w:val="20"/>
        </w:rPr>
        <w:t>Future work will: (i) add Ablation 46 to isolate the MST head contribution; (ii) extend to conversational-context modelling following CTNet [22]; (iii) investigate per-speaker SpeechCue normalisation; (iv) evaluate cross-corpus generalisation on MSP-Podcast [3] and MELD; (v) replace DistilBERT with full BERT to close the gap to MemoCMT [43]. Code, configurations, and checkpoints are released upon acceptance.</w:t>
      </w:r>
    </w:p>
    <w:p>
      <w:pPr>
        <w:spacing w:before="160" w:after="40"/>
        <w:jc w:val="both"/>
      </w:pPr>
      <w:r>
        <w:rPr>
          <w:rFonts w:ascii="Times New Roman" w:hAnsi="Times New Roman"/>
          <w:b/>
          <w:i w:val="0"/>
          <w:sz w:val="18"/>
        </w:rPr>
        <w:t xml:space="preserve">Acknowledgments. </w:t>
      </w:r>
      <w:r>
        <w:rPr>
          <w:rFonts w:ascii="Times New Roman" w:hAnsi="Times New Roman"/>
          <w:b w:val="0"/>
          <w:i w:val="0"/>
          <w:sz w:val="18"/>
        </w:rPr>
        <w:t>This work was supported by the Instituto Politécnico Nacional (SIP projects). The authors acknowledge the computing resources provided by ESIME Culhuacan.</w:t>
      </w:r>
    </w:p>
    <w:p>
      <w:pPr>
        <w:spacing w:before="40" w:after="160"/>
        <w:jc w:val="both"/>
      </w:pPr>
      <w:r>
        <w:rPr>
          <w:rFonts w:ascii="Times New Roman" w:hAnsi="Times New Roman"/>
          <w:b/>
          <w:i w:val="0"/>
          <w:sz w:val="18"/>
        </w:rPr>
        <w:t xml:space="preserve">Disclosure of Interests. </w:t>
      </w:r>
      <w:r>
        <w:rPr>
          <w:rFonts w:ascii="Times New Roman" w:hAnsi="Times New Roman"/>
          <w:b w:val="0"/>
          <w:i w:val="0"/>
          <w:sz w:val="18"/>
        </w:rPr>
        <w:t>The authors have no competing interests to declare that are relevant to the content of this article.</w:t>
      </w:r>
    </w:p>
    <w:p>
      <w:pPr>
        <w:spacing w:before="200" w:after="80"/>
        <w:jc w:val="left"/>
      </w:pPr>
      <w:r>
        <w:rPr>
          <w:rFonts w:ascii="Times New Roman" w:hAnsi="Times New Roman"/>
          <w:b/>
          <w:i w:val="0"/>
          <w:sz w:val="24"/>
        </w:rPr>
        <w:t>References</w:t>
      </w:r>
    </w:p>
    <w:p>
      <w:pPr>
        <w:spacing w:before="0" w:after="20"/>
        <w:ind w:left="340" w:hanging="340"/>
        <w:jc w:val="both"/>
      </w:pPr>
      <w:r>
        <w:rPr>
          <w:rFonts w:ascii="Times New Roman" w:hAnsi="Times New Roman"/>
          <w:b w:val="0"/>
          <w:i w:val="0"/>
          <w:sz w:val="18"/>
        </w:rPr>
        <w:t>1. Busso, C., et al.: IEMOCAP interactive emotional dyadic motion capture database. Lang. Resour. Eval. 42(4), 335-359 (2008). doi:10.1007/s10579-008-9076-6</w:t>
      </w:r>
    </w:p>
    <w:p>
      <w:pPr>
        <w:spacing w:before="0" w:after="20"/>
        <w:ind w:left="340" w:hanging="340"/>
        <w:jc w:val="both"/>
      </w:pPr>
      <w:r>
        <w:rPr>
          <w:rFonts w:ascii="Times New Roman" w:hAnsi="Times New Roman"/>
          <w:b w:val="0"/>
          <w:i w:val="0"/>
          <w:sz w:val="18"/>
        </w:rPr>
        <w:t>2. Schuller, B., et al.: The INTERSPEECH 2013 computational paralinguistics challenge. In: INTERSPEECH 2013, pp. 148-152 (2013)</w:t>
      </w:r>
    </w:p>
    <w:p>
      <w:pPr>
        <w:spacing w:before="0" w:after="20"/>
        <w:ind w:left="340" w:hanging="340"/>
        <w:jc w:val="both"/>
      </w:pPr>
      <w:r>
        <w:rPr>
          <w:rFonts w:ascii="Times New Roman" w:hAnsi="Times New Roman"/>
          <w:b w:val="0"/>
          <w:i w:val="0"/>
          <w:sz w:val="18"/>
        </w:rPr>
        <w:t>3. Lotfian, R., Busso, C.: Building naturalistic emotionally balanced speech corpus from podcast recordings. IEEE Trans. Affect. Comput. 10(4), 471-483 (2019)</w:t>
      </w:r>
    </w:p>
    <w:p>
      <w:pPr>
        <w:spacing w:before="0" w:after="20"/>
        <w:ind w:left="340" w:hanging="340"/>
        <w:jc w:val="both"/>
      </w:pPr>
      <w:r>
        <w:rPr>
          <w:rFonts w:ascii="Times New Roman" w:hAnsi="Times New Roman"/>
          <w:b w:val="0"/>
          <w:i w:val="0"/>
          <w:sz w:val="18"/>
        </w:rPr>
        <w:t>4. Akay, M.B., Oguz, K.: Speech emotion recognition: emotional models, databases, features, preprocessing methods. Speech Commun. 116, 56-76 (2020)</w:t>
      </w:r>
    </w:p>
    <w:p>
      <w:pPr>
        <w:spacing w:before="0" w:after="20"/>
        <w:ind w:left="340" w:hanging="340"/>
        <w:jc w:val="both"/>
      </w:pPr>
      <w:r>
        <w:rPr>
          <w:rFonts w:ascii="Times New Roman" w:hAnsi="Times New Roman"/>
          <w:b w:val="0"/>
          <w:i w:val="0"/>
          <w:sz w:val="18"/>
        </w:rPr>
        <w:t>5. Poria, S., Cambria, E., Bajpai, R., Hussain, A.: A review of affective computing: from unimodal analysis to multimodal fusion. Inf. Fusion 37, 98-125 (2017)</w:t>
      </w:r>
    </w:p>
    <w:p>
      <w:pPr>
        <w:spacing w:before="0" w:after="20"/>
        <w:ind w:left="340" w:hanging="340"/>
        <w:jc w:val="both"/>
      </w:pPr>
      <w:r>
        <w:rPr>
          <w:rFonts w:ascii="Times New Roman" w:hAnsi="Times New Roman"/>
          <w:b w:val="0"/>
          <w:i w:val="0"/>
          <w:sz w:val="18"/>
        </w:rPr>
        <w:t>6. Baevski, A., Zhou, Y., Mohamed, A., Auli, M.: wav2vec 2.0: a framework for self-supervised learning of speech representations. In: NeurIPS, vol. 33, pp. 12449-12460 (2020)</w:t>
      </w:r>
    </w:p>
    <w:p>
      <w:pPr>
        <w:spacing w:before="0" w:after="20"/>
        <w:ind w:left="340" w:hanging="340"/>
        <w:jc w:val="both"/>
      </w:pPr>
      <w:r>
        <w:rPr>
          <w:rFonts w:ascii="Times New Roman" w:hAnsi="Times New Roman"/>
          <w:b w:val="0"/>
          <w:i w:val="0"/>
          <w:sz w:val="18"/>
        </w:rPr>
        <w:t>7. Hsu, W.-N., et al.: HuBERT: self-supervised speech representation learning by masked prediction of hidden units. IEEE/ACM Trans. ASLP 29, 3451-3460 (2021)</w:t>
      </w:r>
    </w:p>
    <w:p>
      <w:pPr>
        <w:spacing w:before="0" w:after="20"/>
        <w:ind w:left="340" w:hanging="340"/>
        <w:jc w:val="both"/>
      </w:pPr>
      <w:r>
        <w:rPr>
          <w:rFonts w:ascii="Times New Roman" w:hAnsi="Times New Roman"/>
          <w:b w:val="0"/>
          <w:i w:val="0"/>
          <w:sz w:val="18"/>
        </w:rPr>
        <w:t>8. Chen, S., et al.: WavLM: large-scale self-supervised pre-training for full stack speech processing. IEEE J. Sel. Top. Signal Process. 16(6), 1505-1518 (2022)</w:t>
      </w:r>
    </w:p>
    <w:p>
      <w:pPr>
        <w:spacing w:before="0" w:after="20"/>
        <w:ind w:left="340" w:hanging="340"/>
        <w:jc w:val="both"/>
      </w:pPr>
      <w:r>
        <w:rPr>
          <w:rFonts w:ascii="Times New Roman" w:hAnsi="Times New Roman"/>
          <w:b w:val="0"/>
          <w:i w:val="0"/>
          <w:sz w:val="18"/>
        </w:rPr>
        <w:t>9. Pepino, L., Riera, P., Ferrer, L.: Emotion recognition from speech using wav2vec 2.0 embeddings. In: INTERSPEECH 2021, pp. 3400-3404 (2021)</w:t>
      </w:r>
    </w:p>
    <w:p>
      <w:pPr>
        <w:spacing w:before="0" w:after="20"/>
        <w:ind w:left="340" w:hanging="340"/>
        <w:jc w:val="both"/>
      </w:pPr>
      <w:r>
        <w:rPr>
          <w:rFonts w:ascii="Times New Roman" w:hAnsi="Times New Roman"/>
          <w:b w:val="0"/>
          <w:i w:val="0"/>
          <w:sz w:val="18"/>
        </w:rPr>
        <w:t>10. Morais, E., et al.: Speech emotion recognition using self-supervised features. In: ICASSP 2022, pp. 6922-6926. IEEE (2022)</w:t>
      </w:r>
    </w:p>
    <w:p>
      <w:pPr>
        <w:spacing w:before="0" w:after="20"/>
        <w:ind w:left="340" w:hanging="340"/>
        <w:jc w:val="both"/>
      </w:pPr>
      <w:r>
        <w:rPr>
          <w:rFonts w:ascii="Times New Roman" w:hAnsi="Times New Roman"/>
          <w:b w:val="0"/>
          <w:i w:val="0"/>
          <w:sz w:val="18"/>
        </w:rPr>
        <w:t>11. Eyben, F., Wollmer, M., Schuller, B.: openSMILE: the Munich versatile and fast open-source audio feature extractor. In: ACM Multimedia, pp. 1459-1462 (2010)</w:t>
      </w:r>
    </w:p>
    <w:p>
      <w:pPr>
        <w:spacing w:before="0" w:after="20"/>
        <w:ind w:left="340" w:hanging="340"/>
        <w:jc w:val="both"/>
      </w:pPr>
      <w:r>
        <w:rPr>
          <w:rFonts w:ascii="Times New Roman" w:hAnsi="Times New Roman"/>
          <w:b w:val="0"/>
          <w:i w:val="0"/>
          <w:sz w:val="18"/>
        </w:rPr>
        <w:t>12. Fayek, H.M., Lech, M., Cavedon, L.: Evaluating deep learning architectures for SER. Neural Netw. 92, 60-68 (2017)</w:t>
      </w:r>
    </w:p>
    <w:p>
      <w:pPr>
        <w:spacing w:before="0" w:after="20"/>
        <w:ind w:left="340" w:hanging="340"/>
        <w:jc w:val="both"/>
      </w:pPr>
      <w:r>
        <w:rPr>
          <w:rFonts w:ascii="Times New Roman" w:hAnsi="Times New Roman"/>
          <w:b w:val="0"/>
          <w:i w:val="0"/>
          <w:sz w:val="18"/>
        </w:rPr>
        <w:t>13. Mirsamadi, S., Barsoum, E., Zhang, C.: Automatic SER using recurrent neural networks with local attention. In: ICASSP 2017, pp. 2227-2231. IEEE (2017)</w:t>
      </w:r>
    </w:p>
    <w:p>
      <w:pPr>
        <w:spacing w:before="0" w:after="20"/>
        <w:ind w:left="340" w:hanging="340"/>
        <w:jc w:val="both"/>
      </w:pPr>
      <w:r>
        <w:rPr>
          <w:rFonts w:ascii="Times New Roman" w:hAnsi="Times New Roman"/>
          <w:b w:val="0"/>
          <w:i w:val="0"/>
          <w:sz w:val="18"/>
        </w:rPr>
        <w:t>14. Trigeorgis, G., et al.: Adieu features? End-to-end SER using a deep convolutional recurrent network. In: ICASSP 2016, pp. 5200-5204. IEEE (2016)</w:t>
      </w:r>
    </w:p>
    <w:p>
      <w:pPr>
        <w:spacing w:before="0" w:after="20"/>
        <w:ind w:left="340" w:hanging="340"/>
        <w:jc w:val="both"/>
      </w:pPr>
      <w:r>
        <w:rPr>
          <w:rFonts w:ascii="Times New Roman" w:hAnsi="Times New Roman"/>
          <w:b w:val="0"/>
          <w:i w:val="0"/>
          <w:sz w:val="18"/>
        </w:rPr>
        <w:t>15. Khosla, P., et al.: Supervised contrastive learning. In: NeurIPS, vol. 33, pp. 18661-18673 (2020)</w:t>
      </w:r>
    </w:p>
    <w:p>
      <w:pPr>
        <w:spacing w:before="0" w:after="20"/>
        <w:ind w:left="340" w:hanging="340"/>
        <w:jc w:val="both"/>
      </w:pPr>
      <w:r>
        <w:rPr>
          <w:rFonts w:ascii="Times New Roman" w:hAnsi="Times New Roman"/>
          <w:b w:val="0"/>
          <w:i w:val="0"/>
          <w:sz w:val="18"/>
        </w:rPr>
        <w:t>16. Sanh, V., Debut, L., Chaumond, J., Wolf, T.: DistilBERT, a distilled version of BERT. arXiv:1910.01108 (2019)</w:t>
      </w:r>
    </w:p>
    <w:p>
      <w:pPr>
        <w:spacing w:before="0" w:after="20"/>
        <w:ind w:left="340" w:hanging="340"/>
        <w:jc w:val="both"/>
      </w:pPr>
      <w:r>
        <w:rPr>
          <w:rFonts w:ascii="Times New Roman" w:hAnsi="Times New Roman"/>
          <w:b w:val="0"/>
          <w:i w:val="0"/>
          <w:sz w:val="18"/>
        </w:rPr>
        <w:t>17. Dosovitskiy, A., et al.: An image is worth 16x16 words: transformers for image recognition at scale. In: ICLR 2021</w:t>
      </w:r>
    </w:p>
    <w:p>
      <w:pPr>
        <w:spacing w:before="0" w:after="20"/>
        <w:ind w:left="340" w:hanging="340"/>
        <w:jc w:val="both"/>
      </w:pPr>
      <w:r>
        <w:rPr>
          <w:rFonts w:ascii="Times New Roman" w:hAnsi="Times New Roman"/>
          <w:b w:val="0"/>
          <w:i w:val="0"/>
          <w:sz w:val="18"/>
        </w:rPr>
        <w:t>18. Tsai, Y.-H.H., et al.: Multimodal transformer for unaligned multimodal language sequences. In: ACL 2019, pp. 6558-6569 (2019)</w:t>
      </w:r>
    </w:p>
    <w:p>
      <w:pPr>
        <w:spacing w:before="0" w:after="20"/>
        <w:ind w:left="340" w:hanging="340"/>
        <w:jc w:val="both"/>
      </w:pPr>
      <w:r>
        <w:rPr>
          <w:rFonts w:ascii="Times New Roman" w:hAnsi="Times New Roman"/>
          <w:b w:val="0"/>
          <w:i w:val="0"/>
          <w:sz w:val="18"/>
        </w:rPr>
        <w:t>19. Rahman, W., et al.: Integrating multimodal information in large pretrained transformers. In: ACL 2020, pp. 2359-2369 (2020)</w:t>
      </w:r>
    </w:p>
    <w:p>
      <w:pPr>
        <w:spacing w:before="0" w:after="20"/>
        <w:ind w:left="340" w:hanging="340"/>
        <w:jc w:val="both"/>
      </w:pPr>
      <w:r>
        <w:rPr>
          <w:rFonts w:ascii="Times New Roman" w:hAnsi="Times New Roman"/>
          <w:b w:val="0"/>
          <w:i w:val="0"/>
          <w:sz w:val="18"/>
        </w:rPr>
        <w:t>20. Ma, Y., Zhou, H., Wang, H.: MSER: multimodal speech emotion recognition using cross-attention with deep fusion. Expert Syst. Appl. 231, 120717 (2023)</w:t>
      </w:r>
    </w:p>
    <w:p>
      <w:pPr>
        <w:spacing w:before="0" w:after="20"/>
        <w:ind w:left="340" w:hanging="340"/>
        <w:jc w:val="both"/>
      </w:pPr>
      <w:r>
        <w:rPr>
          <w:rFonts w:ascii="Times New Roman" w:hAnsi="Times New Roman"/>
          <w:b w:val="0"/>
          <w:i w:val="0"/>
          <w:sz w:val="18"/>
        </w:rPr>
        <w:t>21. Li, X., Zhao, Z., Meng, H.: Multimodal SER via cross-attention fusion network. IEEE Trans. Affect. Comput. 15(1), 213-226 (2024)</w:t>
      </w:r>
    </w:p>
    <w:p>
      <w:pPr>
        <w:spacing w:before="0" w:after="20"/>
        <w:ind w:left="340" w:hanging="340"/>
        <w:jc w:val="both"/>
      </w:pPr>
      <w:r>
        <w:rPr>
          <w:rFonts w:ascii="Times New Roman" w:hAnsi="Times New Roman"/>
          <w:b w:val="0"/>
          <w:i w:val="0"/>
          <w:sz w:val="18"/>
        </w:rPr>
        <w:t>22. Lian, Z., Liu, B., Tao, J.: CTNet: conversational transformer network for emotion recognition. IEEE/ACM Trans. ASLP 29, 985-1000 (2021)</w:t>
      </w:r>
    </w:p>
    <w:p>
      <w:pPr>
        <w:spacing w:before="0" w:after="20"/>
        <w:ind w:left="340" w:hanging="340"/>
        <w:jc w:val="both"/>
      </w:pPr>
      <w:r>
        <w:rPr>
          <w:rFonts w:ascii="Times New Roman" w:hAnsi="Times New Roman"/>
          <w:b w:val="0"/>
          <w:i w:val="0"/>
          <w:sz w:val="18"/>
        </w:rPr>
        <w:t>23. Baltrusaitis, T., Ahuja, C., Morency, L.-P.: Multimodal machine learning: a survey and taxonomy. IEEE TPAMI 41(2), 423-443 (2019)</w:t>
      </w:r>
    </w:p>
    <w:p>
      <w:pPr>
        <w:spacing w:before="0" w:after="20"/>
        <w:ind w:left="340" w:hanging="340"/>
        <w:jc w:val="both"/>
      </w:pPr>
      <w:r>
        <w:rPr>
          <w:rFonts w:ascii="Times New Roman" w:hAnsi="Times New Roman"/>
          <w:b w:val="0"/>
          <w:i w:val="0"/>
          <w:sz w:val="18"/>
        </w:rPr>
        <w:t>24. Vaswani, A., et al.: Attention is all you need. In: NeurIPS, vol. 30, pp. 5998-6008 (2017)</w:t>
      </w:r>
    </w:p>
    <w:p>
      <w:pPr>
        <w:spacing w:before="0" w:after="20"/>
        <w:ind w:left="340" w:hanging="340"/>
        <w:jc w:val="both"/>
      </w:pPr>
      <w:r>
        <w:rPr>
          <w:rFonts w:ascii="Times New Roman" w:hAnsi="Times New Roman"/>
          <w:b w:val="0"/>
          <w:i w:val="0"/>
          <w:sz w:val="18"/>
        </w:rPr>
        <w:t>25. Devlin, J., Chang, M.-W., Lee, K., Toutanova, K.: BERT: pre-training of deep bidirectional transformers. In: NAACL-HLT 2019, pp. 4171-4186 (2019)</w:t>
      </w:r>
    </w:p>
    <w:p>
      <w:pPr>
        <w:spacing w:before="0" w:after="20"/>
        <w:ind w:left="340" w:hanging="340"/>
        <w:jc w:val="both"/>
      </w:pPr>
      <w:r>
        <w:rPr>
          <w:rFonts w:ascii="Times New Roman" w:hAnsi="Times New Roman"/>
          <w:b w:val="0"/>
          <w:i w:val="0"/>
          <w:sz w:val="18"/>
        </w:rPr>
        <w:t>26. Park, D.S., et al.: SpecAugment: a simple data augmentation method for ASR. In: INTERSPEECH 2019, pp. 2613-2617 (2019)</w:t>
      </w:r>
    </w:p>
    <w:p>
      <w:pPr>
        <w:spacing w:before="0" w:after="20"/>
        <w:ind w:left="340" w:hanging="340"/>
        <w:jc w:val="both"/>
      </w:pPr>
      <w:r>
        <w:rPr>
          <w:rFonts w:ascii="Times New Roman" w:hAnsi="Times New Roman"/>
          <w:b w:val="0"/>
          <w:i w:val="0"/>
          <w:sz w:val="18"/>
        </w:rPr>
        <w:t>27. Ko, T., et al.: Audio augmentation for speech recognition. In: INTERSPEECH 2015, pp. 3586-3589 (2015)</w:t>
      </w:r>
    </w:p>
    <w:p>
      <w:pPr>
        <w:spacing w:before="0" w:after="20"/>
        <w:ind w:left="340" w:hanging="340"/>
        <w:jc w:val="both"/>
      </w:pPr>
      <w:r>
        <w:rPr>
          <w:rFonts w:ascii="Times New Roman" w:hAnsi="Times New Roman"/>
          <w:b w:val="0"/>
          <w:i w:val="0"/>
          <w:sz w:val="18"/>
        </w:rPr>
        <w:t>28. Peters, M.E., Ruder, S., Smith, N.A.: To tune or not to tune? Adapting pretrained representations to diverse tasks. In: RepL4NLP, pp. 7-14. ACL (2019)</w:t>
      </w:r>
    </w:p>
    <w:p>
      <w:pPr>
        <w:spacing w:before="0" w:after="20"/>
        <w:ind w:left="340" w:hanging="340"/>
        <w:jc w:val="both"/>
      </w:pPr>
      <w:r>
        <w:rPr>
          <w:rFonts w:ascii="Times New Roman" w:hAnsi="Times New Roman"/>
          <w:b w:val="0"/>
          <w:i w:val="0"/>
          <w:sz w:val="18"/>
        </w:rPr>
        <w:t>29. Ba, J.L., Kiros, J.R., Hinton, G.E.: Layer normalization. arXiv:1607.06450 (2016)</w:t>
      </w:r>
    </w:p>
    <w:p>
      <w:pPr>
        <w:spacing w:before="0" w:after="20"/>
        <w:ind w:left="340" w:hanging="340"/>
        <w:jc w:val="both"/>
      </w:pPr>
      <w:r>
        <w:rPr>
          <w:rFonts w:ascii="Times New Roman" w:hAnsi="Times New Roman"/>
          <w:b w:val="0"/>
          <w:i w:val="0"/>
          <w:sz w:val="18"/>
        </w:rPr>
        <w:t>30. Bahdanau, D., Cho, K., Bengio, Y.: Neural machine translation by jointly learning to align and translate. In: ICLR 2015</w:t>
      </w:r>
    </w:p>
    <w:p>
      <w:pPr>
        <w:spacing w:before="0" w:after="20"/>
        <w:ind w:left="340" w:hanging="340"/>
        <w:jc w:val="both"/>
      </w:pPr>
      <w:r>
        <w:rPr>
          <w:rFonts w:ascii="Times New Roman" w:hAnsi="Times New Roman"/>
          <w:b w:val="0"/>
          <w:i w:val="0"/>
          <w:sz w:val="18"/>
        </w:rPr>
        <w:t>31. Muller, R., Kornblith, S., Hinton, G.E.: When does label smoothing help? In: NeurIPS, vol. 32, pp. 4694-4703 (2019)</w:t>
      </w:r>
    </w:p>
    <w:p>
      <w:pPr>
        <w:spacing w:before="0" w:after="20"/>
        <w:ind w:left="340" w:hanging="340"/>
        <w:jc w:val="both"/>
      </w:pPr>
      <w:r>
        <w:rPr>
          <w:rFonts w:ascii="Times New Roman" w:hAnsi="Times New Roman"/>
          <w:b w:val="0"/>
          <w:i w:val="0"/>
          <w:sz w:val="18"/>
        </w:rPr>
        <w:t>32. Wagner, J., et al.: Dawn of the transformer era in SER: closing the valence gap. IEEE TPAMI 45(10), 10745-10759 (2023)</w:t>
      </w:r>
    </w:p>
    <w:p>
      <w:pPr>
        <w:spacing w:before="0" w:after="20"/>
        <w:ind w:left="340" w:hanging="340"/>
        <w:jc w:val="both"/>
      </w:pPr>
      <w:r>
        <w:rPr>
          <w:rFonts w:ascii="Times New Roman" w:hAnsi="Times New Roman"/>
          <w:b w:val="0"/>
          <w:i w:val="0"/>
          <w:sz w:val="18"/>
        </w:rPr>
        <w:t>33. Jorrin-Coz, J., Nakano, M., Perez-Meana, H., Hernandez-Gonzalez, L.: Multi-corpus benchmarking of CNN and LSTM models for speaker gender and age profiling. Computation 13(8), 177 (2025)</w:t>
      </w:r>
    </w:p>
    <w:p>
      <w:pPr>
        <w:spacing w:before="0" w:after="20"/>
        <w:ind w:left="340" w:hanging="340"/>
        <w:jc w:val="both"/>
      </w:pPr>
      <w:r>
        <w:rPr>
          <w:rFonts w:ascii="Times New Roman" w:hAnsi="Times New Roman"/>
          <w:b w:val="0"/>
          <w:i w:val="0"/>
          <w:sz w:val="18"/>
        </w:rPr>
        <w:t>34. Jorrin-Coz, J., Nakano, M., Flores-Monroy, J., Perez-Meana, H.: Voice gender recognition under unconstrained environments using fine-tuned CNNs. In: New Trends in Intelligent Software Methodologies. IOS Press (2024)</w:t>
      </w:r>
    </w:p>
    <w:p>
      <w:pPr>
        <w:spacing w:before="0" w:after="20"/>
        <w:ind w:left="340" w:hanging="340"/>
        <w:jc w:val="both"/>
      </w:pPr>
      <w:r>
        <w:rPr>
          <w:rFonts w:ascii="Times New Roman" w:hAnsi="Times New Roman"/>
          <w:b w:val="0"/>
          <w:i w:val="0"/>
          <w:sz w:val="18"/>
        </w:rPr>
        <w:t>35. Jorrin-Coz, J., Nakano, M., Hernandez-Gonzalez, L., Perez-Meana, H.: Deep learning based age and gender recognition system. In: New Trends in Intelligent Software Methodologies, pp. 341-352. IOS Press (2025)</w:t>
      </w:r>
    </w:p>
    <w:p>
      <w:pPr>
        <w:spacing w:before="0" w:after="20"/>
        <w:ind w:left="340" w:hanging="340"/>
        <w:jc w:val="both"/>
      </w:pPr>
      <w:r>
        <w:rPr>
          <w:rFonts w:ascii="Times New Roman" w:hAnsi="Times New Roman"/>
          <w:b w:val="0"/>
          <w:i w:val="0"/>
          <w:sz w:val="18"/>
        </w:rPr>
        <w:t>36. Gnana Praveen, R., Alam, J.: Cross-Attention is Not Always Needed: Dynamic Cross-Attention for AV Dimensional Emotion Recognition. In: IEEE ICME 2024. arXiv:2403.19554</w:t>
      </w:r>
    </w:p>
    <w:p>
      <w:pPr>
        <w:spacing w:before="0" w:after="20"/>
        <w:ind w:left="340" w:hanging="340"/>
        <w:jc w:val="both"/>
      </w:pPr>
      <w:r>
        <w:rPr>
          <w:rFonts w:ascii="Times New Roman" w:hAnsi="Times New Roman"/>
          <w:b w:val="0"/>
          <w:i w:val="0"/>
          <w:sz w:val="18"/>
        </w:rPr>
        <w:t>37. Gnana Praveen, R., Alam, J.: Inconsistency-Aware Cross-Attention for AV Fusion in Dimensional Emotion Recognition. arXiv:2405.12853 (2024)</w:t>
      </w:r>
    </w:p>
    <w:p>
      <w:pPr>
        <w:spacing w:before="0" w:after="20"/>
        <w:ind w:left="340" w:hanging="340"/>
        <w:jc w:val="both"/>
      </w:pPr>
      <w:r>
        <w:rPr>
          <w:rFonts w:ascii="Times New Roman" w:hAnsi="Times New Roman"/>
          <w:b w:val="0"/>
          <w:i w:val="0"/>
          <w:sz w:val="18"/>
        </w:rPr>
        <w:t>38. Mittal, T., et al.: M3ER: Multiplicative Multimodal Emotion Recognition using Facial, Textual, and Speech Cues. In: AAAI, vol. 34, pp. 1359-1367 (2020)</w:t>
      </w:r>
    </w:p>
    <w:p>
      <w:pPr>
        <w:spacing w:before="0" w:after="20"/>
        <w:ind w:left="340" w:hanging="340"/>
        <w:jc w:val="both"/>
      </w:pPr>
      <w:r>
        <w:rPr>
          <w:rFonts w:ascii="Times New Roman" w:hAnsi="Times New Roman"/>
          <w:b w:val="0"/>
          <w:i w:val="0"/>
          <w:sz w:val="18"/>
        </w:rPr>
        <w:t>39. Luo, J., Phan, H., Wang, L., Reiss, J.D.: Heterogeneous Bimodal Attention Fusion for Speech Emotion Recognition. arXiv:2503.06405 (2025)</w:t>
      </w:r>
    </w:p>
    <w:p>
      <w:pPr>
        <w:spacing w:before="0" w:after="20"/>
        <w:ind w:left="340" w:hanging="340"/>
        <w:jc w:val="both"/>
      </w:pPr>
      <w:r>
        <w:rPr>
          <w:rFonts w:ascii="Times New Roman" w:hAnsi="Times New Roman"/>
          <w:b w:val="0"/>
          <w:i w:val="0"/>
          <w:sz w:val="18"/>
        </w:rPr>
        <w:t>40. Bekhouche, S.E., et al.: Conflict-Aware Multimodal Fusion for Ambivalence and Hesitancy Recognition. arXiv:2603.15818 (2026)</w:t>
      </w:r>
    </w:p>
    <w:p>
      <w:pPr>
        <w:spacing w:before="0" w:after="20"/>
        <w:ind w:left="340" w:hanging="340"/>
        <w:jc w:val="both"/>
      </w:pPr>
      <w:r>
        <w:rPr>
          <w:rFonts w:ascii="Times New Roman" w:hAnsi="Times New Roman"/>
          <w:b w:val="0"/>
          <w:i w:val="0"/>
          <w:sz w:val="18"/>
        </w:rPr>
        <w:t>41. Hu, G., et al.: UniMSE: towards unified multimodal sentiment analysis and emotion recognition. In: EMNLP 2022, pp. 7837-7851 (2022)</w:t>
      </w:r>
    </w:p>
    <w:p>
      <w:pPr>
        <w:spacing w:before="0" w:after="20"/>
        <w:ind w:left="340" w:hanging="340"/>
        <w:jc w:val="both"/>
      </w:pPr>
      <w:r>
        <w:rPr>
          <w:rFonts w:ascii="Times New Roman" w:hAnsi="Times New Roman"/>
          <w:b w:val="0"/>
          <w:i w:val="0"/>
          <w:sz w:val="18"/>
        </w:rPr>
        <w:t>42. Kim, J., Park, C.-H.: Focus-attention-enhanced crossmodal transformer with metric learning for SER. In: INTERSPEECH 2023, pp. 2671-2675 (2023)</w:t>
      </w:r>
    </w:p>
    <w:p>
      <w:pPr>
        <w:spacing w:before="0" w:after="20"/>
        <w:ind w:left="340" w:hanging="340"/>
        <w:jc w:val="both"/>
      </w:pPr>
      <w:r>
        <w:rPr>
          <w:rFonts w:ascii="Times New Roman" w:hAnsi="Times New Roman"/>
          <w:b w:val="0"/>
          <w:i w:val="0"/>
          <w:sz w:val="18"/>
        </w:rPr>
        <w:t>43. Pham, T.N., et al.: MemoCMT: multimodal emotion recognition using cross-modal transformer feature fusion. Sci. Rep. 15, 5473 (2025)</w:t>
      </w:r>
    </w:p>
    <w:p>
      <w:pPr>
        <w:spacing w:before="0" w:after="20"/>
        <w:ind w:left="340" w:hanging="340"/>
        <w:jc w:val="both"/>
      </w:pPr>
      <w:r>
        <w:rPr>
          <w:rFonts w:ascii="Times New Roman" w:hAnsi="Times New Roman"/>
          <w:b w:val="0"/>
          <w:i w:val="0"/>
          <w:sz w:val="18"/>
        </w:rPr>
        <w:t>44. Ren, X., et al.: WavFusion: towards wav2vec 2.0 multimodal speech emotion recognition. In: ICASSP 2025 (2024). arXiv:2412.05558</w:t>
      </w:r>
    </w:p>
    <w:sectPr w:rsidR="00FC693F" w:rsidRPr="0006063C" w:rsidSect="00034616">
      <w:pgSz w:w="11906" w:h="16838"/>
      <w:pgMar w:top="1871" w:right="2041" w:bottom="3005"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