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JORGE ARTURO TOKUNAGA PEREZ</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 xml:space="preserve">                         </w:t>
      </w:r>
      <w:r>
        <w:rPr>
          <w:rFonts w:eastAsia="Calibri" w:cs="Times New Roman" w:ascii="Arial Narrow" w:hAnsi="Arial Narrow"/>
          <w:b/>
          <w:sz w:val="28"/>
          <w:szCs w:val="28"/>
          <w:lang w:val="es-ES"/>
        </w:rPr>
        <w:t>VS</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CLAUDIA BEATRIZ GARZA GOMEZ</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JUICIO: CONTROVERSIA DEL ORDEN FAMILIAR, GUARDA Y CUSTODIA, ALIMENTOS Y REGIMEN DE VISITAS Y CONVIVENCIAS.</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EXPEDIENTE NUM: 738/2024</w:t>
      </w:r>
    </w:p>
    <w:p>
      <w:pPr>
        <w:pStyle w:val="Normal"/>
        <w:spacing w:lineRule="auto" w:line="240" w:before="0" w:after="0"/>
        <w:jc w:val="both"/>
        <w:rPr>
          <w:rFonts w:ascii="Arial Narrow" w:hAnsi="Arial Narrow" w:eastAsia="Calibri" w:cs="Times New Roman"/>
          <w:b/>
          <w:bCs/>
          <w:sz w:val="28"/>
          <w:szCs w:val="28"/>
        </w:rPr>
      </w:pPr>
      <w:r>
        <w:rPr>
          <w:rFonts w:eastAsia="Calibri" w:cs="Times New Roman" w:ascii="Arial Narrow" w:hAnsi="Arial Narrow"/>
          <w:b/>
          <w:bCs/>
          <w:sz w:val="28"/>
          <w:szCs w:val="28"/>
        </w:rPr>
      </w:r>
    </w:p>
    <w:p>
      <w:pPr>
        <w:pStyle w:val="Normal"/>
        <w:spacing w:lineRule="auto" w:line="240" w:before="0" w:after="0"/>
        <w:ind w:right="4160"/>
        <w:jc w:val="both"/>
        <w:rPr>
          <w:rFonts w:ascii="Arial Narrow" w:hAnsi="Arial Narrow" w:eastAsia="Calibri" w:cs="Times New Roman"/>
          <w:b/>
          <w:sz w:val="28"/>
          <w:szCs w:val="28"/>
        </w:rPr>
      </w:pPr>
      <w:r>
        <w:rPr>
          <w:rFonts w:eastAsia="Calibri" w:cs="Times New Roman" w:ascii="Arial Narrow" w:hAnsi="Arial Narrow"/>
          <w:b/>
          <w:sz w:val="28"/>
          <w:szCs w:val="28"/>
        </w:rPr>
        <w:t>C.  JUEZ  PRIMERO  FAMILIAR  DEL DISTRITO JUDICIAL DE NEZAHUALCOYOTL, ESTADO DE MEXICO</w:t>
      </w:r>
    </w:p>
    <w:p>
      <w:pPr>
        <w:pStyle w:val="Normal"/>
        <w:spacing w:lineRule="auto" w:line="240" w:before="0" w:after="0"/>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b/>
          <w:sz w:val="28"/>
          <w:szCs w:val="28"/>
          <w:lang w:val="es-ES"/>
        </w:rPr>
        <w:t>JORGE ARTURO TOKUNAGA PEREZ</w:t>
      </w:r>
      <w:r>
        <w:rPr>
          <w:rFonts w:eastAsia="Calibri" w:cs="Times New Roman" w:ascii="Arial Narrow" w:hAnsi="Arial Narrow"/>
          <w:sz w:val="28"/>
          <w:szCs w:val="28"/>
          <w:lang w:val="es-ES"/>
        </w:rPr>
        <w:t xml:space="preserve">, </w:t>
      </w:r>
      <w:r>
        <w:rPr>
          <w:rFonts w:eastAsia="Calibri" w:cs="Times New Roman" w:ascii="Arial Narrow" w:hAnsi="Arial Narrow"/>
          <w:sz w:val="28"/>
          <w:szCs w:val="28"/>
        </w:rPr>
        <w:t xml:space="preserve">por mi propio derecho, señalando como domicilio procesal para oír y recibir toda clase de notificaciones aun las de carácter personal, mediante correo institucional </w:t>
      </w:r>
      <w:hyperlink r:id="rId2">
        <w:r>
          <w:rPr>
            <w:rStyle w:val="Hyperlink"/>
            <w:rFonts w:eastAsia="Calibri" w:cs="Times New Roman" w:ascii="Arial Narrow" w:hAnsi="Arial Narrow"/>
            <w:sz w:val="28"/>
            <w:szCs w:val="28"/>
          </w:rPr>
          <w:t>6503970@pjedomex.gob.mx</w:t>
        </w:r>
      </w:hyperlink>
      <w:r>
        <w:rPr>
          <w:rFonts w:eastAsia="Calibri" w:cs="Times New Roman" w:ascii="Arial Narrow" w:hAnsi="Arial Narrow"/>
          <w:sz w:val="28"/>
          <w:szCs w:val="28"/>
        </w:rPr>
        <w:t xml:space="preserve">, en atención a las circulares 27/20 y 32/20, emitidas por el pleno del consejo de la judicatura del Estado de México, así mismo se autorice el acceso al expediente electrónico respecto del presente juicio. </w:t>
      </w:r>
      <w:r>
        <w:rPr>
          <w:rFonts w:eastAsia="Calibri" w:cs="Times New Roman" w:ascii="Arial Narrow" w:hAnsi="Arial Narrow"/>
          <w:sz w:val="28"/>
          <w:szCs w:val="28"/>
          <w:lang w:val="es-ES"/>
        </w:rPr>
        <w:t>Autorizo en los más amplios términos del artículo 1.93, 1.94 y 1.95, del Código de Procedimientos Civiles para el Estado de México, en forma indistinta, conjunta o separadamente a los C.C. Licenciados en derecho Miguel Hernández Gutiérrez, con número de cédula profesional 2019034, Israel Albarrán Santillán, con número de cédula profesional 6503970, Guillermo Maldonado Dávila con número de cédula profesional 2115056,  Luis Arturo Bravo Alonso, con número de cédula profesional 5970535, Francisco Javier Guevara García, con número de cédula profesional 3861159, y Edgar Joel Rojas Galindo, con número de cédula profesional 9650979, Omar Barragán Enríquez,  a quienes reitero y concedo las facultades expresas del numeral antes citado, quienes quedaran facultados para interponer los recursos que procedan, ofrecer e intervenir en el desahogo de pruebas, alegar en las audiencias, pedir se dicte sentencia, para evitar la consumación del termino de caducidad por inactividad procesal y realizar cualquier acto que resulte ser necesario para la defensa de los derechos de que suscribe, así mismo a los C.C. Celia Georgina Martínez Segura, Carmen Lorena Rodríguez Ortega, Pamela Albarrán Vite, Karla Salinas Mora, Luciana Vega Romero, Cinthya Marcela Martínez Tejeda y Jessica Guerra Rivera, a quienes autorizo para consultar el expediente, recibir toda clase de notificaciones aun las de carácter personal, recibir valores, documentos y todo acto tendiente a favor de mis intereses, ante Usted comparezco y expongo:</w:t>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br/>
        <w:t xml:space="preserve">Que por medio del Presente escrito y con fundamento en los artículos 4". 8, 14, 16, 17 de la Constitución política de los Estados Unidos Mexicanos artículos, vengo a interponer el presente INCIDENTE INNOMINADO PARA EL EFECTO DE QUE SE DECRETE LA MODIFICACIÓN DE LA GUARDA Y CUSTODIA, en el presente juicio, en virtud de la negativa sistemática por la parte la hoy actora en el presente juicio, en dar cumplimiento al régimen de visitas decretado en autos del juicio principal, a pesar de diversos apercibimientos, por lo que se pide el cambio de guarda y custodia a favor del suscrito respecto de mis menores hijos, con iniciales </w:t>
      </w:r>
      <w:r>
        <w:rPr>
          <w:rFonts w:eastAsia="Calibri" w:cs="Times New Roman" w:ascii="Arial Narrow" w:hAnsi="Arial Narrow"/>
          <w:b/>
          <w:sz w:val="28"/>
          <w:szCs w:val="28"/>
          <w:lang w:val="es-ES"/>
        </w:rPr>
        <w:t>S.M.T.G. quien actualmente tiene doce años y D.H.T.G</w:t>
      </w:r>
      <w:r>
        <w:rPr>
          <w:rFonts w:eastAsia="Calibri" w:cs="Times New Roman" w:ascii="Arial Narrow" w:hAnsi="Arial Narrow"/>
          <w:sz w:val="28"/>
          <w:szCs w:val="28"/>
        </w:rPr>
        <w:t>, lo anterior en términos de la siguiente tesis de Jurisprudencia:</w:t>
      </w:r>
    </w:p>
    <w:p>
      <w:pPr>
        <w:pStyle w:val="Normal"/>
        <w:spacing w:lineRule="auto" w:line="240" w:before="0" w:after="0"/>
        <w:ind w:left="1134" w:right="1183"/>
        <w:jc w:val="both"/>
        <w:rPr>
          <w:rFonts w:ascii="Arial Narrow" w:hAnsi="Arial Narrow" w:eastAsia="Calibri" w:cs="Times New Roman"/>
          <w:sz w:val="28"/>
          <w:szCs w:val="28"/>
        </w:rPr>
      </w:pPr>
      <w:r>
        <w:rPr>
          <w:rFonts w:eastAsia="Calibri" w:cs="Times New Roman" w:ascii="Arial Narrow" w:hAnsi="Arial Narrow"/>
          <w:sz w:val="28"/>
          <w:szCs w:val="28"/>
        </w:rPr>
        <w:br/>
      </w:r>
      <w:r>
        <w:rPr>
          <w:rFonts w:eastAsia="Calibri" w:cs="Times New Roman" w:ascii="Arial Narrow" w:hAnsi="Arial Narrow"/>
          <w:sz w:val="20"/>
          <w:szCs w:val="20"/>
        </w:rPr>
        <w:t>Registro digital: 2018664</w:t>
        <w:br/>
        <w:br/>
        <w:t>Instancia: Primera Sala</w:t>
        <w:br/>
        <w:br/>
        <w:t>Décima Epoca</w:t>
        <w:br/>
        <w:br/>
        <w:t>Materias(s): Constitucional, Civil Tesis: 1a. CLI/2018 (10)</w:t>
        <w:br/>
        <w:br/>
        <w:t>Fuente: Gaceta del Semanario Judicial de la Federación. Libro 61, Diciembre de 2018, Tomo I, página 317</w:t>
        <w:br/>
        <w:br/>
        <w:t>Tipo: Aislada</w:t>
        <w:br/>
        <w:br/>
        <w:t>GUARDA Y CUSTODIA CUANDO UNO DE LOS PROGENITORES HA INCUMPLIDO SISTEMATICAMENTE CON EL RÉGIMEN DE VISITAS Y CONVIVENCIAS, ES CONFORME AL INTERES SUPERIOR DEL MENOR MODIFICARLA.</w:t>
        <w:br/>
        <w:br/>
        <w:t>De acuerdo a la doctrina que ha desarrollado esta Suprema Corte de Justicia de la Nación, la convivencia con ambos progenitores es fundamental para el desarrollo de los menores; por lo tanto, en un escenario de ruptura familiar, los juzgadores deben garantizar que se lleven a cabo las visitas y convivencias. Ahora bien, esta Primera Sala ha establecido que para tomar decisiones respecto a la guarda y custodia - y en general respecto a las convivencias de los menores con sus padres-, debe utilizarse un estándar de riesgo, según el cual, debe tomarse la decisión que genere la menor probabilidad de que los menores sufran daños. De acuerdo con esto, a la larga existe un mayor riesgo de que la falta absoluta de contacto con alguno de los padres le ocasione más daños al menor que los que pudieran derivar del cambio de la guarda y custodia. A pesar de la importancia de asegurar las convivencias, los tribunales no deben decretar el cambio de guarda y custodia sin antes haber intentado por otros medios que éstas se lleven a cabo. Sin embargo, cuando ya existen diversos requerimientos, apercibimientos y órdenes y alguno de los progenitores sigue sin presentar al menor a las convivencias, el cambio de la guarda y custodia se vuelve necesario ya que es la única medida que puede garantizar que las convivencias se llevarán a cabo.</w:t>
        <w:br/>
        <w:br/>
        <w:t>Amparo directo en revisión 2710/2017. 25 de abril de 2018. Mayoria de tres votos de los Ministros Arturo Zaldivar Lelo de Larrea, Jorge Mario Pardo Rebolledo y Alfredo Gutiérrez Ortiz Mena Disidente: Norma Lucia Piña Hernández. Ausente: José Ramón Cossio Diaz. Ponents: Arturo Zaldivar Lelo de Larrea. Secretario: José Ignacio Morales Simon Esta tesis se publicó el viernes 07 de diciembre de 2018 a las 10:19 horas en el Semanario Judicial de la Federación.</w:t>
        <w:br/>
        <w:br/>
        <w:t>Con fundamento en el artículo 112 párrafo segundo y 114 del Código de Procedimientos Civiles para la Ciudad de México, en este acto señalo como domicilio para que sea emplazada el ubicado en Calle Municiones, número 14, San Fernando Huixquilucan, Estado de México, persona de la cual reclamo las siguientes</w:t>
      </w:r>
      <w:r>
        <w:rPr>
          <w:rFonts w:eastAsia="Calibri" w:cs="Times New Roman" w:ascii="Arial Narrow" w:hAnsi="Arial Narrow"/>
          <w:sz w:val="28"/>
          <w:szCs w:val="28"/>
        </w:rPr>
        <w:t>:</w:t>
      </w:r>
    </w:p>
    <w:p>
      <w:pPr>
        <w:pStyle w:val="Normal"/>
        <w:ind w:right="49"/>
        <w:jc w:val="both"/>
        <w:rPr>
          <w:rFonts w:ascii="Arial Narrow" w:hAnsi="Arial Narrow" w:eastAsia="Calibri" w:cs="Times New Roman"/>
          <w:sz w:val="28"/>
          <w:szCs w:val="28"/>
        </w:rPr>
      </w:pPr>
      <w:r>
        <w:rPr>
          <w:rFonts w:eastAsia="Calibri" w:cs="Times New Roman" w:ascii="Arial Narrow" w:hAnsi="Arial Narrow"/>
          <w:sz w:val="28"/>
          <w:szCs w:val="28"/>
        </w:rPr>
        <w:br/>
        <w:t xml:space="preserve"> PRESTACIONES:</w:t>
        <w:br/>
        <w:br/>
        <w:t xml:space="preserve">1.- LA MODIFICACIÓN DE LA GUARDA Y CUSTODIA, en el presente juicio, en virtud de la negativa sistemática por la parte demandada, </w:t>
      </w:r>
      <w:r>
        <w:rPr>
          <w:rFonts w:eastAsia="Calibri" w:cs="Times New Roman" w:ascii="Arial Narrow" w:hAnsi="Arial Narrow"/>
          <w:b/>
          <w:sz w:val="28"/>
          <w:szCs w:val="28"/>
          <w:lang w:val="es-ES"/>
        </w:rPr>
        <w:t xml:space="preserve">CLAUDIA BEATRIZ GARZA GOMEZ, </w:t>
      </w:r>
      <w:r>
        <w:rPr>
          <w:rFonts w:eastAsia="Calibri" w:cs="Times New Roman" w:ascii="Arial Narrow" w:hAnsi="Arial Narrow"/>
          <w:sz w:val="28"/>
          <w:szCs w:val="28"/>
        </w:rPr>
        <w:t xml:space="preserve"> en dar cumplimiento al régimen de visitas decretado en el juicio principal, por lo que, se solicita el cambio de guarda y custodia, esto a favor del suscrito respecto de mis menores hijos, por lo que se pide a su Señoría se decrete de forma urgente LA GUARDA Y CUSTODIA DE FORMA PROVISIONAL A FAVOR DEL SUSCRITO EN LA ADMISIÓN DEL PRESENTE INCIDENTE Y EN SU MOMENTO SE DECRETE DE FORMA DEFINITIVA CONFORME AL PRINCIPIO INTERÈS SUPERIOR DEL MENOR, ya que, desde el mes de julio del año 2024, la parte demandada ha cumplido de manera parcial las convivencias con mis menores hijos, a pesar de que existe un régimen de visitas a favor del suscrito.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 </w:t>
      </w:r>
      <w:r>
        <w:rPr>
          <w:rFonts w:eastAsia="Calibri" w:cs="Times New Roman" w:ascii="Arial Narrow" w:hAnsi="Arial Narrow"/>
          <w:sz w:val="28"/>
          <w:szCs w:val="28"/>
        </w:rPr>
        <w:br/>
        <w:t>2.- El pago de los gastos y costas que se generen del presente incidente,</w:t>
        <w:br/>
        <w:t>fundo mi acción en las siguientes consideraciones de hecho y de derecho:</w:t>
        <w:b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Capítulo de hechos</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Del juicio iniciado por la parte actora, que se cita al rubro, se decretó un régimen de visitas entre los menores  con iniciales </w:t>
      </w:r>
      <w:r>
        <w:rPr>
          <w:rFonts w:eastAsia="Calibri" w:cs="Times New Roman" w:ascii="Arial Narrow" w:hAnsi="Arial Narrow"/>
          <w:b/>
          <w:sz w:val="28"/>
          <w:szCs w:val="28"/>
          <w:lang w:val="es-ES"/>
        </w:rPr>
        <w:t>S.M.T.G. y D.H.T.G,</w:t>
      </w:r>
      <w:r>
        <w:rPr>
          <w:rFonts w:eastAsia="Calibri" w:cs="Times New Roman" w:ascii="Arial Narrow" w:hAnsi="Arial Narrow"/>
          <w:sz w:val="28"/>
          <w:szCs w:val="28"/>
        </w:rPr>
        <w:t xml:space="preserve"> de cada semana, es decir, sábado y domingo.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 xml:space="preserve">Por tanto, en las primeras convivencias funciono de manera normal pero a partir del mes de julio del año en curso, la hoy parte demandada, ha negado las convivencias a que tengo derecho, me he constituido en el domicilio de sus papás para recoger a mis menores hijos, aclarando que ahí no es el domicilio donde debe de entregar a los menores para una sana convivencia, situación lamentable para el suscrito. </w:t>
        <w:br/>
        <w:br/>
        <w:t>Posteriormente al constituirme en el domicilio de la parte demanda a efecto de que diera cumplimiento al régimen de visitas, no lo hace y no he tenido comunicación alguna, ya han pasado algunas semanas, solicitando una aclaración respecto de su conducta, sin que el suscrito tenga una respuesta a pesar de su mandato judicial, pues la parte demandada se ha negado rotundamente a explicarme dicha conducta, situación que ha provocado un grave trastorno psicológico y depresivo al suscrito.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Es por las anteriores manifestaciones pido atentamente se modifique la guarda y custodia lo anterior obedece al </w:t>
      </w:r>
      <w:r>
        <w:rPr>
          <w:rFonts w:eastAsia="Calibri" w:cs="Times New Roman" w:ascii="Arial Narrow" w:hAnsi="Arial Narrow"/>
          <w:b/>
          <w:bCs/>
          <w:sz w:val="28"/>
          <w:szCs w:val="28"/>
        </w:rPr>
        <w:t>principio de interés superior del menor</w:t>
      </w:r>
      <w:r>
        <w:rPr>
          <w:rFonts w:eastAsia="Calibri" w:cs="Times New Roman" w:ascii="Arial Narrow" w:hAnsi="Arial Narrow"/>
          <w:sz w:val="28"/>
          <w:szCs w:val="28"/>
        </w:rPr>
        <w:t xml:space="preserve"> y sus graves repercusiones al no estar en convivencia con uno de sus progenitores, situación que pone de manifiesto el rompimiento sistemático, en definitiva, con el vínculo familiar y amor que tengo con mi hijo de esta forma pido su señoría, decrete de forma urgente la modificación de la guarda y custodia.</w:t>
      </w:r>
    </w:p>
    <w:p>
      <w:pPr>
        <w:pStyle w:val="Normal"/>
        <w:spacing w:lineRule="auto" w:line="240" w:before="0" w:after="0"/>
        <w:ind w:left="1134" w:right="1183"/>
        <w:jc w:val="both"/>
        <w:rPr>
          <w:rFonts w:ascii="Arial Narrow" w:hAnsi="Arial Narrow" w:eastAsia="Calibri" w:cs="Times New Roman"/>
          <w:sz w:val="28"/>
          <w:szCs w:val="28"/>
        </w:rPr>
      </w:pPr>
      <w:r>
        <w:rPr>
          <w:rFonts w:eastAsia="Calibri" w:cs="Times New Roman" w:ascii="Arial Narrow" w:hAnsi="Arial Narrow"/>
          <w:sz w:val="28"/>
          <w:szCs w:val="28"/>
        </w:rPr>
        <w:t xml:space="preserve"> </w:t>
      </w:r>
      <w:r>
        <w:rPr>
          <w:rFonts w:eastAsia="Calibri" w:cs="Times New Roman" w:ascii="Arial Narrow" w:hAnsi="Arial Narrow"/>
          <w:sz w:val="28"/>
          <w:szCs w:val="28"/>
        </w:rPr>
        <w:br/>
      </w:r>
      <w:r>
        <w:rPr>
          <w:rFonts w:eastAsia="Calibri" w:cs="Times New Roman" w:ascii="Arial Narrow" w:hAnsi="Arial Narrow"/>
          <w:bCs/>
          <w:sz w:val="20"/>
          <w:szCs w:val="20"/>
        </w:rPr>
        <w:t>Resulta aplicable a lo anterior el siguiente criterio del Poder Judicial de la</w:t>
        <w:br/>
        <w:t>Federación</w:t>
        <w:br/>
        <w:br/>
        <w:t>Registro No. 164025, Localización: Novena Época, Instancia Tribunales Colegiados de Circuito, Fuente Semanano Judicial de la Federación y su Gaceta, XXXII, Agosto de 2010, Pagina 2299 Tesis: 1.50.C.106 C, Tesis Aislada, Materia(s): Civil INTERÈS SUPERIOR DEL MENOR. SU CONCEPTO.</w:t>
        <w:br/>
        <w:br/>
        <w:t>Por interés superior del menor se entende el catálogo de valores, principios</w:t>
        <w:br/>
        <w:br/>
        <w:t>interpretaciones, acciones y procesos drgidos a forjar un desarrollo humano</w:t>
        <w:br/>
        <w:br/>
        <w:t>integral y una vida digna, asi como a generar las condiciones materiales que permitan a la menor vivir plenamente y alcanzar el máximo bienestar personal. familiar y social posible, cuya protección debe promover y garantizar el Estado en el ejercicio de sus funciones legislativa, ejecutiva y judicial, por tratarse de un asunto de orden público e interés social QUINTO TRIBUNAL COLEGIADO EN MATERIA CIVIL DEL PRIMER CIRCUITO Amparo directo 309/2010 10 de junio de 2010. Unanimidad de votos Ponente: Walter Arellano Hobelsberger. Secretario: Enrique Cantoya Herrejón</w:t>
      </w:r>
      <w:r>
        <w:rPr>
          <w:rFonts w:eastAsia="Calibri" w:cs="Times New Roman" w:ascii="Arial Narrow" w:hAnsi="Arial Narrow"/>
          <w:b/>
          <w:bCs/>
          <w:sz w:val="24"/>
          <w:szCs w:val="24"/>
        </w:rPr>
        <w:br/>
      </w:r>
    </w:p>
    <w:p>
      <w:pPr>
        <w:pStyle w:val="Normal"/>
        <w:spacing w:lineRule="auto" w:line="240" w:before="0" w:after="0"/>
        <w:ind w:right="1183"/>
        <w:jc w:val="both"/>
        <w:rPr>
          <w:rFonts w:ascii="Arial Narrow" w:hAnsi="Arial Narrow" w:eastAsia="Calibri" w:cs="Times New Roman"/>
          <w:sz w:val="28"/>
          <w:szCs w:val="28"/>
        </w:rPr>
      </w:pPr>
      <w:r>
        <w:rPr>
          <w:rFonts w:eastAsia="Calibri" w:cs="Times New Roman" w:ascii="Arial Narrow" w:hAnsi="Arial Narrow"/>
          <w:sz w:val="28"/>
          <w:szCs w:val="28"/>
        </w:rPr>
        <w:t>MEDIDAS PROVISIONALES.</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Con fundamento en lo dispuesto por los numerales……………… y demás</w:t>
        <w:br/>
        <w:t>aplicables del Código Civil para el Estado de México, solicito a su señoría se sirva</w:t>
        <w:br/>
        <w:t>decretar las siguientes medidas:</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1.- DE FORMA PROVISIONAL Y EN SU MOMENTO DEFINITIVA LA MODIFICACIÓN DE LA DE LA GUARDA Y CUSTODIA entre el suscrito y mis menores hijos.</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Ofrezco de mi parte los siguientes medios de prueba:</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PRUEBAS</w:t>
        <w:br/>
        <w:br/>
        <w:t xml:space="preserve">1.-CONFESIONAL - A cargo de </w:t>
      </w:r>
      <w:r>
        <w:rPr>
          <w:rFonts w:eastAsia="Calibri" w:cs="Times New Roman" w:ascii="Arial Narrow" w:hAnsi="Arial Narrow"/>
          <w:b/>
          <w:sz w:val="28"/>
          <w:szCs w:val="28"/>
          <w:lang w:val="es-ES"/>
        </w:rPr>
        <w:t xml:space="preserve">CLAUDIA BEATRIZ GARZA GOMEZ, </w:t>
      </w:r>
      <w:r>
        <w:rPr>
          <w:rFonts w:eastAsia="Calibri" w:cs="Times New Roman" w:ascii="Arial Narrow" w:hAnsi="Arial Narrow"/>
          <w:sz w:val="28"/>
          <w:szCs w:val="28"/>
        </w:rPr>
        <w:t>quien deberá de comparecer ante éste H. Juzgado el día y hora que se señale para tales efectos a absolver las posiciones que se le articularán de manera personal y no así por conducto de apoderado legal en virtud de tratarse de hechos propios, con el apercibimiento de que en caso de no comparecer sin justa causa será declarada confesa de las posiciones que previamente sean calificadas de legales Probanza que se relaciona con todos los hechos del presente incidente, con la cual se acreditaran, todos y cada uno de los extremos contenidos en el escrito inicial del presente incidente.</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 xml:space="preserve">2.-TESTIMONIAL, a cargo de las siguientes personas, </w:t>
      </w:r>
      <w:r>
        <w:rPr>
          <w:rFonts w:eastAsia="Calibri" w:cs="Times New Roman" w:ascii="Arial Narrow" w:hAnsi="Arial Narrow"/>
          <w:b/>
          <w:sz w:val="28"/>
          <w:szCs w:val="28"/>
        </w:rPr>
        <w:t xml:space="preserve">testigos de hechos </w:t>
      </w:r>
      <w:r>
        <w:rPr>
          <w:rFonts w:eastAsia="Calibri" w:cs="Times New Roman" w:ascii="Arial Narrow" w:hAnsi="Arial Narrow"/>
          <w:sz w:val="28"/>
          <w:szCs w:val="28"/>
        </w:rPr>
        <w:t>(nombres de personas), testimonio que se relaciona con los hechos del presente incidente, personas a las que me comprometo a presentar, ante este H. Juzgado el día y horas que tenga a bien señalar para su desahogo.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3- INSTRUMENTAL DE ACTUACIONES, en todo lo que favorezca en los intereses del suscrito, probanza que se relaciona con todos los hechos del presente incidente.</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 xml:space="preserve">4.- PRESUNCIONAL LEGAL Y HUMANA, en todo lo que favorezca al suscrito, </w:t>
        <w:b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Fundo mi acción en los siguientes preceptos: </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DERECHO</w:t>
        <w:br/>
        <w:br/>
        <w:t>Artículos Constitucionales 4°, 8°, 14, 16 y 17, artículos ………………… y demás relativos y aplicables del Código Civil para el Estado de México y aplicables del Código de Procedimientos Civiles para el Estado de México.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Artículos 3, 6 y 12 de la Convención sobre Derechos del Niño Resultan aplicables a la presente controversia, los siguientes criterios del Poder Judicial de la Federación:</w:t>
        <w:br/>
        <w:t>Novena Época Registro 198324 Instancia Tribunales Colegiados de Circuito</w:t>
        <w:br/>
        <w:t>Tesis Aislada Fuente: Semanario Judicial de la Federación y su Gaceta V</w:t>
        <w:br/>
        <w:t>Julio de 1997: Materia(s) Civil. Tesis 180 C 138 C. Página 438</w:t>
        <w:br/>
        <w:t>SUPLENCIA DE LOS PLANTEAMIENTOS DE DERECHO EN MATERIA</w:t>
        <w:br/>
        <w:t>FAMILIAR. TRATANDOSE DE DERECHOS DE MENORES ES OBLIGACIÓN</w:t>
        <w:br/>
        <w:t>DE LOS TRIBUNALES EFECTUARLA. El artículo 941 del Código de Procedimientos Civiles para la Ciudad de México impone, tratándose de la materia familiar la coligación a los Jueces y tribunales de suplir la deficiencia de que adolezcan los planteamientos de derecho que formulen las partes, facultando al órgano jurisdiccional para intervenir de oficio en los asuntos que afectan a la familia, especialmente, tratándose de menores y de alimentos por tanto, debe concluirse que cuando el órgano jurisdiccional suple las deficiencias que presentan los planteamientos de derecho de los menores, tanto en primera como en segunda instancia, no viola las garantías constitucionales de la contraparte de éstos, sino que con una obligación que les impone la ley el contrario, cumple OCTAVO TRIBUNAL COLEGIADO EN MATERIA CIVIL DEL PRIMER</w:t>
        <w:br/>
        <w:t>CIRCUITO.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t>Amparo directo 877/96 Sergio Rincón Gallardo Rodríguez 17 de enero de 1997. Unanimidad de votos. Ponente Guillermo Antonio Muñoz Jiménez Secretaria: Luz Delfina Abitia Gutiérrez.</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br/>
        <w:br/>
        <w:t>Véase Apéndice al Semanario Judicial de la Federación 1917-1995, Tomo IV, Materia Civil, tesis 510, pagina 361, de rubro: "CONTROVERSIAS DE LO FAMILIAR INTERPRETACIÓN DEL SEGUNDO PÁRRAFO DEL ARTICULO 941 DEL CÓDIGO DE PROCEDIMIENTOS CIVILES PARA EL DISTRITO FEDERAL</w:t>
        <w:br/>
        <w:br/>
        <w:t>Novena Época; Registro 174755, Instancia Tribunales Colegiados de Circuito, Tesis Aislada</w:t>
        <w:br/>
        <w:br/>
        <w:t>Fuente: Semanario Judicial de la Federación y su Gaceta, XXIV, Julio de 2006 Materia(s): Civil</w:t>
        <w:br/>
        <w:br/>
        <w:t>Tesis: VI.2o.C.498 C, Página: 1178</w:t>
        <w:br/>
        <w:br/>
        <w:t>CONVIVENCIA FAMILIAR DE MENORES. LA DETERMINACIÓN QUE SUSPENDE O NIEGA EL EJERCICIO DE ESTE DERECHO, POR LA TRASCENDENCIA QUE PUEDE TENER PARA AQUELLOS, DEBE PONDERAR TODO EL CAUDAL PROBATORIO EXISTENTE EN EL PROCEDIMIENTO INSTAURADO PARA DILUCIDAR JUDICIALMENTE SU ADECUADO DESEMPEÑO Y NO EN PARTE DE ÉL.</w:t>
        <w:br/>
        <w:br/>
        <w:t>El derecho de convivencia entre padres e hijos incide de manera directa en los valores esenciales de la familia y en la protección de los intereses de los niños, al ser incuestionable que el contacto entre éstos y sus progenitores constituye</w:t>
        <w:br/>
        <w:t>un aspecto relevante en la integración del concepto de familia, que en la etapa de la vida que cursan, cimientan de modo trascendental esa concepción fundamental en la sociedad, que la ley protege y tiende a conservar Esa protección jurídica a los intereses de los infantes se erige sobre la base de que son éstos los que tienen derechos determinados y no solo sus padres para convivir con ellos. De ahí que debe ponerse especial atención en la preservación de los derechos de los menores, porque son superiores y después, en los de sus padres Esto es la convivencia de los padres con sus hijos no debe confundirse con el mismo derecho que tienen los niños para convivir con sus progenitores, pues el que asiste a los menores, es de mayor entidad del que pudiera corresponder a sus ascendientes Por tanto, si la convivencia que debe existir entre los niños con sus padres se trata de un derecho colocado en posición más elevada que el estos últimos, es imprescindible resolver los conflictos que pudieran suscitarse al respecto ponderando todos los elementos de prueba disponibles a fin de estar en condiciones de examinar y resolver qué es la más benéfico para los menores de edad, ya que de otro modo se corre el nengo de que la determinación judicial que se emita carezca de una debida motivación Asi la determinación que suspende o niega el ejercicio de este derecho, por la trascendencia que puede tener para el menor de que se trate, debe ponderar todo el caudal probatorio existente en el procedimiento instaurado para lucidar judicialmente su adecuado desempeño y no en parte de el en la medida en que de no actuar asi se podrian afectar los derechos que legalmerce les asisten y, en relación con los cuales, el Estado tiene especial interés en su preservación SEGUNDO TRIBUNAL COLEGIADO EN MATERIA CIVIL DEL SEXTO CIRCUITO</w:t>
        <w:br/>
        <w:br/>
        <w:t>Amparo en revisión 72/2006 20 de abril de 2006. Unanimidad de votos</w:t>
        <w:br/>
        <w:br/>
        <w:t>Ponente Raúl Armando Pallares Valdez Secretario Eduardo Iván Ortiz</w:t>
        <w:br/>
        <w:br/>
        <w:t>Gorbea</w:t>
        <w:br/>
        <w:br/>
        <w:t>Registro No. 164025; Localización: Novena Época, Instancia Tribunales Colegiados de Circuito. Fuente: Semanario Judicial de la Federación y su Gaceta XXXII, Agosto de 2010, Pagina 2299, Tesis: 150 C 106 C. Tesis Aislada: Materia(s) Civil</w:t>
        <w:br/>
        <w:br/>
        <w:t>INTERES SUPERIOR DEL MENOR. SU CONCEPTO.</w:t>
        <w:br/>
        <w:br/>
        <w:t>Por interés superior del menor se entiende el catálogo de valores, principios, interpretaciones, acciones y procesos dirigidos a forjar un desarrollo humano integral y una vida digna, asi como a generar las condiciones materiales que permitan a los menores vivir plenamente y alcanzar el máximo bienestar personal, familiar y social posible, cuya protección debe promover y garantizar el Estado en el ejercicio de sus funciones legislativa, ejecutiva y judicial, por tratarse de un asunto de orden público e interés social Resolución. Precedentes: Amparo directo 560/2006 11 de enero de 2007 Unanimidad de votos. Ponente Víctor Francisco Mota Cienfuegos Secretario Salvador Andrés González Bárcena.</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Por lo antes expuesto y fundado;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A Usted </w:t>
      </w:r>
      <w:r>
        <w:rPr>
          <w:rFonts w:eastAsia="Calibri" w:cs="Times New Roman" w:ascii="Arial Narrow" w:hAnsi="Arial Narrow"/>
          <w:b/>
          <w:bCs/>
          <w:sz w:val="28"/>
          <w:szCs w:val="28"/>
        </w:rPr>
        <w:t>C. Juez</w:t>
      </w:r>
      <w:r>
        <w:rPr>
          <w:rFonts w:eastAsia="Calibri" w:cs="Times New Roman" w:ascii="Arial Narrow" w:hAnsi="Arial Narrow"/>
          <w:sz w:val="28"/>
          <w:szCs w:val="28"/>
        </w:rPr>
        <w:t xml:space="preserve"> atentamente pido:</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 xml:space="preserve"> </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bCs/>
          <w:sz w:val="28"/>
          <w:szCs w:val="28"/>
        </w:rPr>
        <w:t>P</w:t>
      </w:r>
      <w:r>
        <w:rPr>
          <w:rFonts w:eastAsia="Calibri" w:cs="Times New Roman" w:ascii="Arial Narrow" w:hAnsi="Arial Narrow"/>
          <w:b/>
          <w:sz w:val="28"/>
          <w:szCs w:val="28"/>
        </w:rPr>
        <w:t>RIMERO. -</w:t>
      </w:r>
      <w:r>
        <w:rPr>
          <w:rFonts w:eastAsia="Calibri" w:cs="Times New Roman" w:ascii="Arial Narrow" w:hAnsi="Arial Narrow"/>
          <w:sz w:val="28"/>
          <w:szCs w:val="28"/>
        </w:rPr>
        <w:t xml:space="preserve"> Tenerme por presentado en términos del presente ocurso, así como admitidos los documentos y copias que acompaño. </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 xml:space="preserve">SEGUNDO. - </w:t>
      </w:r>
      <w:r>
        <w:rPr>
          <w:rFonts w:eastAsia="Calibri" w:cs="Times New Roman" w:ascii="Arial Narrow" w:hAnsi="Arial Narrow"/>
          <w:sz w:val="28"/>
          <w:szCs w:val="28"/>
        </w:rPr>
        <w:t>Corriéndosele traslado con las copias simples de estilo, a fin de que manifieste lo que a su derecho corresponda dentro del plazo que le sea concedido para el efecto.</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TERCERO. -</w:t>
      </w:r>
      <w:r>
        <w:rPr>
          <w:rFonts w:eastAsia="Calibri" w:cs="Times New Roman" w:ascii="Arial Narrow" w:hAnsi="Arial Narrow"/>
          <w:sz w:val="28"/>
          <w:szCs w:val="28"/>
        </w:rPr>
        <w:t xml:space="preserve"> Tenerme por ofrecidas las pruebas de mi parte, que se precisan en el cuerpo del presente, mismas que solicito sean admitidas por estar ofrecidas conforme a derecho, señalando al efecto día y hora hábil para su desahogo. </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CUARTO. -</w:t>
      </w:r>
      <w:r>
        <w:rPr>
          <w:rFonts w:eastAsia="Calibri" w:cs="Times New Roman" w:ascii="Arial Narrow" w:hAnsi="Arial Narrow"/>
          <w:sz w:val="28"/>
          <w:szCs w:val="28"/>
        </w:rPr>
        <w:t xml:space="preserve"> Tener por autorizado el domicilio que menciono, así como a los profesionistas para los efectos que se precisan. </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QUINTO.</w:t>
      </w:r>
      <w:r>
        <w:rPr>
          <w:rFonts w:eastAsia="Calibri" w:cs="Times New Roman" w:ascii="Arial Narrow" w:hAnsi="Arial Narrow"/>
          <w:sz w:val="28"/>
          <w:szCs w:val="28"/>
        </w:rPr>
        <w:t xml:space="preserve"> – Se decreten las medidas provisionales que en derecho proceda, de forma urgente y de inmediata aplicación, toda vez que se estaría afectando los derechos de los menores y estos pueden ser irreparables. </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b/>
          <w:sz w:val="28"/>
          <w:szCs w:val="28"/>
        </w:rPr>
        <w:t>SEXTO</w:t>
      </w:r>
      <w:r>
        <w:rPr>
          <w:rFonts w:eastAsia="Calibri" w:cs="Times New Roman" w:ascii="Arial Narrow" w:hAnsi="Arial Narrow"/>
          <w:sz w:val="28"/>
          <w:szCs w:val="28"/>
        </w:rPr>
        <w:t>.- En su oportunidad y previos los trámites de ley emitir la sentencia que en derecho proceda.</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t>Nezahualcóyotl, Estado de México, noviembre 2024</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PROTESTO MIS DERECHOS</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JORGE ARTURO TOKUNAGA PEREZ</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LIC. MIGUEL HERNANDEZ GUTIERREZ</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ABOGADO PATRONO CEDULA PROFESIONAL</w:t>
      </w:r>
    </w:p>
    <w:p>
      <w:pPr>
        <w:pStyle w:val="Normal"/>
        <w:spacing w:lineRule="auto" w:line="240" w:before="0" w:after="0"/>
        <w:ind w:right="49"/>
        <w:jc w:val="both"/>
        <w:rPr>
          <w:rFonts w:ascii="Arial Narrow" w:hAnsi="Arial Narrow" w:eastAsia="Calibri" w:cs="Times New Roman"/>
          <w:b/>
          <w:sz w:val="28"/>
          <w:szCs w:val="28"/>
        </w:rPr>
      </w:pPr>
      <w:r>
        <w:rPr>
          <w:rFonts w:eastAsia="Calibri" w:cs="Times New Roman" w:ascii="Arial Narrow" w:hAnsi="Arial Narrow"/>
          <w:b/>
          <w:sz w:val="28"/>
          <w:szCs w:val="28"/>
        </w:rPr>
        <w:t>NUMERO 2019034</w:t>
      </w:r>
    </w:p>
    <w:p>
      <w:pPr>
        <w:pStyle w:val="Normal"/>
        <w:spacing w:lineRule="auto" w:line="240" w:before="0" w:after="0"/>
        <w:ind w:right="49"/>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right="49"/>
        <w:jc w:val="both"/>
        <w:rPr>
          <w:rFonts w:ascii="Arial Narrow" w:hAnsi="Arial Narrow" w:eastAsia="Calibri" w:cs="Times New Roman"/>
          <w:b/>
          <w:sz w:val="28"/>
          <w:szCs w:val="28"/>
          <w:highlight w:val="none"/>
          <w:shd w:fill="FFFF00" w:val="clear"/>
        </w:rPr>
      </w:pPr>
      <w:bookmarkStart w:id="0" w:name="_GoBack"/>
      <w:bookmarkEnd w:id="0"/>
      <w:r>
        <w:rPr>
          <w:rFonts w:eastAsia="Calibri" w:cs="Times New Roman" w:ascii="Arial Narrow" w:hAnsi="Arial Narrow"/>
          <w:b/>
          <w:sz w:val="28"/>
          <w:szCs w:val="28"/>
          <w:shd w:fill="FFFF00" w:val="clear"/>
        </w:rPr>
        <w:t>----------------</w:t>
      </w:r>
    </w:p>
    <w:p>
      <w:pPr>
        <w:pStyle w:val="Normal"/>
        <w:spacing w:lineRule="auto" w:line="240" w:before="0" w:after="0"/>
        <w:ind w:right="49"/>
        <w:jc w:val="both"/>
        <w:rPr>
          <w:rFonts w:ascii="Geomanist" w:hAnsi="Geomanist" w:eastAsia="Calibri" w:cs="Times New Roman"/>
          <w:b/>
          <w:bCs/>
          <w:sz w:val="24"/>
          <w:szCs w:val="24"/>
          <w:highlight w:val="none"/>
          <w:shd w:fill="FFFF00" w:val="clear"/>
        </w:rPr>
      </w:pPr>
      <w:r>
        <w:rPr>
          <w:rFonts w:eastAsia="Calibri" w:cs="Times New Roman" w:ascii="Geomanist" w:hAnsi="Geomanist"/>
          <w:b/>
          <w:bCs/>
          <w:sz w:val="24"/>
          <w:szCs w:val="24"/>
          <w:shd w:fill="FFFF00" w:val="clear"/>
        </w:rPr>
        <w:t>Ideas que me gustaría mencionar:</w:t>
      </w:r>
    </w:p>
    <w:p>
      <w:pPr>
        <w:pStyle w:val="Normal"/>
        <w:spacing w:lineRule="auto" w:line="240" w:before="0" w:after="0"/>
        <w:ind w:right="49"/>
        <w:jc w:val="both"/>
        <w:rPr>
          <w:rFonts w:ascii="Geomanist" w:hAnsi="Geomanist" w:eastAsia="Calibri" w:cs="Times New Roman"/>
          <w:b w:val="false"/>
          <w:bCs w:val="false"/>
          <w:sz w:val="24"/>
          <w:szCs w:val="24"/>
          <w:highlight w:val="none"/>
          <w:shd w:fill="FFFF00" w:val="clear"/>
        </w:rPr>
      </w:pPr>
      <w:r>
        <w:rPr>
          <w:rFonts w:eastAsia="Calibri" w:cs="Times New Roman" w:ascii="Geomanist" w:hAnsi="Geomanist"/>
          <w:b w:val="false"/>
          <w:bCs w:val="false"/>
          <w:sz w:val="24"/>
          <w:szCs w:val="24"/>
          <w:shd w:fill="FFFF00" w:val="clear"/>
        </w:rPr>
      </w:r>
    </w:p>
    <w:p>
      <w:pPr>
        <w:pStyle w:val="BodyText"/>
        <w:numPr>
          <w:ilvl w:val="0"/>
          <w:numId w:val="1"/>
        </w:numPr>
        <w:spacing w:lineRule="auto" w:line="240" w:before="0" w:after="0"/>
        <w:jc w:val="both"/>
        <w:rPr/>
      </w:pPr>
      <w:r>
        <w:rPr>
          <w:rStyle w:val="Strong"/>
          <w:rFonts w:eastAsia="Calibri" w:cs="Times New Roman" w:ascii="Geomanist" w:hAnsi="Geomanist"/>
          <w:b/>
          <w:bCs/>
          <w:sz w:val="24"/>
          <w:szCs w:val="24"/>
          <w:shd w:fill="FFFF00" w:val="clear"/>
        </w:rPr>
        <w:t>Mejor calidad de vida bajo la guarda y custodia paterna</w:t>
      </w:r>
      <w:r>
        <w:rPr>
          <w:rFonts w:eastAsia="Calibri" w:cs="Times New Roman" w:ascii="Geomanist" w:hAnsi="Geomanist"/>
          <w:b/>
          <w:bCs/>
          <w:sz w:val="24"/>
          <w:szCs w:val="24"/>
          <w:shd w:fill="FFFF00" w:val="clear"/>
        </w:rPr>
        <w:t xml:space="preserve">: </w:t>
      </w:r>
      <w:r>
        <w:rPr>
          <w:rFonts w:eastAsia="Calibri" w:cs="Times New Roman" w:ascii="Geomanist" w:hAnsi="Geomanist"/>
          <w:b w:val="false"/>
          <w:bCs w:val="false"/>
          <w:sz w:val="24"/>
          <w:szCs w:val="24"/>
          <w:shd w:fill="FFFF00" w:val="clear"/>
        </w:rPr>
        <w:t>Es menester hacer mención de que la calidad de vida de los menores podría mejorar significativamente bajo la guarda y custodia del suscrito, toda vez que el domicilio paterno, situado en una zona residencial más segura y con acceso a mejores servicios, ofrece condiciones de habitabilidad superiores a las que actualmente poseen. En dicho domicilio, los menores contarían con su propia habitación, un entorno adecuado para el desarrollo académico y personal, así como todos los insumos necesarios para su bienestar y comodidad. Por lo anterior, se garantiza no solo una residencia digna, sino un espacio estable y favorable para su desarrollo integral, lo cual responde al principio del interés superior del menor.</w:t>
      </w:r>
    </w:p>
    <w:p>
      <w:pPr>
        <w:pStyle w:val="BodyText"/>
        <w:numPr>
          <w:ilvl w:val="0"/>
          <w:numId w:val="1"/>
        </w:numPr>
        <w:spacing w:lineRule="auto" w:line="240" w:before="0" w:after="0"/>
        <w:jc w:val="both"/>
        <w:rPr>
          <w:highlight w:val="none"/>
          <w:shd w:fill="FFFF00" w:val="clear"/>
        </w:rPr>
      </w:pPr>
      <w:r>
        <w:rPr>
          <w:rFonts w:eastAsia="Calibri" w:cs="Times New Roman" w:ascii="Geomanist" w:hAnsi="Geomanist"/>
          <w:b/>
          <w:bCs/>
          <w:sz w:val="24"/>
          <w:szCs w:val="24"/>
          <w:shd w:fill="FFFF00" w:val="clear"/>
        </w:rPr>
        <w:t xml:space="preserve">Posibilidad de una mejor educación para los menores bajo la guarda paterna: </w:t>
      </w:r>
      <w:r>
        <w:rPr>
          <w:rFonts w:eastAsia="Calibri" w:cs="Times New Roman" w:ascii="Geomanist" w:hAnsi="Geomanist"/>
          <w:b w:val="false"/>
          <w:bCs w:val="false"/>
          <w:sz w:val="24"/>
          <w:szCs w:val="24"/>
          <w:shd w:fill="FFFF00" w:val="clear"/>
        </w:rPr>
        <w:t>En consideración de que el suscrito podría ofrecer una mejor calidad educativa a los menores, es pertinente recalcar que bajo su guarda y custodia se podría acceder nuevamente a una educación privada, como la que recibían previamente a la separación de los progenitores. En el mes de julio de 2024, la hija mayor culminó la educación primaria, y la madre la inscribió unilateralmente en una secundaria pública sin consulta alguna con el suscrito, a pesar de que la pensión alimenticia sigue cubriéndose sin modificación. Si la guarda y custodia fuera otorgada al suscrito, no sería necesario el pago de pensión alimenticia, permitiendo así destinar esos recursos a la educación privada de ambos menores, lo que sin duda contribuiría de manera favorable a su formación académica y desarrollo integral, en beneficio de su interés superior.</w:t>
      </w:r>
    </w:p>
    <w:p>
      <w:pPr>
        <w:pStyle w:val="BodyText"/>
        <w:numPr>
          <w:ilvl w:val="0"/>
          <w:numId w:val="1"/>
        </w:numPr>
        <w:spacing w:lineRule="auto" w:line="240" w:before="0" w:after="0"/>
        <w:jc w:val="both"/>
        <w:rPr/>
      </w:pPr>
      <w:r>
        <w:rPr>
          <w:rStyle w:val="Strong"/>
          <w:rFonts w:ascii="Geomanist" w:hAnsi="Geomanist"/>
          <w:b/>
          <w:bCs/>
          <w:sz w:val="24"/>
          <w:szCs w:val="24"/>
          <w:shd w:fill="FFFF00" w:val="clear"/>
        </w:rPr>
        <w:t>Preferencia de los menores de vivir con el padre</w:t>
      </w:r>
      <w:r>
        <w:rPr>
          <w:rFonts w:ascii="Geomanist" w:hAnsi="Geomanist"/>
          <w:b/>
          <w:bCs/>
          <w:sz w:val="24"/>
          <w:szCs w:val="24"/>
          <w:shd w:fill="FFFF00" w:val="clear"/>
        </w:rPr>
        <w:t xml:space="preserve">: </w:t>
      </w:r>
      <w:r>
        <w:rPr>
          <w:rFonts w:ascii="Geomanist" w:hAnsi="Geomanist"/>
          <w:b w:val="false"/>
          <w:bCs w:val="false"/>
          <w:sz w:val="24"/>
          <w:szCs w:val="24"/>
          <w:shd w:fill="FFFF00" w:val="clear"/>
        </w:rPr>
        <w:t>Cabe destacar que los menores, de manera espontánea y clara, han manifestado su deseo de vivir con su padre, argumentando que con él reciben mayor atención y comparten tiempo de calidad. A diferencia de la situación actual, donde expresan que la madre está constantemente ocupada en otros asuntos y se muestra ausente en momentos de relevancia para ellos, los menores sienten que al convivir bajo la custodia paterna estarían en un ambiente de mayor acompañamiento y cuidado. En aras de dar voz a los menores y respetar su voluntad, el suscrito solicita que sean citados a declarar ante su Señoría, a fin de que sus opiniones y experiencias puedan ser valoradas como elementos sustanciales en este procedimiento.</w:t>
      </w:r>
    </w:p>
    <w:p>
      <w:pPr>
        <w:pStyle w:val="BodyText"/>
        <w:numPr>
          <w:ilvl w:val="0"/>
          <w:numId w:val="1"/>
        </w:numPr>
        <w:spacing w:lineRule="auto" w:line="240" w:before="0" w:after="0"/>
        <w:jc w:val="both"/>
        <w:rPr/>
      </w:pPr>
      <w:r>
        <w:rPr>
          <w:rStyle w:val="Strong"/>
          <w:rFonts w:ascii="Geomanist" w:hAnsi="Geomanist"/>
          <w:b/>
          <w:bCs/>
          <w:sz w:val="24"/>
          <w:szCs w:val="24"/>
          <w:shd w:fill="FFFF00" w:val="clear"/>
        </w:rPr>
        <w:t>Condiciones de higiene y falta de recursos en el domicilio materno</w:t>
      </w:r>
      <w:r>
        <w:rPr>
          <w:rFonts w:ascii="Geomanist" w:hAnsi="Geomanist"/>
          <w:b/>
          <w:bCs/>
          <w:sz w:val="24"/>
          <w:szCs w:val="24"/>
          <w:shd w:fill="FFFF00" w:val="clear"/>
        </w:rPr>
        <w:t xml:space="preserve">: </w:t>
      </w:r>
      <w:r>
        <w:rPr>
          <w:rFonts w:ascii="Geomanist" w:hAnsi="Geomanist"/>
          <w:b w:val="false"/>
          <w:bCs w:val="false"/>
          <w:sz w:val="24"/>
          <w:szCs w:val="24"/>
          <w:shd w:fill="FFFF00" w:val="clear"/>
        </w:rPr>
        <w:t>Resulta relevante hacer mención de que los menores han enfrentado situaciones que vulneran su dignidad y derecho a un entorno higiénico adecuado en el domicilio materno. Con base en los testimonios de los menores, estos han llegado a la escuela con uniforme que presenta olor a humedad, debido a la falta de una adecuada higiene y a que la lavadora adquirida por el suscrito en diciembre de 2023 se encuentra actualmente inservible y no ha sido reparada. Aunado a lo anterior, los menores han señalado la intermitencia en el suministro de agua en la vivienda materna, situación que les impide satisfacer de manera básica sus necesidades de aseo personal y uso del baño. Se solicita a su Señoría que se valore el testimonio de los menores respecto a estas condiciones, mismas que atentan contra su bienestar y su desarrollo pleno.</w:t>
      </w:r>
    </w:p>
    <w:p>
      <w:pPr>
        <w:pStyle w:val="BodyText"/>
        <w:numPr>
          <w:ilvl w:val="0"/>
          <w:numId w:val="1"/>
        </w:numPr>
        <w:spacing w:lineRule="auto" w:line="240" w:before="0" w:after="0"/>
        <w:jc w:val="both"/>
        <w:rPr>
          <w:highlight w:val="none"/>
          <w:shd w:fill="FFFF00" w:val="clear"/>
        </w:rPr>
      </w:pPr>
      <w:r>
        <w:rPr>
          <w:rFonts w:ascii="Geomanist" w:hAnsi="Geomanist"/>
          <w:b/>
          <w:bCs/>
          <w:sz w:val="24"/>
          <w:szCs w:val="24"/>
          <w:shd w:fill="FFFF00" w:val="clear"/>
        </w:rPr>
        <w:t xml:space="preserve">Restricción de comunicación con el padre y obstrucción por parte de la madre: </w:t>
      </w:r>
      <w:r>
        <w:rPr>
          <w:rFonts w:ascii="Geomanist" w:hAnsi="Geomanist"/>
          <w:b w:val="false"/>
          <w:bCs w:val="false"/>
          <w:sz w:val="24"/>
          <w:szCs w:val="24"/>
          <w:shd w:fill="FFFF00" w:val="clear"/>
        </w:rPr>
        <w:t>Es importante señalar que la comunicación entre el suscrito y los menores se ha visto gravemente afectada debido a las acciones de la madre, quien ha impuesto como medida de castigo la prohibición del uso del teléfono celular, dispositivos adquiridos por el suscrito para facilitar la comunicación directa con ellos. Esta restricción, aplicada de manera recurrente, deja a los menores incomunicados durante la semana y dificulta una adecuada relación paterno-filial. Además, la madre ha bloqueado al suscrito en redes sociales y aplicaciones de mensajería, eliminando así cualquier posibilidad de contacto alternativo con los menores. Este bloqueo ha representado una barrera de comunicación crítica en momentos de emergencia, ya que la madre ha sido inubicable en eventos de atención médica que han surgido durante las visitas de fin de semana. Asimismo, se solicitó que el costo del tiempo aire de los teléfonos celulares de los menores se cubriera de forma equitativa, alternando los pagos mensuales entre ambas partes, a lo cual la madre se ha negado bajo el argumento de que no utiliza esas líneas; sin embargo, existe evidencia de que las emplea para comunicarse con los menores los fines de semana, lo cual pone de manifiesto la falta de colaboración y disposición por parte de la madre.</w:t>
      </w:r>
    </w:p>
    <w:p>
      <w:pPr>
        <w:pStyle w:val="BodyText"/>
        <w:numPr>
          <w:ilvl w:val="0"/>
          <w:numId w:val="1"/>
        </w:numPr>
        <w:spacing w:lineRule="auto" w:line="240" w:before="0" w:after="0"/>
        <w:jc w:val="both"/>
        <w:rPr/>
      </w:pPr>
      <w:r>
        <w:rPr>
          <w:rStyle w:val="Strong"/>
          <w:rFonts w:ascii="Geomanist" w:hAnsi="Geomanist"/>
          <w:b/>
          <w:bCs/>
          <w:sz w:val="24"/>
          <w:szCs w:val="24"/>
          <w:shd w:fill="FFFF00" w:val="clear"/>
        </w:rPr>
        <w:t>Ausencia de atención materna</w:t>
      </w:r>
      <w:r>
        <w:rPr>
          <w:rFonts w:ascii="Geomanist" w:hAnsi="Geomanist"/>
          <w:b/>
          <w:bCs/>
          <w:sz w:val="24"/>
          <w:szCs w:val="24"/>
          <w:shd w:fill="FFFF00" w:val="clear"/>
        </w:rPr>
        <w:t xml:space="preserve">: </w:t>
      </w:r>
      <w:r>
        <w:rPr>
          <w:rFonts w:ascii="Geomanist" w:hAnsi="Geomanist"/>
          <w:b w:val="false"/>
          <w:bCs w:val="false"/>
          <w:sz w:val="24"/>
          <w:szCs w:val="24"/>
          <w:shd w:fill="FFFF00" w:val="clear"/>
        </w:rPr>
        <w:t>Finalmente, es de suma importancia recalcar que los menores han indicado que, en el domicilio materno, su madre frecuentemente se ausenta durante horas en días laborales, debido a compromisos laborales o personales, dejándolos sin supervisión y sin una figura de acompañamiento constante. Esta situación no solo deja a los menores en estado de vulnerabilidad, sino que demuestra la falta de disponibilidad de la madre para proporcionarles el tiempo y la atención que ellos requieren y merecen. Esta ausencia materna agrava la situación y reafirma la necesidad de modificar la guarda y custodia, considerando que bajo el cuidado del suscrito, los menores tendrían un ambiente seguro, atención continua y una presencia comprometida que vela por sus intereses y su bienestar general.</w:t>
      </w:r>
    </w:p>
    <w:p>
      <w:pPr>
        <w:pStyle w:val="BodyText"/>
        <w:numPr>
          <w:ilvl w:val="0"/>
          <w:numId w:val="1"/>
        </w:numPr>
        <w:spacing w:lineRule="auto" w:line="240" w:before="0" w:after="0"/>
        <w:jc w:val="both"/>
        <w:rPr/>
      </w:pPr>
      <w:r>
        <w:rPr>
          <w:rFonts w:ascii="Geomanist" w:hAnsi="Geomanist"/>
          <w:b/>
          <w:bCs/>
          <w:sz w:val="24"/>
          <w:szCs w:val="24"/>
          <w:shd w:fill="FFFF00" w:val="clear"/>
        </w:rPr>
        <w:t xml:space="preserve">Acceso a actividades extracurriculares: </w:t>
      </w:r>
      <w:r>
        <w:rPr>
          <w:rFonts w:ascii="Geomanist" w:hAnsi="Geomanist"/>
          <w:b w:val="false"/>
          <w:bCs w:val="false"/>
          <w:sz w:val="24"/>
          <w:szCs w:val="24"/>
          <w:shd w:fill="FFFF00" w:val="clear"/>
        </w:rPr>
        <w:t>Bajo la guarda y custodia del padre, los menores podrían participar en actividades extracurriculares que favorezcan su desarrollo personal y que, de acuerdo con sus propias expresiones, son de su interés. Han manifestado un genuino interés por disciplinas como el ballet, la música y el fútbol. Dichas actividades demandan compromiso, constancia y asistencia regular durante la semana, y no solo los fines de semana. La proximidad a instituciones que ofrecen estas disciplinas y el acceso continuo a las mismas mejorarían el desarrollo físico, artístico y emocional de los menores, permitiéndoles explorar sus intereses en un ambiente estructurado y favorable a su crecimiento integral.</w:t>
      </w:r>
    </w:p>
    <w:p>
      <w:pPr>
        <w:pStyle w:val="BodyText"/>
        <w:numPr>
          <w:ilvl w:val="0"/>
          <w:numId w:val="1"/>
        </w:numPr>
        <w:spacing w:lineRule="auto" w:line="240" w:before="0" w:after="0"/>
        <w:jc w:val="both"/>
        <w:rPr/>
      </w:pPr>
      <w:r>
        <w:rPr>
          <w:rFonts w:ascii="Geomanist" w:hAnsi="Geomanist"/>
          <w:b/>
          <w:bCs/>
          <w:sz w:val="24"/>
          <w:szCs w:val="24"/>
          <w:shd w:fill="FFFF00" w:val="clear"/>
        </w:rPr>
        <w:t xml:space="preserve">Horario y disponibilidad del padre: </w:t>
      </w:r>
      <w:r>
        <w:rPr>
          <w:rFonts w:ascii="Geomanist" w:hAnsi="Geomanist"/>
          <w:b w:val="false"/>
          <w:bCs w:val="false"/>
          <w:sz w:val="24"/>
          <w:szCs w:val="24"/>
          <w:shd w:fill="FFFF00" w:val="clear"/>
        </w:rPr>
        <w:t>Dada mi posición laboral como Director de Informática, cuento con un horario flexible que me permite ajustarme a las necesidades de mis hijos. Mi disponibilidad me faculta para acompañarlos, brindarles supervisión y apoyo entre semana, y así atender sus necesidades tanto académicas como personales de manera oportuna. A diferencia de la madre, quien por la naturaleza de su trabajo se ausenta con frecuencia por las tardes, mi labor me permite estar presente para ellos, asegurando que no queden sin la guía y atención necesarias para su bienestar.</w:t>
      </w:r>
    </w:p>
    <w:p>
      <w:pPr>
        <w:pStyle w:val="BodyText"/>
        <w:numPr>
          <w:ilvl w:val="0"/>
          <w:numId w:val="1"/>
        </w:numPr>
        <w:spacing w:lineRule="auto" w:line="240" w:before="0" w:after="0"/>
        <w:jc w:val="both"/>
        <w:rPr/>
      </w:pPr>
      <w:r>
        <w:rPr>
          <w:rFonts w:ascii="Geomanist" w:hAnsi="Geomanist"/>
          <w:b/>
          <w:bCs/>
          <w:sz w:val="24"/>
          <w:szCs w:val="24"/>
          <w:shd w:fill="FFFF00" w:val="clear"/>
        </w:rPr>
        <w:t xml:space="preserve">Estabilidad emocional del padre: </w:t>
      </w:r>
      <w:r>
        <w:rPr>
          <w:rFonts w:ascii="Geomanist" w:hAnsi="Geomanist"/>
          <w:b w:val="false"/>
          <w:bCs w:val="false"/>
          <w:sz w:val="24"/>
          <w:szCs w:val="24"/>
          <w:shd w:fill="FFFF00" w:val="clear"/>
        </w:rPr>
        <w:t>En cuanto a la estabilidad emocional, el suscrito se encuentra en pleno estado de salud mental, no presenta síntomas de ansiedad o depresión, y no requiere medicación que pudiera afectar su capacidad de responder de manera adecuada a las necesidades emocionales y psicológicas de los menores. En contraste, la madre enfrenta episodios de ansiedad y depresión que han requerido prescripción médica, situación que, según testimonio de los menores, provoca que se muestre aletargada y con una energía limitada para atenderles adecuadamente en sus actividades y necesidades cotidianas. La estabilidad emocional que el padre ofrece garantizaría un entorno adecuado, seguro y emocionalmente positivo para el sano desarrollo de los menores.</w:t>
      </w:r>
    </w:p>
    <w:p>
      <w:pPr>
        <w:pStyle w:val="Normal"/>
        <w:spacing w:lineRule="auto" w:line="240" w:before="0" w:after="0"/>
        <w:ind w:right="49"/>
        <w:jc w:val="both"/>
        <w:rPr>
          <w:rFonts w:ascii="Geomanist" w:hAnsi="Geomanist" w:eastAsia="Calibri" w:cs="Times New Roman"/>
          <w:b w:val="false"/>
          <w:bCs w:val="false"/>
          <w:sz w:val="24"/>
          <w:szCs w:val="24"/>
          <w:highlight w:val="none"/>
          <w:shd w:fill="FFFF00" w:val="clear"/>
        </w:rPr>
      </w:pPr>
      <w:r>
        <w:rPr>
          <w:rFonts w:eastAsia="Calibri" w:cs="Times New Roman" w:ascii="Geomanist" w:hAnsi="Geomanist"/>
          <w:b w:val="false"/>
          <w:bCs w:val="false"/>
          <w:sz w:val="24"/>
          <w:szCs w:val="24"/>
          <w:shd w:fill="FFFF00" w:val="clear"/>
        </w:rPr>
      </w:r>
    </w:p>
    <w:sectPr>
      <w:footerReference w:type="even" r:id="rId3"/>
      <w:footerReference w:type="default" r:id="rId4"/>
      <w:footerReference w:type="first" r:id="rId5"/>
      <w:type w:val="nextPage"/>
      <w:pgSz w:w="12240" w:h="20160"/>
      <w:pgMar w:left="1701" w:right="1701"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Narrow">
    <w:charset w:val="01"/>
    <w:family w:val="roman"/>
    <w:pitch w:val="variable"/>
  </w:font>
  <w:font w:name="Geomanis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56400109"/>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56400109"/>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Footer"/>
    <w:uiPriority w:val="99"/>
    <w:qFormat/>
    <w:rsid w:val="00877b32"/>
    <w:rPr/>
  </w:style>
  <w:style w:type="character" w:styleId="Hyperlink">
    <w:name w:val="Hyperlink"/>
    <w:basedOn w:val="DefaultParagraphFont"/>
    <w:uiPriority w:val="99"/>
    <w:unhideWhenUsed/>
    <w:rsid w:val="00877b32"/>
    <w:rPr>
      <w:color w:themeColor="hyperlink" w:val="0000FF"/>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PiedepginaCar"/>
    <w:uiPriority w:val="99"/>
    <w:unhideWhenUsed/>
    <w:rsid w:val="00877b32"/>
    <w:pPr>
      <w:tabs>
        <w:tab w:val="clear" w:pos="708"/>
        <w:tab w:val="center" w:pos="4419" w:leader="none"/>
        <w:tab w:val="right" w:pos="8838" w:leader="none"/>
      </w:tabs>
      <w:spacing w:lineRule="auto" w:line="240" w:before="0" w:after="0"/>
    </w:pPr>
    <w:rPr/>
  </w:style>
  <w:style w:type="paragraph" w:styleId="NoSpacing">
    <w:name w:val="No Spacing"/>
    <w:uiPriority w:val="1"/>
    <w:qFormat/>
    <w:rsid w:val="00877b3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6503970@pjedomex.gob.mx"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LibreOffice/24.2.6.2$Linux_X86_64 LibreOffice_project/420$Build-2</Application>
  <AppVersion>15.0000</AppVersion>
  <Pages>8</Pages>
  <Words>4037</Words>
  <Characters>21298</Characters>
  <CharactersWithSpaces>25359</CharactersWithSpaces>
  <Paragraphs>57</Paragraphs>
  <Company>Lenovo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2024-11-14T00:27:00Z</dcterms:created>
  <dc:creator>mikelayer</dc:creator>
  <dc:description/>
  <dc:language>es-MX</dc:language>
  <cp:lastModifiedBy/>
  <cp:lastPrinted>2024-11-14T11:49:17Z</cp:lastPrinted>
  <dcterms:modified xsi:type="dcterms:W3CDTF">2024-11-14T13:04:38Z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