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Garamond" w:hAnsi="Garamond"/>
          <w:sz w:val="32"/>
          <w:szCs w:val="32"/>
        </w:rPr>
      </w:pPr>
    </w:p>
    <w:p>
      <w:pPr>
        <w:pStyle w:val="Body"/>
      </w:pPr>
      <w:r>
        <w:rPr>
          <w:rFonts w:ascii="Garamond" w:hAnsi="Garamond"/>
          <w:sz w:val="32"/>
          <w:szCs w:val="32"/>
          <w:rtl w:val="0"/>
          <w:lang w:val="en-US"/>
        </w:rPr>
        <w:t>{{CORPO_DA_PETICAO|p}}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aramon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before="240" w:after="240"/>
      <w:ind w:left="1440" w:firstLine="0"/>
    </w:pPr>
    <w:r>
      <w:rPr>
        <w:sz w:val="20"/>
        <w:szCs w:val="20"/>
      </w:rP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1107</wp:posOffset>
          </wp:positionH>
          <wp:positionV relativeFrom="page">
            <wp:posOffset>-1739</wp:posOffset>
          </wp:positionV>
          <wp:extent cx="7560000" cy="10693070"/>
          <wp:effectExtent l="0" t="0" r="0" b="0"/>
          <wp:wrapNone/>
          <wp:docPr id="1073741825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7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